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Tarefa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Exercicio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80"/>
        <w:gridCol w:w="705"/>
        <w:tblGridChange w:id="0">
          <w:tblGrid>
            <w:gridCol w:w="735"/>
            <w:gridCol w:w="78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bb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AA 25%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Ab 50%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bb 25%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75%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Exercicio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80"/>
        <w:gridCol w:w="705"/>
        <w:tblGridChange w:id="0">
          <w:tblGrid>
            <w:gridCol w:w="735"/>
            <w:gridCol w:w="78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75% (CC;Ca;Ca)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com olhos azuis -&gt;(25%)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2 com olhos castanhos -&gt; 75% (CC;Ca;Ca)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com olhos azuis -&gt;25%(aa)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1 com olhos castanhos -&gt; 75% (CC;Ca;Ca)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azuis-&gt; 25%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Francisco Silva </w:t>
      <w:tab/>
      <w:tab/>
      <w:tab/>
      <w:t xml:space="preserve">SCT</w:t>
      <w:tab/>
      <w:tab/>
      <w:tab/>
      <w:tab/>
      <w:tab/>
      <w:t xml:space="preserve">S15C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