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  <w:tab w:val="left" w:leader="none" w:pos="1440"/>
          <w:tab w:val="left" w:leader="none" w:pos="2160"/>
          <w:tab w:val="left" w:leader="none" w:pos="2880"/>
          <w:tab w:val="left" w:leader="none" w:pos="3600"/>
          <w:tab w:val="left" w:leader="none" w:pos="4320"/>
          <w:tab w:val="left" w:leader="none" w:pos="5040"/>
          <w:tab w:val="left" w:leader="none" w:pos="5760"/>
          <w:tab w:val="left" w:leader="none" w:pos="6480"/>
          <w:tab w:val="left" w:leader="none" w:pos="7200"/>
          <w:tab w:val="left" w:leader="none" w:pos="7920"/>
        </w:tabs>
        <w:spacing w:before="160" w:lineRule="auto"/>
        <w:jc w:val="center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1073785</wp:posOffset>
            </wp:positionH>
            <wp:positionV relativeFrom="page">
              <wp:posOffset>352444</wp:posOffset>
            </wp:positionV>
            <wp:extent cx="1124585" cy="359410"/>
            <wp:effectExtent b="0" l="0" r="0" t="0"/>
            <wp:wrapNone/>
            <wp:docPr descr="Logo Horizontal.png" id="2" name="image1.png"/>
            <a:graphic>
              <a:graphicData uri="http://schemas.openxmlformats.org/drawingml/2006/picture">
                <pic:pic>
                  <pic:nvPicPr>
                    <pic:cNvPr descr="Logo Horizontal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4585" cy="3594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  <w:tab w:val="left" w:leader="none" w:pos="1440"/>
          <w:tab w:val="left" w:leader="none" w:pos="2160"/>
          <w:tab w:val="left" w:leader="none" w:pos="2880"/>
          <w:tab w:val="left" w:leader="none" w:pos="3600"/>
          <w:tab w:val="left" w:leader="none" w:pos="4320"/>
          <w:tab w:val="left" w:leader="none" w:pos="5040"/>
          <w:tab w:val="left" w:leader="none" w:pos="5760"/>
          <w:tab w:val="left" w:leader="none" w:pos="6480"/>
          <w:tab w:val="left" w:leader="none" w:pos="7200"/>
          <w:tab w:val="left" w:leader="none" w:pos="7920"/>
        </w:tabs>
        <w:spacing w:before="160" w:lineRule="auto"/>
        <w:jc w:val="center"/>
        <w:rPr>
          <w:rFonts w:ascii="Tahoma" w:cs="Tahoma" w:eastAsia="Tahoma" w:hAnsi="Tahoma"/>
          <w:b w:val="1"/>
          <w:color w:val="000000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sz w:val="22"/>
          <w:szCs w:val="22"/>
          <w:rtl w:val="0"/>
        </w:rPr>
        <w:t xml:space="preserve">ESCOLA SECUNDÁRIA JOSÉ SARAMAGO -Mafra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Tahoma" w:cs="Tahoma" w:eastAsia="Tahoma" w:hAnsi="Tahoma"/>
          <w:b w:val="1"/>
          <w:color w:val="000000"/>
          <w:sz w:val="22"/>
          <w:szCs w:val="22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2"/>
          <w:szCs w:val="22"/>
          <w:rtl w:val="0"/>
        </w:rPr>
        <w:t xml:space="preserve">Curso de Educação e Formação de Adultos – Nível secundário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Tahoma" w:cs="Tahoma" w:eastAsia="Tahoma" w:hAnsi="Tahoma"/>
          <w:b w:val="1"/>
          <w:color w:val="000000"/>
          <w:sz w:val="22"/>
          <w:szCs w:val="22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2"/>
          <w:szCs w:val="22"/>
          <w:rtl w:val="0"/>
        </w:rPr>
        <w:t xml:space="preserve">Cidadania e Profissionalidade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6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114300</wp:posOffset>
                </wp:positionV>
                <wp:extent cx="5857875" cy="791863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31350" y="3412950"/>
                          <a:ext cx="5829300" cy="734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Narrow" w:cs="Arial Narrow" w:eastAsia="Arial Narrow" w:hAnsi="Arial Narro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UFCD 4- Processos Identitários.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Narrow" w:cs="Arial Narrow" w:eastAsia="Arial Narrow" w:hAnsi="Arial Narro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Narrow" w:cs="Arial Narrow" w:eastAsia="Arial Narrow" w:hAnsi="Arial Narro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Tema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– Políticas públicas de inclusão.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114300</wp:posOffset>
                </wp:positionV>
                <wp:extent cx="5857875" cy="791863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57875" cy="7918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6">
      <w:pPr>
        <w:keepNext w:val="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spacing w:line="276" w:lineRule="auto"/>
        <w:jc w:val="both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spacing w:line="276" w:lineRule="auto"/>
        <w:jc w:val="both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spacing w:line="276" w:lineRule="auto"/>
        <w:jc w:val="both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spacing w:line="276" w:lineRule="auto"/>
        <w:jc w:val="both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jc w:val="center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b w:val="1"/>
          <w:u w:val="single"/>
          <w:rtl w:val="0"/>
        </w:rPr>
        <w:t xml:space="preserve">Atividade 11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jc w:val="center"/>
        <w:rPr>
          <w:rFonts w:ascii="Arial Narrow" w:cs="Arial Narrow" w:eastAsia="Arial Narrow" w:hAnsi="Arial Narrow"/>
          <w:b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jc w:val="center"/>
        <w:rPr>
          <w:rFonts w:ascii="Arial Narrow" w:cs="Arial Narrow" w:eastAsia="Arial Narrow" w:hAnsi="Arial Narrow"/>
          <w:i w:val="1"/>
        </w:rPr>
      </w:pPr>
      <w:commentRangeStart w:id="0"/>
      <w:r w:rsidDel="00000000" w:rsidR="00000000" w:rsidRPr="00000000">
        <w:rPr>
          <w:rFonts w:ascii="Arial Narrow" w:cs="Arial Narrow" w:eastAsia="Arial Narrow" w:hAnsi="Arial Narrow"/>
          <w:i w:val="1"/>
          <w:rtl w:val="0"/>
        </w:rPr>
        <w:t xml:space="preserve">(trabalho a pares)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Arial Narrow" w:cs="Arial Narrow" w:eastAsia="Arial Narrow" w:hAnsi="Arial Narrow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Arial Narrow" w:cs="Arial Narrow" w:eastAsia="Arial Narrow" w:hAnsi="Arial Narrow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- No quadro seguinte, consultando  os links na primeira coluna, identifique na segunda coluna a instituição/organização em causa e preencha a terceira coluna , descrevendo o que faz a organização no sentido de melhor integrar quem emigra para Portugal.</w:t>
      </w:r>
    </w:p>
    <w:p w:rsidR="00000000" w:rsidDel="00000000" w:rsidP="00000000" w:rsidRDefault="00000000" w:rsidRPr="00000000" w14:paraId="00000010">
      <w:pPr>
        <w:jc w:val="center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1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25"/>
        <w:gridCol w:w="2340"/>
        <w:gridCol w:w="3645"/>
        <w:tblGridChange w:id="0">
          <w:tblGrid>
            <w:gridCol w:w="3225"/>
            <w:gridCol w:w="2340"/>
            <w:gridCol w:w="36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instituição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Atuação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</w:rPr>
            </w:pPr>
            <w:hyperlink r:id="rId9">
              <w:r w:rsidDel="00000000" w:rsidR="00000000" w:rsidRPr="00000000">
                <w:rPr>
                  <w:rFonts w:ascii="Calibri" w:cs="Calibri" w:eastAsia="Calibri" w:hAnsi="Calibri"/>
                  <w:color w:val="1155cc"/>
                  <w:u w:val="single"/>
                  <w:rtl w:val="0"/>
                </w:rPr>
                <w:t xml:space="preserve">https://www.cicdr.pt/a-comissao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CICDR - Comissão para a Igualdade e Contra a Discriminação Racial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 CICDR (Comissão para a Igualdade e Contra a Discriminação Racial) foi criada pela Lei nº 134/99, de 28 de agosto, a qual veio proibir as discriminações no exercício de direitos por motivos de cor, nacionalidade ou origem étnica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</w:rPr>
            </w:pPr>
            <w:hyperlink r:id="rId10">
              <w:r w:rsidDel="00000000" w:rsidR="00000000" w:rsidRPr="00000000">
                <w:rPr>
                  <w:rFonts w:ascii="Arial Narrow" w:cs="Arial Narrow" w:eastAsia="Arial Narrow" w:hAnsi="Arial Narrow"/>
                  <w:color w:val="1155cc"/>
                  <w:u w:val="single"/>
                  <w:rtl w:val="0"/>
                </w:rPr>
                <w:t xml:space="preserve">https://www.acm.gov.pt/pt/web/10181/acm</w:t>
              </w:r>
            </w:hyperlink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ACM-Alto Comissariado para as Migrações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O Alto Comissariado para as Migrações (ACM) é um instituto público que intervém na execução das políticas públicas em matéria de migrações. O ACM procura olhar para o mundo de uma forma criativa com o objetivo de responder às crescentes necessidades dos diferentes perfis dos migrantes e da sua integração.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</w:rPr>
            </w:pPr>
            <w:hyperlink r:id="rId11">
              <w:r w:rsidDel="00000000" w:rsidR="00000000" w:rsidRPr="00000000">
                <w:rPr>
                  <w:rFonts w:ascii="Arial Narrow" w:cs="Arial Narrow" w:eastAsia="Arial Narrow" w:hAnsi="Arial Narrow"/>
                  <w:color w:val="1155cc"/>
                  <w:u w:val="single"/>
                  <w:rtl w:val="0"/>
                </w:rPr>
                <w:t xml:space="preserve">https://eportugal.gov.pt/servicos/centros-nacionais-de-apoio-a-integracao-de-migrantes-cnaim-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CNAIM-Centros Nacionais de Apoio à Integração de Migrantes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Os Centros Nacionais de Apoio à Integração de Migrantes (CNAIM) são estruturas dependentes do Alto Comissariado para as Migrações (ACM, I.P.) e foram criados em 2004 para dar resposta a diferentes dificuldades sentidas pelos/as migrantes, no seu processo de integração em Portugal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jc w:val="center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Roboto" w:cs="Roboto" w:eastAsia="Roboto" w:hAnsi="Roboto"/>
          <w:sz w:val="21"/>
          <w:szCs w:val="21"/>
          <w:shd w:fill="f1f3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6840" w:w="11900" w:orient="portrait"/>
      <w:pgMar w:bottom="1417" w:top="709" w:left="1701" w:right="1701" w:header="708" w:footer="708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Filomena Curado" w:id="0" w:date="2025-01-08T16:13:02Z"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 quem fez?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alibri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Narrow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Helvetica Neue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leader="none" w:pos="9020"/>
        <w:tab w:val="left" w:leader="none" w:pos="720"/>
        <w:tab w:val="left" w:leader="none" w:pos="1440"/>
        <w:tab w:val="left" w:leader="none" w:pos="2160"/>
        <w:tab w:val="left" w:leader="none" w:pos="2880"/>
        <w:tab w:val="left" w:leader="none" w:pos="3600"/>
        <w:tab w:val="left" w:leader="none" w:pos="4320"/>
        <w:tab w:val="left" w:leader="none" w:pos="5040"/>
        <w:tab w:val="left" w:leader="none" w:pos="5760"/>
        <w:tab w:val="left" w:leader="none" w:pos="6480"/>
        <w:tab w:val="left" w:leader="none" w:pos="7200"/>
        <w:tab w:val="left" w:leader="none" w:pos="7920"/>
        <w:tab w:val="right" w:leader="none" w:pos="8478"/>
      </w:tabs>
      <w:jc w:val="right"/>
      <w:rPr>
        <w:rFonts w:ascii="Helvetica Neue" w:cs="Helvetica Neue" w:eastAsia="Helvetica Neue" w:hAnsi="Helvetica Neue"/>
        <w:color w:val="000000"/>
      </w:rPr>
    </w:pPr>
    <w:r w:rsidDel="00000000" w:rsidR="00000000" w:rsidRPr="00000000">
      <w:rPr>
        <w:rFonts w:ascii="Helvetica Neue" w:cs="Helvetica Neue" w:eastAsia="Helvetica Neue" w:hAnsi="Helvetica Neue"/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leader="none" w:pos="9020"/>
      </w:tabs>
      <w:rPr>
        <w:rFonts w:ascii="Helvetica Neue" w:cs="Helvetica Neue" w:eastAsia="Helvetica Neue" w:hAnsi="Helvetica Neue"/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eportugal.gov.pt/servicos/centros-nacionais-de-apoio-a-integracao-de-migrantes-cnaim-" TargetMode="External"/><Relationship Id="rId10" Type="http://schemas.openxmlformats.org/officeDocument/2006/relationships/hyperlink" Target="https://www.acm.gov.pt/pt/web/10181/acm" TargetMode="External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www.cicdr.pt/a-comissao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HelveticaNeue-regular.ttf"/><Relationship Id="rId10" Type="http://schemas.openxmlformats.org/officeDocument/2006/relationships/font" Target="fonts/Tahoma-bold.ttf"/><Relationship Id="rId13" Type="http://schemas.openxmlformats.org/officeDocument/2006/relationships/font" Target="fonts/HelveticaNeue-italic.ttf"/><Relationship Id="rId12" Type="http://schemas.openxmlformats.org/officeDocument/2006/relationships/font" Target="fonts/HelveticaNeue-bold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Tahoma-regular.ttf"/><Relationship Id="rId14" Type="http://schemas.openxmlformats.org/officeDocument/2006/relationships/font" Target="fonts/HelveticaNeue-boldItalic.ttf"/><Relationship Id="rId5" Type="http://schemas.openxmlformats.org/officeDocument/2006/relationships/font" Target="fonts/ArialNarrow-regular.ttf"/><Relationship Id="rId6" Type="http://schemas.openxmlformats.org/officeDocument/2006/relationships/font" Target="fonts/ArialNarrow-bold.ttf"/><Relationship Id="rId7" Type="http://schemas.openxmlformats.org/officeDocument/2006/relationships/font" Target="fonts/ArialNarrow-italic.ttf"/><Relationship Id="rId8" Type="http://schemas.openxmlformats.org/officeDocument/2006/relationships/font" Target="fonts/ArialNarrow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