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tabs>
          <w:tab w:val="center" w:leader="none" w:pos="4252"/>
          <w:tab w:val="right" w:leader="none" w:pos="8504"/>
        </w:tabs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Atividade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feito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240" w:lineRule="auto"/>
        <w:ind w:left="0" w:firstLine="0"/>
        <w:jc w:val="both"/>
        <w:rPr>
          <w:rFonts w:ascii="Arial Narrow" w:cs="Arial Narrow" w:eastAsia="Arial Narrow" w:hAnsi="Arial Narrow"/>
          <w:sz w:val="24"/>
          <w:szCs w:val="24"/>
          <w:shd w:fill="ff9900" w:val="clear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shd w:fill="ff9900" w:val="clear"/>
          <w:rtl w:val="0"/>
        </w:rPr>
        <w:t xml:space="preserve">2 . Transcreva da Declaração Universal dos Direitos do Homem dois artigos que declarem a igualdade como princípio fundamental. </w:t>
      </w:r>
    </w:p>
    <w:p w:rsidR="00000000" w:rsidDel="00000000" w:rsidP="00000000" w:rsidRDefault="00000000" w:rsidRPr="00000000" w14:paraId="00000005">
      <w:pPr>
        <w:spacing w:before="200" w:line="240" w:lineRule="auto"/>
        <w:jc w:val="both"/>
        <w:rPr>
          <w:rFonts w:ascii="Roboto" w:cs="Roboto" w:eastAsia="Roboto" w:hAnsi="Roboto"/>
          <w:b w:val="1"/>
          <w:color w:val="3379b7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Resposta: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Roboto" w:cs="Roboto" w:eastAsia="Roboto" w:hAnsi="Roboto"/>
          <w:b w:val="1"/>
          <w:color w:val="3379b7"/>
          <w:sz w:val="24"/>
          <w:szCs w:val="24"/>
          <w:rtl w:val="0"/>
        </w:rPr>
        <w:t xml:space="preserve">Artigo 1.º</w:t>
      </w:r>
    </w:p>
    <w:p w:rsidR="00000000" w:rsidDel="00000000" w:rsidP="00000000" w:rsidRDefault="00000000" w:rsidRPr="00000000" w14:paraId="00000006">
      <w:pPr>
        <w:shd w:fill="ffffff" w:val="clear"/>
        <w:spacing w:after="220" w:line="240" w:lineRule="auto"/>
        <w:jc w:val="both"/>
        <w:rPr>
          <w:rFonts w:ascii="Roboto" w:cs="Roboto" w:eastAsia="Roboto" w:hAnsi="Roboto"/>
          <w:b w:val="1"/>
          <w:color w:val="3379b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Todos os seres humanos nascem livres e iguais em dignidade e em direitos. Dotados de razão e de consciência, devem agir uns para com os outros em espírito de fraternidade.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20"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008">
      <w:pPr>
        <w:shd w:fill="ffffff" w:val="clear"/>
        <w:spacing w:after="220" w:line="240" w:lineRule="auto"/>
        <w:jc w:val="both"/>
        <w:rPr>
          <w:rFonts w:ascii="Roboto" w:cs="Roboto" w:eastAsia="Roboto" w:hAnsi="Roboto"/>
          <w:b w:val="1"/>
          <w:color w:val="3379b7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Roboto" w:cs="Roboto" w:eastAsia="Roboto" w:hAnsi="Roboto"/>
          <w:b w:val="1"/>
          <w:color w:val="3379b7"/>
          <w:sz w:val="24"/>
          <w:szCs w:val="24"/>
          <w:rtl w:val="0"/>
        </w:rPr>
        <w:t xml:space="preserve">Artigo 7.º</w:t>
      </w:r>
    </w:p>
    <w:p w:rsidR="00000000" w:rsidDel="00000000" w:rsidP="00000000" w:rsidRDefault="00000000" w:rsidRPr="00000000" w14:paraId="00000009">
      <w:pPr>
        <w:shd w:fill="ffffff" w:val="clear"/>
        <w:spacing w:after="220"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Todos são iguais perante a lei e, sem distinção, têm direito a igual protecção da lei. Todos têm direito a protecção igual contra qualquer discriminação que viole a presente Declaração e contra qualquer incitamento a tal discriminação.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shd w:fill="ffffff" w:val="clear"/>
        <w:spacing w:after="220" w:line="240" w:lineRule="auto"/>
        <w:jc w:val="both"/>
        <w:rPr>
          <w:rFonts w:ascii="Arial Narrow" w:cs="Arial Narrow" w:eastAsia="Arial Narrow" w:hAnsi="Arial Narrow"/>
          <w:sz w:val="24"/>
          <w:szCs w:val="24"/>
          <w:shd w:fill="ff9900" w:val="clear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shd w:fill="ff9900" w:val="clear"/>
          <w:rtl w:val="0"/>
        </w:rPr>
        <w:t xml:space="preserve">3.Transcreva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shd w:fill="ff9900" w:val="clear"/>
          <w:rtl w:val="0"/>
        </w:rPr>
        <w:t xml:space="preserve">um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shd w:fill="ff9900" w:val="clear"/>
          <w:rtl w:val="0"/>
        </w:rPr>
        <w:t xml:space="preserve">artigo da Constituição da República Portuguesa que contenha um direito civil de qualquer cidadão e explique o seu conteúdo. (CRP, capítulo I, Artigos 24º a 47º)</w:t>
      </w:r>
    </w:p>
    <w:p w:rsidR="00000000" w:rsidDel="00000000" w:rsidP="00000000" w:rsidRDefault="00000000" w:rsidRPr="00000000" w14:paraId="0000000B">
      <w:pPr>
        <w:shd w:fill="ffffff" w:val="clear"/>
        <w:spacing w:after="220"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Resposta: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shd w:fill="ffffff" w:val="clear"/>
        <w:spacing w:after="220" w:line="240" w:lineRule="auto"/>
        <w:jc w:val="center"/>
        <w:rPr>
          <w:rFonts w:ascii="Roboto" w:cs="Roboto" w:eastAsia="Roboto" w:hAnsi="Roboto"/>
          <w:color w:val="666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rtl w:val="0"/>
        </w:rPr>
        <w:t xml:space="preserve">Artigo 44.º</w:t>
      </w:r>
    </w:p>
    <w:p w:rsidR="00000000" w:rsidDel="00000000" w:rsidP="00000000" w:rsidRDefault="00000000" w:rsidRPr="00000000" w14:paraId="0000000D">
      <w:pPr>
        <w:shd w:fill="ffffff" w:val="clear"/>
        <w:spacing w:after="160" w:line="384.00000000000006" w:lineRule="auto"/>
        <w:jc w:val="center"/>
        <w:rPr>
          <w:rFonts w:ascii="Roboto" w:cs="Roboto" w:eastAsia="Roboto" w:hAnsi="Roboto"/>
          <w:color w:val="666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rtl w:val="0"/>
        </w:rPr>
        <w:t xml:space="preserve">Direito de deslocação e de emigração</w:t>
      </w:r>
    </w:p>
    <w:p w:rsidR="00000000" w:rsidDel="00000000" w:rsidP="00000000" w:rsidRDefault="00000000" w:rsidRPr="00000000" w14:paraId="0000000E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1. A todos os cidadãos é garantido o direito de se deslocarem e fixarem livremente em qualquer parte do território nacional.</w:t>
      </w:r>
    </w:p>
    <w:p w:rsidR="00000000" w:rsidDel="00000000" w:rsidP="00000000" w:rsidRDefault="00000000" w:rsidRPr="00000000" w14:paraId="0000000F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2. A todos é garantido o direito de emigrar ou de sair do território nacional e o direito de regressar.</w:t>
      </w:r>
    </w:p>
    <w:p w:rsidR="00000000" w:rsidDel="00000000" w:rsidP="00000000" w:rsidRDefault="00000000" w:rsidRPr="00000000" w14:paraId="00000010">
      <w:pPr>
        <w:shd w:fill="ffffff" w:val="clear"/>
        <w:spacing w:after="160" w:line="384.00000000000006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384.00000000000006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 artigo 44 garante a todos os cidadãos portugueses a poderem se mover livremente para qualquer parte do país e ter casa na zona que quiserem.</w:t>
      </w:r>
    </w:p>
    <w:p w:rsidR="00000000" w:rsidDel="00000000" w:rsidP="00000000" w:rsidRDefault="00000000" w:rsidRPr="00000000" w14:paraId="00000012">
      <w:pPr>
        <w:shd w:fill="ffffff" w:val="clear"/>
        <w:spacing w:after="160" w:line="384.00000000000006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240" w:lineRule="auto"/>
        <w:ind w:left="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40" w:lineRule="auto"/>
        <w:ind w:left="0" w:firstLine="0"/>
        <w:jc w:val="both"/>
        <w:rPr>
          <w:rFonts w:ascii="Arial Narrow" w:cs="Arial Narrow" w:eastAsia="Arial Narrow" w:hAnsi="Arial Narrow"/>
          <w:sz w:val="24"/>
          <w:szCs w:val="24"/>
          <w:shd w:fill="ff9900" w:val="clear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shd w:fill="ff9900" w:val="clear"/>
          <w:rtl w:val="0"/>
        </w:rPr>
        <w:t xml:space="preserve">4. Transcreva um artigo da Constituição da República Portuguesa que contenha </w:t>
      </w:r>
      <w:commentRangeStart w:id="0"/>
      <w:r w:rsidDel="00000000" w:rsidR="00000000" w:rsidRPr="00000000">
        <w:rPr>
          <w:rFonts w:ascii="Arial Narrow" w:cs="Arial Narrow" w:eastAsia="Arial Narrow" w:hAnsi="Arial Narrow"/>
          <w:sz w:val="24"/>
          <w:szCs w:val="24"/>
          <w:shd w:fill="ff9900" w:val="clear"/>
          <w:rtl w:val="0"/>
        </w:rPr>
        <w:t xml:space="preserve">um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shd w:fill="ff9900" w:val="clear"/>
          <w:rtl w:val="0"/>
        </w:rPr>
        <w:t xml:space="preserve">direito social de qualquer cidadão e dê um exemplo concreto da sua aplicação. (CRP, capítulo II, Artigos 63º a 72º).</w:t>
      </w:r>
    </w:p>
    <w:p w:rsidR="00000000" w:rsidDel="00000000" w:rsidP="00000000" w:rsidRDefault="00000000" w:rsidRPr="00000000" w14:paraId="00000015">
      <w:pPr>
        <w:shd w:fill="ffffff" w:val="clear"/>
        <w:spacing w:after="220"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666666"/>
          <w:sz w:val="23"/>
          <w:szCs w:val="23"/>
        </w:rPr>
      </w:pPr>
      <w:r w:rsidDel="00000000" w:rsidR="00000000" w:rsidRPr="00000000">
        <w:rPr>
          <w:b w:val="1"/>
          <w:u w:val="single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rtl w:val="0"/>
        </w:rPr>
        <w:t xml:space="preserve">Artigo 65.º</w:t>
      </w:r>
    </w:p>
    <w:p w:rsidR="00000000" w:rsidDel="00000000" w:rsidP="00000000" w:rsidRDefault="00000000" w:rsidRPr="00000000" w14:paraId="00000017">
      <w:pPr>
        <w:shd w:fill="ffffff" w:val="clear"/>
        <w:spacing w:after="160" w:line="384.00000000000006" w:lineRule="auto"/>
        <w:jc w:val="center"/>
        <w:rPr>
          <w:rFonts w:ascii="Roboto" w:cs="Roboto" w:eastAsia="Roboto" w:hAnsi="Roboto"/>
          <w:color w:val="666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rtl w:val="0"/>
        </w:rPr>
        <w:t xml:space="preserve">Habitação e urbanismo</w:t>
      </w:r>
    </w:p>
    <w:p w:rsidR="00000000" w:rsidDel="00000000" w:rsidP="00000000" w:rsidRDefault="00000000" w:rsidRPr="00000000" w14:paraId="00000018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1. Todos têm direito, para si e para a sua família, a uma habitação de dimensão adequada, em condições de higiene e conforto e que preserve a intimidade pessoal e a privacidade familiar.</w:t>
      </w:r>
    </w:p>
    <w:p w:rsidR="00000000" w:rsidDel="00000000" w:rsidP="00000000" w:rsidRDefault="00000000" w:rsidRPr="00000000" w14:paraId="00000019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2. Para assegurar o direito à habitação, incumbe ao Estado:</w:t>
      </w:r>
    </w:p>
    <w:p w:rsidR="00000000" w:rsidDel="00000000" w:rsidP="00000000" w:rsidRDefault="00000000" w:rsidRPr="00000000" w14:paraId="0000001A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a) Programar e executar uma política de habitação inserida em planos de ordenamento geral do território e apoiada em planos de urbanização que garantam a existência de uma rede adequada de transportes e de equipamento social;</w:t>
      </w:r>
    </w:p>
    <w:p w:rsidR="00000000" w:rsidDel="00000000" w:rsidP="00000000" w:rsidRDefault="00000000" w:rsidRPr="00000000" w14:paraId="0000001B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b) Promover, em colaboração com as regiões autónomas e com as autarquias locais, a construção de habitações económicas e sociais;</w:t>
      </w:r>
    </w:p>
    <w:p w:rsidR="00000000" w:rsidDel="00000000" w:rsidP="00000000" w:rsidRDefault="00000000" w:rsidRPr="00000000" w14:paraId="0000001C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c) Estimular a construção privada, com subordinação ao interesse geral, e o acesso à habitação própria ou arrendada;</w:t>
      </w:r>
    </w:p>
    <w:p w:rsidR="00000000" w:rsidDel="00000000" w:rsidP="00000000" w:rsidRDefault="00000000" w:rsidRPr="00000000" w14:paraId="0000001D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d) Incentivar e apoiar as iniciativas das comunidades locais e das populações, tendentes a resolver os respetivos problemas habitacionais e a fomentar a criação de cooperativas de habitação e a autoconstrução.</w:t>
      </w:r>
    </w:p>
    <w:p w:rsidR="00000000" w:rsidDel="00000000" w:rsidP="00000000" w:rsidRDefault="00000000" w:rsidRPr="00000000" w14:paraId="0000001E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3. O Estado adotará uma política tendente a estabelecer um sistema de renda compatível com o rendimento familiar e de acesso à habitação própria.</w:t>
      </w:r>
    </w:p>
    <w:p w:rsidR="00000000" w:rsidDel="00000000" w:rsidP="00000000" w:rsidRDefault="00000000" w:rsidRPr="00000000" w14:paraId="0000001F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4. O Estado, as regiões autónomas e as autarquias locais definem as regras de ocupação, uso e transformação dos solos urbanos, designadamente através de instrumentos de planeamento, no quadro das leis respeitantes ao ordenamento do território e ao urbanismo, e procedem às expropriações dos solos que se revelem necessárias à satisfação de fins de utilidade pública urbanística.</w:t>
      </w:r>
    </w:p>
    <w:p w:rsidR="00000000" w:rsidDel="00000000" w:rsidP="00000000" w:rsidRDefault="00000000" w:rsidRPr="00000000" w14:paraId="00000020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5. É garantida a participação dos interessados na elaboração dos instrumentos de planeamento urbanístico e de quaisquer outros instrumentos de planeamento físico do território.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Este artigo dá ao cidadão e à sua família o direito a uma casa de habitação devidamente planeada e sistemas sociais adjacentes a esta habitação.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highlight w:val="white"/>
          <w:rtl w:val="0"/>
        </w:rPr>
        <w:t xml:space="preserve">Artigo 67.º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Roboto" w:cs="Roboto" w:eastAsia="Roboto" w:hAnsi="Roboto"/>
          <w:color w:val="666666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666666"/>
          <w:sz w:val="23"/>
          <w:szCs w:val="23"/>
          <w:rtl w:val="0"/>
        </w:rPr>
        <w:t xml:space="preserve">Família</w:t>
      </w:r>
    </w:p>
    <w:p w:rsidR="00000000" w:rsidDel="00000000" w:rsidP="00000000" w:rsidRDefault="00000000" w:rsidRPr="00000000" w14:paraId="00000027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1. A família, como elemento fundamental da sociedade, tem direito à proteção da sociedade e do Estado e à efetivação de todas as condições que permitam a realização pessoal dos seus membros.</w:t>
      </w:r>
    </w:p>
    <w:p w:rsidR="00000000" w:rsidDel="00000000" w:rsidP="00000000" w:rsidRDefault="00000000" w:rsidRPr="00000000" w14:paraId="00000028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2. Incumbe, designadamente, ao Estado para proteção da família:</w:t>
      </w:r>
    </w:p>
    <w:p w:rsidR="00000000" w:rsidDel="00000000" w:rsidP="00000000" w:rsidRDefault="00000000" w:rsidRPr="00000000" w14:paraId="00000029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a) Promover a independência social e económica dos agregados familiares;</w:t>
      </w:r>
    </w:p>
    <w:p w:rsidR="00000000" w:rsidDel="00000000" w:rsidP="00000000" w:rsidRDefault="00000000" w:rsidRPr="00000000" w14:paraId="0000002A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b) Promover a criação e garantir o acesso a uma rede nacional de creches e de outros equipamentos sociais de apoio à família, bem como uma política de terceira idade;</w:t>
      </w:r>
    </w:p>
    <w:p w:rsidR="00000000" w:rsidDel="00000000" w:rsidP="00000000" w:rsidRDefault="00000000" w:rsidRPr="00000000" w14:paraId="0000002B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c) Cooperar com os pais na educação dos filhos;</w:t>
      </w:r>
    </w:p>
    <w:p w:rsidR="00000000" w:rsidDel="00000000" w:rsidP="00000000" w:rsidRDefault="00000000" w:rsidRPr="00000000" w14:paraId="0000002C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d) Garantir, no respeito da liberdade individual, o direito ao planeamento familiar, promovendo a informação e o acesso aos métodos e aos meios que o assegurem, e organizar as estruturas jurídicas e técnicas que permitam o exercício de uma maternidade e paternidade conscientes;</w:t>
      </w:r>
    </w:p>
    <w:p w:rsidR="00000000" w:rsidDel="00000000" w:rsidP="00000000" w:rsidRDefault="00000000" w:rsidRPr="00000000" w14:paraId="0000002D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e) Regulamentar a procriação assistida, em termos que salvaguardem a dignidade da pessoa humana;</w:t>
      </w:r>
    </w:p>
    <w:p w:rsidR="00000000" w:rsidDel="00000000" w:rsidP="00000000" w:rsidRDefault="00000000" w:rsidRPr="00000000" w14:paraId="0000002E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f) Regular os impostos e os benefícios sociais, de harmonia com os encargos familiares;</w:t>
      </w:r>
    </w:p>
    <w:p w:rsidR="00000000" w:rsidDel="00000000" w:rsidP="00000000" w:rsidRDefault="00000000" w:rsidRPr="00000000" w14:paraId="0000002F">
      <w:pPr>
        <w:shd w:fill="ffffff" w:val="clear"/>
        <w:spacing w:after="160" w:line="384.00000000000006" w:lineRule="auto"/>
        <w:jc w:val="both"/>
        <w:rPr>
          <w:rFonts w:ascii="Roboto" w:cs="Roboto" w:eastAsia="Roboto" w:hAnsi="Roboto"/>
          <w:color w:val="9b9b9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g) Definir, ouvidas as associações representativas das famílias, e executar uma política de família com carácter global e integrado;</w:t>
      </w:r>
    </w:p>
    <w:p w:rsidR="00000000" w:rsidDel="00000000" w:rsidP="00000000" w:rsidRDefault="00000000" w:rsidRPr="00000000" w14:paraId="00000030">
      <w:pPr>
        <w:shd w:fill="ffffff" w:val="clear"/>
        <w:spacing w:after="160" w:line="384.00000000000006" w:lineRule="auto"/>
        <w:jc w:val="both"/>
        <w:rPr/>
      </w:pPr>
      <w:r w:rsidDel="00000000" w:rsidR="00000000" w:rsidRPr="00000000">
        <w:rPr>
          <w:rFonts w:ascii="Roboto" w:cs="Roboto" w:eastAsia="Roboto" w:hAnsi="Roboto"/>
          <w:color w:val="9b9b9b"/>
          <w:sz w:val="23"/>
          <w:szCs w:val="23"/>
          <w:rtl w:val="0"/>
        </w:rPr>
        <w:t xml:space="preserve">h) Promover, através da concertação das várias políticas sectoriais, a conciliação da atividade profissional com a vida familiar.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1">
      <w:pPr>
        <w:shd w:fill="ffffff" w:val="clear"/>
        <w:spacing w:after="16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Este artigo garante ao cidadão e à sua família um ambiente familiar seguro, sustentável e acessível, tanto para os membros mais idosos dessa família como para os mais novos.</w:t>
      </w:r>
    </w:p>
    <w:p w:rsidR="00000000" w:rsidDel="00000000" w:rsidP="00000000" w:rsidRDefault="00000000" w:rsidRPr="00000000" w14:paraId="00000032">
      <w:pPr>
        <w:shd w:fill="ffffff" w:val="clear"/>
        <w:spacing w:after="160" w:line="384.00000000000006" w:lineRule="auto"/>
        <w:jc w:val="both"/>
        <w:rPr/>
      </w:pPr>
      <w:r w:rsidDel="00000000" w:rsidR="00000000" w:rsidRPr="00000000">
        <w:rPr>
          <w:rtl w:val="0"/>
        </w:rPr>
        <w:t xml:space="preserve">Este artigo incumbe o estado a disponibilização deste ambiente seguro com segurança pública, sustentabilidade com a regulação de impostos e benefícios e acessibilidade ao providenciar escolas, creches e lares para os diversos membros da família.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Filomena Curado" w:id="0" w:date="2024-09-30T11:59:28Z"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só um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