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Times New Roman" w:hAnsi="Times New Roman"/>
          <w:b/>
          <w:color w:val="17365D"/>
          <w:sz w:val="50"/>
        </w:rPr>
        <w:t>WEEK 07 FULL PROGRESS SUMMARY</w:t>
      </w:r>
    </w:p>
    <w:p>
      <w:pPr>
        <w:jc w:val="center"/>
      </w:pPr>
      <w:r>
        <w:rPr>
          <w:rFonts w:ascii="Times New Roman" w:hAnsi="Times New Roman"/>
          <w:b/>
          <w:color w:val="1F4E78"/>
          <w:sz w:val="34"/>
        </w:rPr>
        <w:t>Fabrication Strategy, Sensor Signal Architecture and Supervisor Review Workflow</w:t>
      </w:r>
    </w:p>
    <w:p>
      <w:pPr>
        <w:spacing w:before="360"/>
        <w:jc w:val="center"/>
      </w:pPr>
      <w:r>
        <w:rPr>
          <w:rFonts w:ascii="Times New Roman" w:hAnsi="Times New Roman"/>
          <w:i/>
          <w:sz w:val="28"/>
        </w:rPr>
        <w:t>Ultra-Low-Cost Wearable Smart Patch for Diabetic Foot Ulcer Monitoring</w:t>
      </w:r>
    </w:p>
    <w:p/>
    <w:tbl>
      <w:tblPr>
        <w:tblStyle w:val="TableGrid"/>
        <w:tblW w:type="auto" w:w="0"/>
        <w:jc w:val="center"/>
        <w:tblLook w:firstColumn="1" w:firstRow="1" w:lastColumn="0" w:lastRow="0" w:noHBand="0" w:noVBand="1" w:val="04A0"/>
      </w:tblPr>
      <w:tblGrid>
        <w:gridCol w:w="4997"/>
        <w:gridCol w:w="4997"/>
      </w:tblGrid>
      <w:tr>
        <w:trPr>
          <w:cantSplit/>
        </w:trPr>
        <w:tc>
          <w:tcPr>
            <w:tcW w:type="dxa" w:w="2376"/>
            <w:shd w:fill="D9EAF7"/>
            <w:vAlign w:val="center"/>
            <w:tcMar>
              <w:top w:w="80" w:type="dxa"/>
              <w:start w:w="90" w:type="dxa"/>
              <w:bottom w:w="80" w:type="dxa"/>
              <w:end w:w="90" w:type="dxa"/>
            </w:tcMar>
          </w:tcPr>
          <w:p>
            <w:pPr>
              <w:spacing w:after="0" w:before="0"/>
            </w:pPr>
            <w:r>
              <w:rPr>
                <w:rFonts w:ascii="Times New Roman" w:hAnsi="Times New Roman"/>
                <w:b/>
                <w:sz w:val="21"/>
              </w:rPr>
              <w:t>Project stage</w:t>
            </w:r>
          </w:p>
        </w:tc>
        <w:tc>
          <w:tcPr>
            <w:tcW w:type="dxa" w:w="6696"/>
            <w:vAlign w:val="center"/>
            <w:tcMar>
              <w:top w:w="80" w:type="dxa"/>
              <w:start w:w="90" w:type="dxa"/>
              <w:bottom w:w="80" w:type="dxa"/>
              <w:end w:w="90" w:type="dxa"/>
            </w:tcMar>
          </w:tcPr>
          <w:p>
            <w:pPr>
              <w:spacing w:after="0" w:before="0"/>
            </w:pPr>
            <w:r>
              <w:rPr>
                <w:rFonts w:ascii="Times New Roman" w:hAnsi="Times New Roman"/>
                <w:sz w:val="21"/>
              </w:rPr>
              <w:t>Final Year Project - Week 07</w:t>
            </w:r>
          </w:p>
        </w:tc>
      </w:tr>
      <w:tr>
        <w:trPr>
          <w:cantSplit/>
        </w:trPr>
        <w:tc>
          <w:tcPr>
            <w:tcW w:type="dxa" w:w="2376"/>
            <w:shd w:fill="D9EAF7"/>
            <w:vAlign w:val="center"/>
            <w:tcMar>
              <w:top w:w="80" w:type="dxa"/>
              <w:start w:w="90" w:type="dxa"/>
              <w:bottom w:w="80" w:type="dxa"/>
              <w:end w:w="90" w:type="dxa"/>
            </w:tcMar>
          </w:tcPr>
          <w:p>
            <w:pPr>
              <w:spacing w:after="0" w:before="0"/>
            </w:pPr>
            <w:r>
              <w:rPr>
                <w:rFonts w:ascii="Times New Roman" w:hAnsi="Times New Roman"/>
                <w:b/>
                <w:sz w:val="21"/>
              </w:rPr>
              <w:t>Prepared by</w:t>
            </w:r>
          </w:p>
        </w:tc>
        <w:tc>
          <w:tcPr>
            <w:tcW w:type="dxa" w:w="6696"/>
            <w:vAlign w:val="center"/>
            <w:tcMar>
              <w:top w:w="80" w:type="dxa"/>
              <w:start w:w="90" w:type="dxa"/>
              <w:bottom w:w="80" w:type="dxa"/>
              <w:end w:w="90" w:type="dxa"/>
            </w:tcMar>
          </w:tcPr>
          <w:p>
            <w:pPr>
              <w:spacing w:after="0" w:before="0"/>
            </w:pPr>
            <w:r>
              <w:rPr>
                <w:rFonts w:ascii="Times New Roman" w:hAnsi="Times New Roman"/>
                <w:sz w:val="21"/>
              </w:rPr>
              <w:t>Vikum</w:t>
            </w:r>
          </w:p>
        </w:tc>
      </w:tr>
      <w:tr>
        <w:trPr>
          <w:cantSplit/>
        </w:trPr>
        <w:tc>
          <w:tcPr>
            <w:tcW w:type="dxa" w:w="2376"/>
            <w:shd w:fill="D9EAF7"/>
            <w:vAlign w:val="center"/>
            <w:tcMar>
              <w:top w:w="80" w:type="dxa"/>
              <w:start w:w="90" w:type="dxa"/>
              <w:bottom w:w="80" w:type="dxa"/>
              <w:end w:w="90" w:type="dxa"/>
            </w:tcMar>
          </w:tcPr>
          <w:p>
            <w:pPr>
              <w:spacing w:after="0" w:before="0"/>
            </w:pPr>
            <w:r>
              <w:rPr>
                <w:rFonts w:ascii="Times New Roman" w:hAnsi="Times New Roman"/>
                <w:b/>
                <w:sz w:val="21"/>
              </w:rPr>
              <w:t>Prepared for</w:t>
            </w:r>
          </w:p>
        </w:tc>
        <w:tc>
          <w:tcPr>
            <w:tcW w:type="dxa" w:w="6696"/>
            <w:vAlign w:val="center"/>
            <w:tcMar>
              <w:top w:w="80" w:type="dxa"/>
              <w:start w:w="90" w:type="dxa"/>
              <w:bottom w:w="80" w:type="dxa"/>
              <w:end w:w="90" w:type="dxa"/>
            </w:tcMar>
          </w:tcPr>
          <w:p>
            <w:pPr>
              <w:spacing w:after="0" w:before="0"/>
            </w:pPr>
            <w:r>
              <w:rPr>
                <w:rFonts w:ascii="Times New Roman" w:hAnsi="Times New Roman"/>
                <w:sz w:val="21"/>
              </w:rPr>
              <w:t>Dr. Ruwan and Dr. Anjali - Supervisory Review</w:t>
            </w:r>
          </w:p>
        </w:tc>
      </w:tr>
      <w:tr>
        <w:trPr>
          <w:cantSplit/>
        </w:trPr>
        <w:tc>
          <w:tcPr>
            <w:tcW w:type="dxa" w:w="2376"/>
            <w:shd w:fill="D9EAF7"/>
            <w:vAlign w:val="center"/>
            <w:tcMar>
              <w:top w:w="80" w:type="dxa"/>
              <w:start w:w="90" w:type="dxa"/>
              <w:bottom w:w="80" w:type="dxa"/>
              <w:end w:w="90" w:type="dxa"/>
            </w:tcMar>
          </w:tcPr>
          <w:p>
            <w:pPr>
              <w:spacing w:after="0" w:before="0"/>
            </w:pPr>
            <w:r>
              <w:rPr>
                <w:rFonts w:ascii="Times New Roman" w:hAnsi="Times New Roman"/>
                <w:b/>
                <w:sz w:val="21"/>
              </w:rPr>
              <w:t>Reporting period</w:t>
            </w:r>
          </w:p>
        </w:tc>
        <w:tc>
          <w:tcPr>
            <w:tcW w:type="dxa" w:w="6696"/>
            <w:vAlign w:val="center"/>
            <w:tcMar>
              <w:top w:w="80" w:type="dxa"/>
              <w:start w:w="90" w:type="dxa"/>
              <w:bottom w:w="80" w:type="dxa"/>
              <w:end w:w="90" w:type="dxa"/>
            </w:tcMar>
          </w:tcPr>
          <w:p>
            <w:pPr>
              <w:spacing w:after="0" w:before="0"/>
            </w:pPr>
            <w:r>
              <w:rPr>
                <w:rFonts w:ascii="Times New Roman" w:hAnsi="Times New Roman"/>
                <w:sz w:val="21"/>
              </w:rPr>
              <w:t>Week 07</w:t>
            </w:r>
          </w:p>
        </w:tc>
      </w:tr>
      <w:tr>
        <w:trPr>
          <w:cantSplit/>
        </w:trPr>
        <w:tc>
          <w:tcPr>
            <w:tcW w:type="dxa" w:w="2376"/>
            <w:shd w:fill="D9EAF7"/>
            <w:vAlign w:val="center"/>
            <w:tcMar>
              <w:top w:w="80" w:type="dxa"/>
              <w:start w:w="90" w:type="dxa"/>
              <w:bottom w:w="80" w:type="dxa"/>
              <w:end w:w="90" w:type="dxa"/>
            </w:tcMar>
          </w:tcPr>
          <w:p>
            <w:pPr>
              <w:spacing w:after="0" w:before="0"/>
            </w:pPr>
            <w:r>
              <w:rPr>
                <w:rFonts w:ascii="Times New Roman" w:hAnsi="Times New Roman"/>
                <w:b/>
                <w:sz w:val="21"/>
              </w:rPr>
              <w:t>Main focus</w:t>
            </w:r>
          </w:p>
        </w:tc>
        <w:tc>
          <w:tcPr>
            <w:tcW w:type="dxa" w:w="6696"/>
            <w:vAlign w:val="center"/>
            <w:tcMar>
              <w:top w:w="80" w:type="dxa"/>
              <w:start w:w="90" w:type="dxa"/>
              <w:bottom w:w="80" w:type="dxa"/>
              <w:end w:w="90" w:type="dxa"/>
            </w:tcMar>
          </w:tcPr>
          <w:p>
            <w:pPr>
              <w:spacing w:after="0" w:before="0"/>
            </w:pPr>
            <w:r>
              <w:rPr>
                <w:rFonts w:ascii="Times New Roman" w:hAnsi="Times New Roman"/>
                <w:sz w:val="21"/>
              </w:rPr>
              <w:t>Prototype fabrication planning and complete sensor-to-DAQ architecture</w:t>
            </w:r>
          </w:p>
        </w:tc>
      </w:tr>
      <w:tr>
        <w:trPr>
          <w:cantSplit/>
        </w:trPr>
        <w:tc>
          <w:tcPr>
            <w:tcW w:type="dxa" w:w="2376"/>
            <w:shd w:fill="D9EAF7"/>
            <w:vAlign w:val="center"/>
            <w:tcMar>
              <w:top w:w="80" w:type="dxa"/>
              <w:start w:w="90" w:type="dxa"/>
              <w:bottom w:w="80" w:type="dxa"/>
              <w:end w:w="90" w:type="dxa"/>
            </w:tcMar>
          </w:tcPr>
          <w:p>
            <w:pPr>
              <w:spacing w:after="0" w:before="0"/>
            </w:pPr>
            <w:r>
              <w:rPr>
                <w:rFonts w:ascii="Times New Roman" w:hAnsi="Times New Roman"/>
                <w:b/>
                <w:sz w:val="21"/>
              </w:rPr>
              <w:t>Document status</w:t>
            </w:r>
          </w:p>
        </w:tc>
        <w:tc>
          <w:tcPr>
            <w:tcW w:type="dxa" w:w="6696"/>
            <w:vAlign w:val="center"/>
            <w:tcMar>
              <w:top w:w="80" w:type="dxa"/>
              <w:start w:w="90" w:type="dxa"/>
              <w:bottom w:w="80" w:type="dxa"/>
              <w:end w:w="90" w:type="dxa"/>
            </w:tcMar>
          </w:tcPr>
          <w:p>
            <w:pPr>
              <w:spacing w:after="0" w:before="0"/>
            </w:pPr>
            <w:r>
              <w:rPr>
                <w:rFonts w:ascii="Times New Roman" w:hAnsi="Times New Roman"/>
                <w:sz w:val="21"/>
              </w:rPr>
              <w:t>Engineering progress report; laboratory validation pending</w:t>
            </w:r>
          </w:p>
        </w:tc>
      </w:tr>
    </w:tbl>
    <w:p/>
    <w:tbl>
      <w:tblPr>
        <w:tblStyle w:val="TableGrid"/>
        <w:tblW w:type="auto" w:w="0"/>
        <w:jc w:val="center"/>
        <w:tblLook w:firstColumn="1" w:firstRow="1" w:lastColumn="0" w:lastRow="0" w:noHBand="0" w:noVBand="1" w:val="04A0"/>
      </w:tblPr>
      <w:tblGrid>
        <w:gridCol w:w="9994"/>
      </w:tblGrid>
      <w:tr>
        <w:trPr>
          <w:cantSplit/>
        </w:trPr>
        <w:tc>
          <w:tcPr>
            <w:tcW w:type="dxa" w:w="9994"/>
            <w:shd w:fill="EAF2F8"/>
            <w:tcMar>
              <w:top w:w="120" w:type="dxa"/>
              <w:start w:w="140" w:type="dxa"/>
              <w:bottom w:w="120" w:type="dxa"/>
              <w:end w:w="140" w:type="dxa"/>
            </w:tcMar>
          </w:tcPr>
          <w:p>
            <w:r>
              <w:rPr>
                <w:rFonts w:ascii="Times New Roman" w:hAnsi="Times New Roman"/>
                <w:b/>
                <w:sz w:val="20"/>
              </w:rPr>
              <w:t xml:space="preserve">Scope statement: </w:t>
            </w:r>
            <w:r>
              <w:rPr>
                <w:rFonts w:ascii="Times New Roman" w:hAnsi="Times New Roman"/>
                <w:sz w:val="20"/>
              </w:rPr>
              <w:t>This document records the design work completed in Week 07. It is intended for supervisor discussion and bench-prototype planning. It does not claim that the patch is medically certified, sterile, biocompatible, clinically accurate or ready for use on an open wound.</w:t>
            </w:r>
          </w:p>
        </w:tc>
      </w:tr>
    </w:tbl>
    <w:p>
      <w:pPr>
        <w:spacing w:before="560"/>
        <w:jc w:val="center"/>
      </w:pPr>
      <w:r>
        <w:rPr>
          <w:rFonts w:ascii="Times New Roman" w:hAnsi="Times New Roman"/>
          <w:color w:val="5A5A5A"/>
          <w:sz w:val="22"/>
        </w:rPr>
        <w:t>July 2026</w:t>
      </w:r>
    </w:p>
    <w:p>
      <w:r>
        <w:rPr>
          <w:rFonts w:ascii="Times New Roman" w:hAnsi="Times New Roman"/>
        </w:rPr>
        <w:br w:type="page"/>
      </w:r>
    </w:p>
    <w:p>
      <w:pPr>
        <w:pStyle w:val="Heading1"/>
      </w:pPr>
      <w:r>
        <w:rPr>
          <w:rFonts w:ascii="Times New Roman" w:hAnsi="Times New Roman"/>
        </w:rPr>
        <w:t>Document Overview</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73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9"/>
              </w:rPr>
              <w:t>Section</w:t>
            </w:r>
          </w:p>
        </w:tc>
        <w:tc>
          <w:tcPr>
            <w:tcW w:type="dxa" w:w="6624"/>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9"/>
              </w:rPr>
              <w:t>Purpose</w:t>
            </w:r>
          </w:p>
        </w:tc>
      </w:tr>
      <w:tr>
        <w:trPr>
          <w:cantSplit/>
        </w:trPr>
        <w:tc>
          <w:tcPr>
            <w:tcW w:type="dxa" w:w="2736"/>
            <w:vAlign w:val="center"/>
            <w:tcMar>
              <w:top w:w="80" w:type="dxa"/>
              <w:start w:w="90" w:type="dxa"/>
              <w:bottom w:w="80" w:type="dxa"/>
              <w:end w:w="90" w:type="dxa"/>
            </w:tcMar>
          </w:tcPr>
          <w:p>
            <w:pPr>
              <w:spacing w:after="0" w:before="0"/>
            </w:pPr>
            <w:r>
              <w:rPr>
                <w:rFonts w:ascii="Times New Roman" w:hAnsi="Times New Roman"/>
                <w:sz w:val="19"/>
              </w:rPr>
              <w:t>1. Executive Summary</w:t>
            </w:r>
          </w:p>
        </w:tc>
        <w:tc>
          <w:tcPr>
            <w:tcW w:type="dxa" w:w="6624"/>
            <w:vAlign w:val="center"/>
            <w:tcMar>
              <w:top w:w="80" w:type="dxa"/>
              <w:start w:w="90" w:type="dxa"/>
              <w:bottom w:w="80" w:type="dxa"/>
              <w:end w:w="90" w:type="dxa"/>
            </w:tcMar>
          </w:tcPr>
          <w:p>
            <w:pPr>
              <w:spacing w:after="0" w:before="0"/>
            </w:pPr>
            <w:r>
              <w:rPr>
                <w:rFonts w:ascii="Times New Roman" w:hAnsi="Times New Roman"/>
                <w:sz w:val="19"/>
              </w:rPr>
              <w:t>Summarizes the engineering progress and the most important Week 07 outcomes.</w:t>
            </w:r>
          </w:p>
        </w:tc>
      </w:tr>
      <w:tr>
        <w:trPr>
          <w:cantSplit/>
        </w:trPr>
        <w:tc>
          <w:tcPr>
            <w:tcW w:type="dxa" w:w="2736"/>
            <w:vAlign w:val="center"/>
            <w:tcMar>
              <w:top w:w="80" w:type="dxa"/>
              <w:start w:w="90" w:type="dxa"/>
              <w:bottom w:w="80" w:type="dxa"/>
              <w:end w:w="90" w:type="dxa"/>
            </w:tcMar>
          </w:tcPr>
          <w:p>
            <w:pPr>
              <w:spacing w:after="0" w:before="0"/>
            </w:pPr>
            <w:r>
              <w:rPr>
                <w:rFonts w:ascii="Times New Roman" w:hAnsi="Times New Roman"/>
                <w:sz w:val="19"/>
              </w:rPr>
              <w:t>2. Week 07 Objectives and Status</w:t>
            </w:r>
          </w:p>
        </w:tc>
        <w:tc>
          <w:tcPr>
            <w:tcW w:type="dxa" w:w="6624"/>
            <w:vAlign w:val="center"/>
            <w:tcMar>
              <w:top w:w="80" w:type="dxa"/>
              <w:start w:w="90" w:type="dxa"/>
              <w:bottom w:w="80" w:type="dxa"/>
              <w:end w:w="90" w:type="dxa"/>
            </w:tcMar>
          </w:tcPr>
          <w:p>
            <w:pPr>
              <w:spacing w:after="0" w:before="0"/>
            </w:pPr>
            <w:r>
              <w:rPr>
                <w:rFonts w:ascii="Times New Roman" w:hAnsi="Times New Roman"/>
                <w:sz w:val="19"/>
              </w:rPr>
              <w:t>Shows what was planned, completed, defined or left for validation.</w:t>
            </w:r>
          </w:p>
        </w:tc>
      </w:tr>
      <w:tr>
        <w:trPr>
          <w:cantSplit/>
        </w:trPr>
        <w:tc>
          <w:tcPr>
            <w:tcW w:type="dxa" w:w="2736"/>
            <w:vAlign w:val="center"/>
            <w:tcMar>
              <w:top w:w="80" w:type="dxa"/>
              <w:start w:w="90" w:type="dxa"/>
              <w:bottom w:w="80" w:type="dxa"/>
              <w:end w:w="90" w:type="dxa"/>
            </w:tcMar>
          </w:tcPr>
          <w:p>
            <w:pPr>
              <w:spacing w:after="0" w:before="0"/>
            </w:pPr>
            <w:r>
              <w:rPr>
                <w:rFonts w:ascii="Times New Roman" w:hAnsi="Times New Roman"/>
                <w:sz w:val="19"/>
              </w:rPr>
              <w:t>3. Fabrication and BOM Study</w:t>
            </w:r>
          </w:p>
        </w:tc>
        <w:tc>
          <w:tcPr>
            <w:tcW w:type="dxa" w:w="6624"/>
            <w:vAlign w:val="center"/>
            <w:tcMar>
              <w:top w:w="80" w:type="dxa"/>
              <w:start w:w="90" w:type="dxa"/>
              <w:bottom w:w="80" w:type="dxa"/>
              <w:end w:w="90" w:type="dxa"/>
            </w:tcMar>
          </w:tcPr>
          <w:p>
            <w:pPr>
              <w:spacing w:after="0" w:before="0"/>
            </w:pPr>
            <w:r>
              <w:rPr>
                <w:rFonts w:ascii="Times New Roman" w:hAnsi="Times New Roman"/>
                <w:sz w:val="19"/>
              </w:rPr>
              <w:t>Presents the six-layer low-cost fabrication strategy, materials and accessible facilities.</w:t>
            </w:r>
          </w:p>
        </w:tc>
      </w:tr>
      <w:tr>
        <w:trPr>
          <w:cantSplit/>
        </w:trPr>
        <w:tc>
          <w:tcPr>
            <w:tcW w:type="dxa" w:w="2736"/>
            <w:vAlign w:val="center"/>
            <w:tcMar>
              <w:top w:w="80" w:type="dxa"/>
              <w:start w:w="90" w:type="dxa"/>
              <w:bottom w:w="80" w:type="dxa"/>
              <w:end w:w="90" w:type="dxa"/>
            </w:tcMar>
          </w:tcPr>
          <w:p>
            <w:pPr>
              <w:spacing w:after="0" w:before="0"/>
            </w:pPr>
            <w:r>
              <w:rPr>
                <w:rFonts w:ascii="Times New Roman" w:hAnsi="Times New Roman"/>
                <w:sz w:val="19"/>
              </w:rPr>
              <w:t>4. Sensor Signal and DAQ Architecture</w:t>
            </w:r>
          </w:p>
        </w:tc>
        <w:tc>
          <w:tcPr>
            <w:tcW w:type="dxa" w:w="6624"/>
            <w:vAlign w:val="center"/>
            <w:tcMar>
              <w:top w:w="80" w:type="dxa"/>
              <w:start w:w="90" w:type="dxa"/>
              <w:bottom w:w="80" w:type="dxa"/>
              <w:end w:w="90" w:type="dxa"/>
            </w:tcMar>
          </w:tcPr>
          <w:p>
            <w:pPr>
              <w:spacing w:after="0" w:before="0"/>
            </w:pPr>
            <w:r>
              <w:rPr>
                <w:rFonts w:ascii="Times New Roman" w:hAnsi="Times New Roman"/>
                <w:sz w:val="19"/>
              </w:rPr>
              <w:t>Explains pH, temperature and moisture signal requirements and the revised electronics.</w:t>
            </w:r>
          </w:p>
        </w:tc>
      </w:tr>
      <w:tr>
        <w:trPr>
          <w:cantSplit/>
        </w:trPr>
        <w:tc>
          <w:tcPr>
            <w:tcW w:type="dxa" w:w="2736"/>
            <w:vAlign w:val="center"/>
            <w:tcMar>
              <w:top w:w="80" w:type="dxa"/>
              <w:start w:w="90" w:type="dxa"/>
              <w:bottom w:w="80" w:type="dxa"/>
              <w:end w:w="90" w:type="dxa"/>
            </w:tcMar>
          </w:tcPr>
          <w:p>
            <w:pPr>
              <w:spacing w:after="0" w:before="0"/>
            </w:pPr>
            <w:r>
              <w:rPr>
                <w:rFonts w:ascii="Times New Roman" w:hAnsi="Times New Roman"/>
                <w:sz w:val="19"/>
              </w:rPr>
              <w:t>5. Patch-to-Module Interface and Safety</w:t>
            </w:r>
          </w:p>
        </w:tc>
        <w:tc>
          <w:tcPr>
            <w:tcW w:type="dxa" w:w="6624"/>
            <w:vAlign w:val="center"/>
            <w:tcMar>
              <w:top w:w="80" w:type="dxa"/>
              <w:start w:w="90" w:type="dxa"/>
              <w:bottom w:w="80" w:type="dxa"/>
              <w:end w:w="90" w:type="dxa"/>
            </w:tcMar>
          </w:tcPr>
          <w:p>
            <w:pPr>
              <w:spacing w:after="0" w:before="0"/>
            </w:pPr>
            <w:r>
              <w:rPr>
                <w:rFonts w:ascii="Times New Roman" w:hAnsi="Times New Roman"/>
                <w:sz w:val="19"/>
              </w:rPr>
              <w:t>Defines the 12-pin interface, separation, current limiting and mechanical protection.</w:t>
            </w:r>
          </w:p>
        </w:tc>
      </w:tr>
      <w:tr>
        <w:trPr>
          <w:cantSplit/>
        </w:trPr>
        <w:tc>
          <w:tcPr>
            <w:tcW w:type="dxa" w:w="2736"/>
            <w:vAlign w:val="center"/>
            <w:tcMar>
              <w:top w:w="80" w:type="dxa"/>
              <w:start w:w="90" w:type="dxa"/>
              <w:bottom w:w="80" w:type="dxa"/>
              <w:end w:w="90" w:type="dxa"/>
            </w:tcMar>
          </w:tcPr>
          <w:p>
            <w:pPr>
              <w:spacing w:after="0" w:before="0"/>
            </w:pPr>
            <w:r>
              <w:rPr>
                <w:rFonts w:ascii="Times New Roman" w:hAnsi="Times New Roman"/>
                <w:sz w:val="19"/>
              </w:rPr>
              <w:t>6. Integrated Week 07 Workflow</w:t>
            </w:r>
          </w:p>
        </w:tc>
        <w:tc>
          <w:tcPr>
            <w:tcW w:type="dxa" w:w="6624"/>
            <w:vAlign w:val="center"/>
            <w:tcMar>
              <w:top w:w="80" w:type="dxa"/>
              <w:start w:w="90" w:type="dxa"/>
              <w:bottom w:w="80" w:type="dxa"/>
              <w:end w:w="90" w:type="dxa"/>
            </w:tcMar>
          </w:tcPr>
          <w:p>
            <w:pPr>
              <w:spacing w:after="0" w:before="0"/>
            </w:pPr>
            <w:r>
              <w:rPr>
                <w:rFonts w:ascii="Times New Roman" w:hAnsi="Times New Roman"/>
                <w:sz w:val="19"/>
              </w:rPr>
              <w:t>Connects research, fabrication, hardware and validation in one workflow.</w:t>
            </w:r>
          </w:p>
        </w:tc>
      </w:tr>
      <w:tr>
        <w:trPr>
          <w:cantSplit/>
        </w:trPr>
        <w:tc>
          <w:tcPr>
            <w:tcW w:type="dxa" w:w="2736"/>
            <w:vAlign w:val="center"/>
            <w:tcMar>
              <w:top w:w="80" w:type="dxa"/>
              <w:start w:w="90" w:type="dxa"/>
              <w:bottom w:w="80" w:type="dxa"/>
              <w:end w:w="90" w:type="dxa"/>
            </w:tcMar>
          </w:tcPr>
          <w:p>
            <w:pPr>
              <w:spacing w:after="0" w:before="0"/>
            </w:pPr>
            <w:r>
              <w:rPr>
                <w:rFonts w:ascii="Times New Roman" w:hAnsi="Times New Roman"/>
                <w:sz w:val="19"/>
              </w:rPr>
              <w:t>7. Validation and Week 08 Plan</w:t>
            </w:r>
          </w:p>
        </w:tc>
        <w:tc>
          <w:tcPr>
            <w:tcW w:type="dxa" w:w="6624"/>
            <w:vAlign w:val="center"/>
            <w:tcMar>
              <w:top w:w="80" w:type="dxa"/>
              <w:start w:w="90" w:type="dxa"/>
              <w:bottom w:w="80" w:type="dxa"/>
              <w:end w:w="90" w:type="dxa"/>
            </w:tcMar>
          </w:tcPr>
          <w:p>
            <w:pPr>
              <w:spacing w:after="0" w:before="0"/>
            </w:pPr>
            <w:r>
              <w:rPr>
                <w:rFonts w:ascii="Times New Roman" w:hAnsi="Times New Roman"/>
                <w:sz w:val="19"/>
              </w:rPr>
              <w:t>Lists tests, acceptance evidence, actions and decisions required from supervisors.</w:t>
            </w:r>
          </w:p>
        </w:tc>
      </w:tr>
      <w:tr>
        <w:trPr>
          <w:cantSplit/>
        </w:trPr>
        <w:tc>
          <w:tcPr>
            <w:tcW w:type="dxa" w:w="2736"/>
            <w:vAlign w:val="center"/>
            <w:tcMar>
              <w:top w:w="80" w:type="dxa"/>
              <w:start w:w="90" w:type="dxa"/>
              <w:bottom w:w="80" w:type="dxa"/>
              <w:end w:w="90" w:type="dxa"/>
            </w:tcMar>
          </w:tcPr>
          <w:p>
            <w:pPr>
              <w:spacing w:after="0" w:before="0"/>
            </w:pPr>
            <w:r>
              <w:rPr>
                <w:rFonts w:ascii="Times New Roman" w:hAnsi="Times New Roman"/>
                <w:sz w:val="19"/>
              </w:rPr>
              <w:t>8. Supervisor Presentation Script</w:t>
            </w:r>
          </w:p>
        </w:tc>
        <w:tc>
          <w:tcPr>
            <w:tcW w:type="dxa" w:w="6624"/>
            <w:vAlign w:val="center"/>
            <w:tcMar>
              <w:top w:w="80" w:type="dxa"/>
              <w:start w:w="90" w:type="dxa"/>
              <w:bottom w:w="80" w:type="dxa"/>
              <w:end w:w="90" w:type="dxa"/>
            </w:tcMar>
          </w:tcPr>
          <w:p>
            <w:pPr>
              <w:spacing w:after="0" w:before="0"/>
            </w:pPr>
            <w:r>
              <w:rPr>
                <w:rFonts w:ascii="Times New Roman" w:hAnsi="Times New Roman"/>
                <w:sz w:val="19"/>
              </w:rPr>
              <w:t>Provides a concise speaking guide for the meeting.</w:t>
            </w:r>
          </w:p>
        </w:tc>
      </w:tr>
    </w:tbl>
    <w:p>
      <w:pPr>
        <w:pStyle w:val="Heading1"/>
      </w:pPr>
      <w:r>
        <w:rPr>
          <w:rFonts w:ascii="Times New Roman" w:hAnsi="Times New Roman"/>
        </w:rPr>
        <w:t>1. Executive Summary</w:t>
      </w:r>
    </w:p>
    <w:p>
      <w:r>
        <w:rPr>
          <w:rFonts w:ascii="Times New Roman" w:hAnsi="Times New Roman"/>
          <w:b/>
        </w:rPr>
        <w:t xml:space="preserve">Week 07 marked the transition from literature-based concept development to an implementable engineering prototype plan. </w:t>
      </w:r>
      <w:r>
        <w:rPr>
          <w:rFonts w:ascii="Times New Roman" w:hAnsi="Times New Roman"/>
        </w:rPr>
        <w:t>The work combined four uploaded fabrication planning sheets with the complete sensor signal and data-acquisition design. The resulting architecture separates the system into a low-cost disposable sensing patch (Stage A) and a reusable electronic acquisition module (Stage B).</w:t>
      </w:r>
    </w:p>
    <w:p>
      <w:r>
        <w:rPr>
          <w:rFonts w:ascii="Times New Roman" w:hAnsi="Times New Roman"/>
        </w:rPr>
        <w:t>The principal outcomes achieved during the week were:</w:t>
      </w:r>
    </w:p>
    <w:p>
      <w:pPr>
        <w:pStyle w:val="ListBullet"/>
        <w:spacing w:after="60"/>
      </w:pPr>
      <w:r>
        <w:rPr>
          <w:rFonts w:ascii="Times New Roman" w:hAnsi="Times New Roman"/>
        </w:rPr>
        <w:t>A six-layer, undergraduate-accessible fabrication stack was defined using PET for early bench prototypes, printed conductive traces, carbon sensing structures, a PANI active pH layer, an Ag/AgCl reference concept and PU-film passivation.</w:t>
      </w:r>
    </w:p>
    <w:p>
      <w:pPr>
        <w:pStyle w:val="ListBullet"/>
        <w:spacing w:after="60"/>
      </w:pPr>
      <w:r>
        <w:rPr>
          <w:rFonts w:ascii="Times New Roman" w:hAnsi="Times New Roman"/>
        </w:rPr>
        <w:t>The required facilities and fallback fabrication methods were mapped to university laboratories, SLINTEC or manual bench alternatives. Supplier names and prices remain provisional until quotations and stock checks are completed.</w:t>
      </w:r>
    </w:p>
    <w:p>
      <w:pPr>
        <w:pStyle w:val="ListBullet"/>
        <w:spacing w:after="60"/>
      </w:pPr>
      <w:r>
        <w:rPr>
          <w:rFonts w:ascii="Times New Roman" w:hAnsi="Times New Roman"/>
        </w:rPr>
        <w:t>The three sensor channels were treated according to their different signal physics: potentiometric voltage for pH, digital I2C data for temperature and AC impedance-derived response for moisture.</w:t>
      </w:r>
    </w:p>
    <w:p>
      <w:pPr>
        <w:pStyle w:val="ListBullet"/>
        <w:spacing w:after="60"/>
      </w:pPr>
      <w:r>
        <w:rPr>
          <w:rFonts w:ascii="Times New Roman" w:hAnsi="Times New Roman"/>
        </w:rPr>
        <w:t>A critical hardware correction was made after confirming that the ESP32-C3 does not provide a true voltage-output DAC. The moisture channel was therefore redesigned around PWM or complementary GPIO excitation, attenuation, AC coupling, current limiting and envelope detection.</w:t>
      </w:r>
    </w:p>
    <w:p>
      <w:pPr>
        <w:pStyle w:val="ListBullet"/>
        <w:spacing w:after="60"/>
      </w:pPr>
      <w:r>
        <w:rPr>
          <w:rFonts w:ascii="Times New Roman" w:hAnsi="Times New Roman"/>
        </w:rPr>
        <w:t>A keyed 12-pin patch connector was defined to separate high-impedance pH lines from noisy digital or PWM traces and to provide strain relief between the flexible patch and reusable electronics.</w:t>
      </w:r>
    </w:p>
    <w:p>
      <w:pPr>
        <w:pStyle w:val="ListBullet"/>
        <w:spacing w:after="60"/>
      </w:pPr>
      <w:r>
        <w:rPr>
          <w:rFonts w:ascii="Times New Roman" w:hAnsi="Times New Roman"/>
        </w:rPr>
        <w:t>A bench-validation workflow was established for electrical integrity, sensor calibration, integrated wound-simulant testing, mechanical bending and drift assessment.</w:t>
      </w:r>
    </w:p>
    <w:tbl>
      <w:tblPr>
        <w:tblStyle w:val="TableGrid"/>
        <w:tblW w:type="auto" w:w="0"/>
        <w:jc w:val="center"/>
        <w:tblLook w:firstColumn="1" w:firstRow="1" w:lastColumn="0" w:lastRow="0" w:noHBand="0" w:noVBand="1" w:val="04A0"/>
      </w:tblPr>
      <w:tblGrid>
        <w:gridCol w:w="9994"/>
      </w:tblGrid>
      <w:tr>
        <w:trPr>
          <w:cantSplit/>
        </w:trPr>
        <w:tc>
          <w:tcPr>
            <w:tcW w:type="dxa" w:w="9994"/>
            <w:shd w:fill="E2F0D9"/>
            <w:tcMar>
              <w:top w:w="120" w:type="dxa"/>
              <w:start w:w="140" w:type="dxa"/>
              <w:bottom w:w="120" w:type="dxa"/>
              <w:end w:w="140" w:type="dxa"/>
            </w:tcMar>
          </w:tcPr>
          <w:p>
            <w:r>
              <w:rPr>
                <w:rFonts w:ascii="Times New Roman" w:hAnsi="Times New Roman"/>
                <w:b/>
                <w:sz w:val="20"/>
              </w:rPr>
              <w:t xml:space="preserve">Central Week 07 achievement: </w:t>
            </w:r>
            <w:r>
              <w:rPr>
                <w:rFonts w:ascii="Times New Roman" w:hAnsi="Times New Roman"/>
                <w:sz w:val="20"/>
              </w:rPr>
              <w:t>The project now has one connected workflow from material selection and layer fabrication to signal conditioning, digitization, firmware acquisition and validation.</w:t>
            </w:r>
          </w:p>
        </w:tc>
      </w:tr>
    </w:tbl>
    <w:p>
      <w:pPr>
        <w:pStyle w:val="Heading1"/>
      </w:pPr>
      <w:r>
        <w:rPr>
          <w:rFonts w:ascii="Times New Roman" w:hAnsi="Times New Roman"/>
        </w:rPr>
        <w:t>2. Week 07 Objectives and Completion Status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952"/>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Objective</w:t>
            </w:r>
          </w:p>
        </w:tc>
        <w:tc>
          <w:tcPr>
            <w:tcW w:type="dxa" w:w="2232"/>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Status</w:t>
            </w:r>
          </w:p>
        </w:tc>
        <w:tc>
          <w:tcPr>
            <w:tcW w:type="dxa" w:w="432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Evidence / Remaining Work</w:t>
            </w:r>
          </w:p>
        </w:tc>
      </w:tr>
      <w:tr>
        <w:trPr>
          <w:cantSplit/>
        </w:trPr>
        <w:tc>
          <w:tcPr>
            <w:tcW w:type="dxa" w:w="2952"/>
            <w:vAlign w:val="center"/>
            <w:tcMar>
              <w:top w:w="80" w:type="dxa"/>
              <w:start w:w="90" w:type="dxa"/>
              <w:bottom w:w="80" w:type="dxa"/>
              <w:end w:w="90" w:type="dxa"/>
            </w:tcMar>
          </w:tcPr>
          <w:p>
            <w:pPr>
              <w:spacing w:after="0" w:before="0"/>
            </w:pPr>
            <w:r>
              <w:rPr>
                <w:rFonts w:ascii="Times New Roman" w:hAnsi="Times New Roman"/>
                <w:sz w:val="17"/>
              </w:rPr>
              <w:t>Review low-cost fabrication routes</w:t>
            </w:r>
          </w:p>
        </w:tc>
        <w:tc>
          <w:tcPr>
            <w:tcW w:type="dxa" w:w="2232"/>
            <w:vAlign w:val="center"/>
            <w:tcMar>
              <w:top w:w="80" w:type="dxa"/>
              <w:start w:w="90" w:type="dxa"/>
              <w:bottom w:w="80" w:type="dxa"/>
              <w:end w:w="90" w:type="dxa"/>
            </w:tcMar>
            <w:shd w:fill="E2F0D9"/>
          </w:tcPr>
          <w:p>
            <w:pPr>
              <w:spacing w:after="0" w:before="0"/>
            </w:pPr>
            <w:r>
              <w:rPr>
                <w:rFonts w:ascii="Times New Roman" w:hAnsi="Times New Roman"/>
                <w:sz w:val="17"/>
              </w:rPr>
              <w:t>Completed</w:t>
            </w:r>
          </w:p>
        </w:tc>
        <w:tc>
          <w:tcPr>
            <w:tcW w:type="dxa" w:w="4320"/>
            <w:vAlign w:val="center"/>
            <w:tcMar>
              <w:top w:w="80" w:type="dxa"/>
              <w:start w:w="90" w:type="dxa"/>
              <w:bottom w:w="80" w:type="dxa"/>
              <w:end w:w="90" w:type="dxa"/>
            </w:tcMar>
          </w:tcPr>
          <w:p>
            <w:pPr>
              <w:spacing w:after="0" w:before="0"/>
            </w:pPr>
            <w:r>
              <w:rPr>
                <w:rFonts w:ascii="Times New Roman" w:hAnsi="Times New Roman"/>
                <w:sz w:val="17"/>
              </w:rPr>
              <w:t>Four fabrication/BOM workbooks consolidated; expensive cleanroom methods compared with accessible alternatives.</w:t>
            </w:r>
          </w:p>
        </w:tc>
      </w:tr>
      <w:tr>
        <w:trPr>
          <w:cantSplit/>
        </w:trPr>
        <w:tc>
          <w:tcPr>
            <w:tcW w:type="dxa" w:w="2952"/>
            <w:vAlign w:val="center"/>
            <w:tcMar>
              <w:top w:w="80" w:type="dxa"/>
              <w:start w:w="90" w:type="dxa"/>
              <w:bottom w:w="80" w:type="dxa"/>
              <w:end w:w="90" w:type="dxa"/>
            </w:tcMar>
          </w:tcPr>
          <w:p>
            <w:pPr>
              <w:spacing w:after="0" w:before="0"/>
            </w:pPr>
            <w:r>
              <w:rPr>
                <w:rFonts w:ascii="Times New Roman" w:hAnsi="Times New Roman"/>
                <w:sz w:val="17"/>
              </w:rPr>
              <w:t>Define physical layer stack</w:t>
            </w:r>
          </w:p>
        </w:tc>
        <w:tc>
          <w:tcPr>
            <w:tcW w:type="dxa" w:w="2232"/>
            <w:vAlign w:val="center"/>
            <w:tcMar>
              <w:top w:w="80" w:type="dxa"/>
              <w:start w:w="90" w:type="dxa"/>
              <w:bottom w:w="80" w:type="dxa"/>
              <w:end w:w="90" w:type="dxa"/>
            </w:tcMar>
            <w:shd w:fill="E2F0D9"/>
          </w:tcPr>
          <w:p>
            <w:pPr>
              <w:spacing w:after="0" w:before="0"/>
            </w:pPr>
            <w:r>
              <w:rPr>
                <w:rFonts w:ascii="Times New Roman" w:hAnsi="Times New Roman"/>
                <w:sz w:val="17"/>
              </w:rPr>
              <w:t>Completed at prototype-planning level</w:t>
            </w:r>
          </w:p>
        </w:tc>
        <w:tc>
          <w:tcPr>
            <w:tcW w:type="dxa" w:w="4320"/>
            <w:vAlign w:val="center"/>
            <w:tcMar>
              <w:top w:w="80" w:type="dxa"/>
              <w:start w:w="90" w:type="dxa"/>
              <w:bottom w:w="80" w:type="dxa"/>
              <w:end w:w="90" w:type="dxa"/>
            </w:tcMar>
          </w:tcPr>
          <w:p>
            <w:pPr>
              <w:spacing w:after="0" w:before="0"/>
            </w:pPr>
            <w:r>
              <w:rPr>
                <w:rFonts w:ascii="Times New Roman" w:hAnsi="Times New Roman"/>
                <w:sz w:val="17"/>
              </w:rPr>
              <w:t>Six-layer stack and proposed process sequence documented.</w:t>
            </w:r>
          </w:p>
        </w:tc>
      </w:tr>
      <w:tr>
        <w:trPr>
          <w:cantSplit/>
        </w:trPr>
        <w:tc>
          <w:tcPr>
            <w:tcW w:type="dxa" w:w="2952"/>
            <w:vAlign w:val="center"/>
            <w:tcMar>
              <w:top w:w="80" w:type="dxa"/>
              <w:start w:w="90" w:type="dxa"/>
              <w:bottom w:w="80" w:type="dxa"/>
              <w:end w:w="90" w:type="dxa"/>
            </w:tcMar>
          </w:tcPr>
          <w:p>
            <w:pPr>
              <w:spacing w:after="0" w:before="0"/>
            </w:pPr>
            <w:r>
              <w:rPr>
                <w:rFonts w:ascii="Times New Roman" w:hAnsi="Times New Roman"/>
                <w:sz w:val="17"/>
              </w:rPr>
              <w:t>Define pH signal chain</w:t>
            </w:r>
          </w:p>
        </w:tc>
        <w:tc>
          <w:tcPr>
            <w:tcW w:type="dxa" w:w="2232"/>
            <w:vAlign w:val="center"/>
            <w:tcMar>
              <w:top w:w="80" w:type="dxa"/>
              <w:start w:w="90" w:type="dxa"/>
              <w:bottom w:w="80" w:type="dxa"/>
              <w:end w:w="90" w:type="dxa"/>
            </w:tcMar>
            <w:shd w:fill="E2F0D9"/>
          </w:tcPr>
          <w:p>
            <w:pPr>
              <w:spacing w:after="0" w:before="0"/>
            </w:pPr>
            <w:r>
              <w:rPr>
                <w:rFonts w:ascii="Times New Roman" w:hAnsi="Times New Roman"/>
                <w:sz w:val="17"/>
              </w:rPr>
              <w:t>Completed at architecture level</w:t>
            </w:r>
          </w:p>
        </w:tc>
        <w:tc>
          <w:tcPr>
            <w:tcW w:type="dxa" w:w="4320"/>
            <w:vAlign w:val="center"/>
            <w:tcMar>
              <w:top w:w="80" w:type="dxa"/>
              <w:start w:w="90" w:type="dxa"/>
              <w:bottom w:w="80" w:type="dxa"/>
              <w:end w:w="90" w:type="dxa"/>
            </w:tcMar>
          </w:tcPr>
          <w:p>
            <w:pPr>
              <w:spacing w:after="0" w:before="0"/>
            </w:pPr>
            <w:r>
              <w:rPr>
                <w:rFonts w:ascii="Times New Roman" w:hAnsi="Times New Roman"/>
                <w:sz w:val="17"/>
              </w:rPr>
              <w:t>High-impedance differential acquisition using two buffers and a 16-bit ADC.</w:t>
            </w:r>
          </w:p>
        </w:tc>
      </w:tr>
      <w:tr>
        <w:trPr>
          <w:cantSplit/>
        </w:trPr>
        <w:tc>
          <w:tcPr>
            <w:tcW w:type="dxa" w:w="2952"/>
            <w:vAlign w:val="center"/>
            <w:tcMar>
              <w:top w:w="80" w:type="dxa"/>
              <w:start w:w="90" w:type="dxa"/>
              <w:bottom w:w="80" w:type="dxa"/>
              <w:end w:w="90" w:type="dxa"/>
            </w:tcMar>
          </w:tcPr>
          <w:p>
            <w:pPr>
              <w:spacing w:after="0" w:before="0"/>
            </w:pPr>
            <w:r>
              <w:rPr>
                <w:rFonts w:ascii="Times New Roman" w:hAnsi="Times New Roman"/>
                <w:sz w:val="17"/>
              </w:rPr>
              <w:t>Define temperature signal chain</w:t>
            </w:r>
          </w:p>
        </w:tc>
        <w:tc>
          <w:tcPr>
            <w:tcW w:type="dxa" w:w="2232"/>
            <w:vAlign w:val="center"/>
            <w:tcMar>
              <w:top w:w="80" w:type="dxa"/>
              <w:start w:w="90" w:type="dxa"/>
              <w:bottom w:w="80" w:type="dxa"/>
              <w:end w:w="90" w:type="dxa"/>
            </w:tcMar>
            <w:shd w:fill="E2F0D9"/>
          </w:tcPr>
          <w:p>
            <w:pPr>
              <w:spacing w:after="0" w:before="0"/>
            </w:pPr>
            <w:r>
              <w:rPr>
                <w:rFonts w:ascii="Times New Roman" w:hAnsi="Times New Roman"/>
                <w:sz w:val="17"/>
              </w:rPr>
              <w:t>Completed at architecture level</w:t>
            </w:r>
          </w:p>
        </w:tc>
        <w:tc>
          <w:tcPr>
            <w:tcW w:type="dxa" w:w="4320"/>
            <w:vAlign w:val="center"/>
            <w:tcMar>
              <w:top w:w="80" w:type="dxa"/>
              <w:start w:w="90" w:type="dxa"/>
              <w:bottom w:w="80" w:type="dxa"/>
              <w:end w:w="90" w:type="dxa"/>
            </w:tcMar>
          </w:tcPr>
          <w:p>
            <w:pPr>
              <w:spacing w:after="0" w:before="0"/>
            </w:pPr>
            <w:r>
              <w:rPr>
                <w:rFonts w:ascii="Times New Roman" w:hAnsi="Times New Roman"/>
                <w:sz w:val="17"/>
              </w:rPr>
              <w:t>Four TMP117 sites, I2C addressing and bus-separation requirement documented.</w:t>
            </w:r>
          </w:p>
        </w:tc>
      </w:tr>
      <w:tr>
        <w:trPr>
          <w:cantSplit/>
        </w:trPr>
        <w:tc>
          <w:tcPr>
            <w:tcW w:type="dxa" w:w="2952"/>
            <w:vAlign w:val="center"/>
            <w:tcMar>
              <w:top w:w="80" w:type="dxa"/>
              <w:start w:w="90" w:type="dxa"/>
              <w:bottom w:w="80" w:type="dxa"/>
              <w:end w:w="90" w:type="dxa"/>
            </w:tcMar>
          </w:tcPr>
          <w:p>
            <w:pPr>
              <w:spacing w:after="0" w:before="0"/>
            </w:pPr>
            <w:r>
              <w:rPr>
                <w:rFonts w:ascii="Times New Roman" w:hAnsi="Times New Roman"/>
                <w:sz w:val="17"/>
              </w:rPr>
              <w:t>Define moisture signal chain</w:t>
            </w:r>
          </w:p>
        </w:tc>
        <w:tc>
          <w:tcPr>
            <w:tcW w:type="dxa" w:w="2232"/>
            <w:vAlign w:val="center"/>
            <w:tcMar>
              <w:top w:w="80" w:type="dxa"/>
              <w:start w:w="90" w:type="dxa"/>
              <w:bottom w:w="80" w:type="dxa"/>
              <w:end w:w="90" w:type="dxa"/>
            </w:tcMar>
            <w:shd w:fill="E2F0D9"/>
          </w:tcPr>
          <w:p>
            <w:pPr>
              <w:spacing w:after="0" w:before="0"/>
            </w:pPr>
            <w:r>
              <w:rPr>
                <w:rFonts w:ascii="Times New Roman" w:hAnsi="Times New Roman"/>
                <w:sz w:val="17"/>
              </w:rPr>
              <w:t>Corrected and completed at architecture level</w:t>
            </w:r>
          </w:p>
        </w:tc>
        <w:tc>
          <w:tcPr>
            <w:tcW w:type="dxa" w:w="4320"/>
            <w:vAlign w:val="center"/>
            <w:tcMar>
              <w:top w:w="80" w:type="dxa"/>
              <w:start w:w="90" w:type="dxa"/>
              <w:bottom w:w="80" w:type="dxa"/>
              <w:end w:w="90" w:type="dxa"/>
            </w:tcMar>
          </w:tcPr>
          <w:p>
            <w:pPr>
              <w:spacing w:after="0" w:before="0"/>
            </w:pPr>
            <w:r>
              <w:rPr>
                <w:rFonts w:ascii="Times New Roman" w:hAnsi="Times New Roman"/>
                <w:sz w:val="17"/>
              </w:rPr>
              <w:t>DC drive rejected; current-limited zero-mean AC/PWM method selected.</w:t>
            </w:r>
          </w:p>
        </w:tc>
      </w:tr>
      <w:tr>
        <w:trPr>
          <w:cantSplit/>
        </w:trPr>
        <w:tc>
          <w:tcPr>
            <w:tcW w:type="dxa" w:w="2952"/>
            <w:vAlign w:val="center"/>
            <w:tcMar>
              <w:top w:w="80" w:type="dxa"/>
              <w:start w:w="90" w:type="dxa"/>
              <w:bottom w:w="80" w:type="dxa"/>
              <w:end w:w="90" w:type="dxa"/>
            </w:tcMar>
          </w:tcPr>
          <w:p>
            <w:pPr>
              <w:spacing w:after="0" w:before="0"/>
            </w:pPr>
            <w:r>
              <w:rPr>
                <w:rFonts w:ascii="Times New Roman" w:hAnsi="Times New Roman"/>
                <w:sz w:val="17"/>
              </w:rPr>
              <w:t>Define patch connector</w:t>
            </w:r>
          </w:p>
        </w:tc>
        <w:tc>
          <w:tcPr>
            <w:tcW w:type="dxa" w:w="2232"/>
            <w:vAlign w:val="center"/>
            <w:tcMar>
              <w:top w:w="80" w:type="dxa"/>
              <w:start w:w="90" w:type="dxa"/>
              <w:bottom w:w="80" w:type="dxa"/>
              <w:end w:w="90" w:type="dxa"/>
            </w:tcMar>
            <w:shd w:fill="E2F0D9"/>
          </w:tcPr>
          <w:p>
            <w:pPr>
              <w:spacing w:after="0" w:before="0"/>
            </w:pPr>
            <w:r>
              <w:rPr>
                <w:rFonts w:ascii="Times New Roman" w:hAnsi="Times New Roman"/>
                <w:sz w:val="17"/>
              </w:rPr>
              <w:t>Completed at architecture level</w:t>
            </w:r>
          </w:p>
        </w:tc>
        <w:tc>
          <w:tcPr>
            <w:tcW w:type="dxa" w:w="4320"/>
            <w:vAlign w:val="center"/>
            <w:tcMar>
              <w:top w:w="80" w:type="dxa"/>
              <w:start w:w="90" w:type="dxa"/>
              <w:bottom w:w="80" w:type="dxa"/>
              <w:end w:w="90" w:type="dxa"/>
            </w:tcMar>
          </w:tcPr>
          <w:p>
            <w:pPr>
              <w:spacing w:after="0" w:before="0"/>
            </w:pPr>
            <w:r>
              <w:rPr>
                <w:rFonts w:ascii="Times New Roman" w:hAnsi="Times New Roman"/>
                <w:sz w:val="17"/>
              </w:rPr>
              <w:t>Keyed 12-pin interface, signal separation and strain-relief rules prepared.</w:t>
            </w:r>
          </w:p>
        </w:tc>
      </w:tr>
      <w:tr>
        <w:trPr>
          <w:cantSplit/>
        </w:trPr>
        <w:tc>
          <w:tcPr>
            <w:tcW w:type="dxa" w:w="2952"/>
            <w:vAlign w:val="center"/>
            <w:tcMar>
              <w:top w:w="80" w:type="dxa"/>
              <w:start w:w="90" w:type="dxa"/>
              <w:bottom w:w="80" w:type="dxa"/>
              <w:end w:w="90" w:type="dxa"/>
            </w:tcMar>
          </w:tcPr>
          <w:p>
            <w:pPr>
              <w:spacing w:after="0" w:before="0"/>
            </w:pPr>
            <w:r>
              <w:rPr>
                <w:rFonts w:ascii="Times New Roman" w:hAnsi="Times New Roman"/>
                <w:sz w:val="17"/>
              </w:rPr>
              <w:t>Confirm total prototype cost below USD 50</w:t>
            </w:r>
          </w:p>
        </w:tc>
        <w:tc>
          <w:tcPr>
            <w:tcW w:type="dxa" w:w="2232"/>
            <w:vAlign w:val="center"/>
            <w:tcMar>
              <w:top w:w="80" w:type="dxa"/>
              <w:start w:w="90" w:type="dxa"/>
              <w:bottom w:w="80" w:type="dxa"/>
              <w:end w:w="90" w:type="dxa"/>
            </w:tcMar>
            <w:shd w:fill="FFF2CC"/>
          </w:tcPr>
          <w:p>
            <w:pPr>
              <w:spacing w:after="0" w:before="0"/>
            </w:pPr>
            <w:r>
              <w:rPr>
                <w:rFonts w:ascii="Times New Roman" w:hAnsi="Times New Roman"/>
                <w:sz w:val="17"/>
              </w:rPr>
              <w:t>Not yet confirmed</w:t>
            </w:r>
          </w:p>
        </w:tc>
        <w:tc>
          <w:tcPr>
            <w:tcW w:type="dxa" w:w="4320"/>
            <w:vAlign w:val="center"/>
            <w:tcMar>
              <w:top w:w="80" w:type="dxa"/>
              <w:start w:w="90" w:type="dxa"/>
              <w:bottom w:w="80" w:type="dxa"/>
              <w:end w:w="90" w:type="dxa"/>
            </w:tcMar>
          </w:tcPr>
          <w:p>
            <w:pPr>
              <w:spacing w:after="0" w:before="0"/>
            </w:pPr>
            <w:r>
              <w:rPr>
                <w:rFonts w:ascii="Times New Roman" w:hAnsi="Times New Roman"/>
                <w:sz w:val="17"/>
              </w:rPr>
              <w:t>Target remains feasible but complete BOM, shipping, fabrication charges and replacements must be quoted.</w:t>
            </w:r>
          </w:p>
        </w:tc>
      </w:tr>
      <w:tr>
        <w:trPr>
          <w:cantSplit/>
        </w:trPr>
        <w:tc>
          <w:tcPr>
            <w:tcW w:type="dxa" w:w="2952"/>
            <w:vAlign w:val="center"/>
            <w:tcMar>
              <w:top w:w="80" w:type="dxa"/>
              <w:start w:w="90" w:type="dxa"/>
              <w:bottom w:w="80" w:type="dxa"/>
              <w:end w:w="90" w:type="dxa"/>
            </w:tcMar>
          </w:tcPr>
          <w:p>
            <w:pPr>
              <w:spacing w:after="0" w:before="0"/>
            </w:pPr>
            <w:r>
              <w:rPr>
                <w:rFonts w:ascii="Times New Roman" w:hAnsi="Times New Roman"/>
                <w:sz w:val="17"/>
              </w:rPr>
              <w:t>Prove biocompatibility and clinical safety</w:t>
            </w:r>
          </w:p>
        </w:tc>
        <w:tc>
          <w:tcPr>
            <w:tcW w:type="dxa" w:w="2232"/>
            <w:vAlign w:val="center"/>
            <w:tcMar>
              <w:top w:w="80" w:type="dxa"/>
              <w:start w:w="90" w:type="dxa"/>
              <w:bottom w:w="80" w:type="dxa"/>
              <w:end w:w="90" w:type="dxa"/>
            </w:tcMar>
            <w:shd w:fill="FCE4D6"/>
          </w:tcPr>
          <w:p>
            <w:pPr>
              <w:spacing w:after="0" w:before="0"/>
            </w:pPr>
            <w:r>
              <w:rPr>
                <w:rFonts w:ascii="Times New Roman" w:hAnsi="Times New Roman"/>
                <w:sz w:val="17"/>
              </w:rPr>
              <w:t>Not started</w:t>
            </w:r>
          </w:p>
        </w:tc>
        <w:tc>
          <w:tcPr>
            <w:tcW w:type="dxa" w:w="4320"/>
            <w:vAlign w:val="center"/>
            <w:tcMar>
              <w:top w:w="80" w:type="dxa"/>
              <w:start w:w="90" w:type="dxa"/>
              <w:bottom w:w="80" w:type="dxa"/>
              <w:end w:w="90" w:type="dxa"/>
            </w:tcMar>
          </w:tcPr>
          <w:p>
            <w:pPr>
              <w:spacing w:after="0" w:before="0"/>
            </w:pPr>
            <w:r>
              <w:rPr>
                <w:rFonts w:ascii="Times New Roman" w:hAnsi="Times New Roman"/>
                <w:sz w:val="17"/>
              </w:rPr>
              <w:t>Requires approved materials, ethics, electrical safety and clinical pathway.</w:t>
            </w:r>
          </w:p>
        </w:tc>
      </w:tr>
      <w:tr>
        <w:trPr>
          <w:cantSplit/>
        </w:trPr>
        <w:tc>
          <w:tcPr>
            <w:tcW w:type="dxa" w:w="2952"/>
            <w:vAlign w:val="center"/>
            <w:tcMar>
              <w:top w:w="80" w:type="dxa"/>
              <w:start w:w="90" w:type="dxa"/>
              <w:bottom w:w="80" w:type="dxa"/>
              <w:end w:w="90" w:type="dxa"/>
            </w:tcMar>
          </w:tcPr>
          <w:p>
            <w:pPr>
              <w:spacing w:after="0" w:before="0"/>
            </w:pPr>
            <w:r>
              <w:rPr>
                <w:rFonts w:ascii="Times New Roman" w:hAnsi="Times New Roman"/>
                <w:sz w:val="17"/>
              </w:rPr>
              <w:t>Fabricate and calibrate sensors</w:t>
            </w:r>
          </w:p>
        </w:tc>
        <w:tc>
          <w:tcPr>
            <w:tcW w:type="dxa" w:w="2232"/>
            <w:vAlign w:val="center"/>
            <w:tcMar>
              <w:top w:w="80" w:type="dxa"/>
              <w:start w:w="90" w:type="dxa"/>
              <w:bottom w:w="80" w:type="dxa"/>
              <w:end w:w="90" w:type="dxa"/>
            </w:tcMar>
            <w:shd w:fill="FFF2CC"/>
          </w:tcPr>
          <w:p>
            <w:pPr>
              <w:spacing w:after="0" w:before="0"/>
            </w:pPr>
            <w:r>
              <w:rPr>
                <w:rFonts w:ascii="Times New Roman" w:hAnsi="Times New Roman"/>
                <w:sz w:val="17"/>
              </w:rPr>
              <w:t>Planned for Week 08 onward</w:t>
            </w:r>
          </w:p>
        </w:tc>
        <w:tc>
          <w:tcPr>
            <w:tcW w:type="dxa" w:w="4320"/>
            <w:vAlign w:val="center"/>
            <w:tcMar>
              <w:top w:w="80" w:type="dxa"/>
              <w:start w:w="90" w:type="dxa"/>
              <w:bottom w:w="80" w:type="dxa"/>
              <w:end w:w="90" w:type="dxa"/>
            </w:tcMar>
          </w:tcPr>
          <w:p>
            <w:pPr>
              <w:spacing w:after="0" w:before="0"/>
            </w:pPr>
            <w:r>
              <w:rPr>
                <w:rFonts w:ascii="Times New Roman" w:hAnsi="Times New Roman"/>
                <w:sz w:val="17"/>
              </w:rPr>
              <w:t>Laboratory access, materials and fabrication artwork must be finalized.</w:t>
            </w:r>
          </w:p>
        </w:tc>
      </w:tr>
    </w:tbl>
    <w:p>
      <w:pPr>
        <w:pStyle w:val="Heading1"/>
      </w:pPr>
      <w:r>
        <w:rPr>
          <w:rFonts w:ascii="Times New Roman" w:hAnsi="Times New Roman"/>
        </w:rPr>
        <w:t>3. Physical Fabrication and Material Strategy</w:t>
      </w:r>
    </w:p>
    <w:p>
      <w:pPr>
        <w:pStyle w:val="Heading2"/>
      </w:pPr>
      <w:r>
        <w:rPr>
          <w:rFonts w:ascii="Times New Roman" w:hAnsi="Times New Roman"/>
        </w:rPr>
        <w:t>3.1 Stage A and Stage B Partition</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232"/>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8"/>
              </w:rPr>
              <w:t>System stage</w:t>
            </w:r>
          </w:p>
        </w:tc>
        <w:tc>
          <w:tcPr>
            <w:tcW w:type="dxa" w:w="396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8"/>
              </w:rPr>
              <w:t>Contents</w:t>
            </w:r>
          </w:p>
        </w:tc>
        <w:tc>
          <w:tcPr>
            <w:tcW w:type="dxa" w:w="360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8"/>
              </w:rPr>
              <w:t>Purpose and disposal strategy</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8"/>
              </w:rPr>
              <w:t>Stage A - Disposable sensing patch</w:t>
            </w:r>
          </w:p>
        </w:tc>
        <w:tc>
          <w:tcPr>
            <w:tcW w:type="dxa" w:w="3960"/>
            <w:vAlign w:val="center"/>
            <w:tcMar>
              <w:top w:w="80" w:type="dxa"/>
              <w:start w:w="90" w:type="dxa"/>
              <w:bottom w:w="80" w:type="dxa"/>
              <w:end w:w="90" w:type="dxa"/>
            </w:tcMar>
          </w:tcPr>
          <w:p>
            <w:pPr>
              <w:spacing w:after="0" w:before="0"/>
            </w:pPr>
            <w:r>
              <w:rPr>
                <w:rFonts w:ascii="Times New Roman" w:hAnsi="Times New Roman"/>
                <w:sz w:val="18"/>
              </w:rPr>
              <w:t>Flexible substrate, printed traces, PANI working electrode, reference-electrode interface, carbon IDE moisture geometry, TMP117 sites if retained on the patch, passivation and connector tail.</w:t>
            </w:r>
          </w:p>
        </w:tc>
        <w:tc>
          <w:tcPr>
            <w:tcW w:type="dxa" w:w="3600"/>
            <w:vAlign w:val="center"/>
            <w:tcMar>
              <w:top w:w="80" w:type="dxa"/>
              <w:start w:w="90" w:type="dxa"/>
              <w:bottom w:w="80" w:type="dxa"/>
              <w:end w:w="90" w:type="dxa"/>
            </w:tcMar>
          </w:tcPr>
          <w:p>
            <w:pPr>
              <w:spacing w:after="0" w:before="0"/>
            </w:pPr>
            <w:r>
              <w:rPr>
                <w:rFonts w:ascii="Times New Roman" w:hAnsi="Times New Roman"/>
                <w:sz w:val="18"/>
              </w:rPr>
              <w:t>Placed near the wound/dressing and replaced at each dressing change. No battery, radio or charger is placed on the wound-facing disposable portion.</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8"/>
              </w:rPr>
              <w:t>Stage B - Reusable DAQ module</w:t>
            </w:r>
          </w:p>
        </w:tc>
        <w:tc>
          <w:tcPr>
            <w:tcW w:type="dxa" w:w="3960"/>
            <w:vAlign w:val="center"/>
            <w:tcMar>
              <w:top w:w="80" w:type="dxa"/>
              <w:start w:w="90" w:type="dxa"/>
              <w:bottom w:w="80" w:type="dxa"/>
              <w:end w:w="90" w:type="dxa"/>
            </w:tcMar>
          </w:tcPr>
          <w:p>
            <w:pPr>
              <w:spacing w:after="0" w:before="0"/>
            </w:pPr>
            <w:r>
              <w:rPr>
                <w:rFonts w:ascii="Times New Roman" w:hAnsi="Times New Roman"/>
                <w:sz w:val="18"/>
              </w:rPr>
              <w:t>High-impedance pH buffers, ADS1115, I2C bus switch, moisture excitation/detector, ESP32-C3 or nRF52, BLE, regulated battery supply and charging/protection.</w:t>
            </w:r>
          </w:p>
        </w:tc>
        <w:tc>
          <w:tcPr>
            <w:tcW w:type="dxa" w:w="3600"/>
            <w:vAlign w:val="center"/>
            <w:tcMar>
              <w:top w:w="80" w:type="dxa"/>
              <w:start w:w="90" w:type="dxa"/>
              <w:bottom w:w="80" w:type="dxa"/>
              <w:end w:w="90" w:type="dxa"/>
            </w:tcMar>
          </w:tcPr>
          <w:p>
            <w:pPr>
              <w:spacing w:after="0" w:before="0"/>
            </w:pPr>
            <w:r>
              <w:rPr>
                <w:rFonts w:ascii="Times New Roman" w:hAnsi="Times New Roman"/>
                <w:sz w:val="18"/>
              </w:rPr>
              <w:t>Remains outside the contaminated wound-contact region. It is detached before disposal and cleaned only using a validated method.</w:t>
            </w:r>
          </w:p>
        </w:tc>
      </w:tr>
    </w:tbl>
    <w:p>
      <w:pPr>
        <w:pStyle w:val="Heading2"/>
      </w:pPr>
      <w:r>
        <w:rPr>
          <w:rFonts w:ascii="Times New Roman" w:hAnsi="Times New Roman"/>
        </w:rPr>
        <w:t>3.2 Proposed Six-Layer Prototype Stack</w:t>
      </w:r>
    </w:p>
    <w:p>
      <w:pPr>
        <w:jc w:val="center"/>
      </w:pPr>
      <w:r>
        <w:rPr>
          <w:rFonts w:ascii="Times New Roman" w:hAnsi="Times New Roman"/>
        </w:rPr>
        <w:drawing>
          <wp:inline xmlns:a="http://schemas.openxmlformats.org/drawingml/2006/main" xmlns:pic="http://schemas.openxmlformats.org/drawingml/2006/picture">
            <wp:extent cx="6080760" cy="4628019"/>
            <wp:docPr id="1" name="Picture 1"/>
            <wp:cNvGraphicFramePr>
              <a:graphicFrameLocks noChangeAspect="1"/>
            </wp:cNvGraphicFramePr>
            <a:graphic>
              <a:graphicData uri="http://schemas.openxmlformats.org/drawingml/2006/picture">
                <pic:pic>
                  <pic:nvPicPr>
                    <pic:cNvPr id="0" name="six_layer_stack.png"/>
                    <pic:cNvPicPr/>
                  </pic:nvPicPr>
                  <pic:blipFill>
                    <a:blip r:embed="rId11"/>
                    <a:stretch>
                      <a:fillRect/>
                    </a:stretch>
                  </pic:blipFill>
                  <pic:spPr>
                    <a:xfrm>
                      <a:off x="0" y="0"/>
                      <a:ext cx="6080760" cy="4628019"/>
                    </a:xfrm>
                    <a:prstGeom prst="rect"/>
                  </pic:spPr>
                </pic:pic>
              </a:graphicData>
            </a:graphic>
          </wp:inline>
        </w:drawing>
      </w:r>
    </w:p>
    <w:p>
      <w:pPr>
        <w:spacing w:after="140"/>
        <w:jc w:val="center"/>
      </w:pPr>
      <w:r>
        <w:rPr>
          <w:rFonts w:ascii="Times New Roman" w:hAnsi="Times New Roman"/>
          <w:i/>
          <w:sz w:val="18"/>
        </w:rPr>
        <w:t>Figure 1. Proposed low-cost six-layer bench-prototype stack derived from the fabrication planning sheets.</w:t>
      </w:r>
    </w:p>
    <w:p>
      <w:r>
        <w:rPr>
          <w:rFonts w:ascii="Times New Roman" w:hAnsi="Times New Roman"/>
        </w:rPr>
        <w:t>The stack represents a practical development route, not a final medical-device construction. PET transparency film, graphite-pencil tracks, packing tape and household heating methods may be useful for non-clinical proof-of-concept work, but they must not be described as wound-safe materials. Copper tape or etched copper may be used only in isolated bench prototypes where it is fully encapsulated and cannot contact fluid.</w:t>
      </w:r>
    </w:p>
    <w:p>
      <w:pPr>
        <w:pStyle w:val="Heading2"/>
      </w:pPr>
      <w:r>
        <w:rPr>
          <w:rFonts w:ascii="Times New Roman" w:hAnsi="Times New Roman"/>
        </w:rPr>
        <w:t>3.3 Material and Facility Mapping</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blHeader w:val="true"/>
        </w:trPr>
        <w:tc>
          <w:tcPr>
            <w:tcW w:type="dxa" w:w="165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Process</w:t>
            </w:r>
          </w:p>
        </w:tc>
        <w:tc>
          <w:tcPr>
            <w:tcW w:type="dxa" w:w="237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Preferred prototype method</w:t>
            </w:r>
          </w:p>
        </w:tc>
        <w:tc>
          <w:tcPr>
            <w:tcW w:type="dxa" w:w="1944"/>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Facility / tool</w:t>
            </w:r>
          </w:p>
        </w:tc>
        <w:tc>
          <w:tcPr>
            <w:tcW w:type="dxa" w:w="1944"/>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Backup method</w:t>
            </w:r>
          </w:p>
        </w:tc>
        <w:tc>
          <w:tcPr>
            <w:tcW w:type="dxa" w:w="2088"/>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Week 07 conclusion</w:t>
            </w:r>
          </w:p>
        </w:tc>
      </w:tr>
      <w:tr>
        <w:trPr>
          <w:cantSplit/>
        </w:trPr>
        <w:tc>
          <w:tcPr>
            <w:tcW w:type="dxa" w:w="1656"/>
            <w:vAlign w:val="center"/>
            <w:tcMar>
              <w:top w:w="80" w:type="dxa"/>
              <w:start w:w="90" w:type="dxa"/>
              <w:bottom w:w="80" w:type="dxa"/>
              <w:end w:w="90" w:type="dxa"/>
            </w:tcMar>
          </w:tcPr>
          <w:p>
            <w:pPr>
              <w:spacing w:after="0" w:before="0"/>
            </w:pPr>
            <w:r>
              <w:rPr>
                <w:rFonts w:ascii="Times New Roman" w:hAnsi="Times New Roman"/>
                <w:sz w:val="16"/>
              </w:rPr>
              <w:t>Substrate preparation</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Cut and clean 100 micrometre PET sheets</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Scalpel, cutting mat, template</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Clear PVC/OHP sheet for dry bench tests</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Low complexity; medical substrate required later.</w:t>
            </w:r>
          </w:p>
        </w:tc>
      </w:tr>
      <w:tr>
        <w:trPr>
          <w:cantSplit/>
        </w:trPr>
        <w:tc>
          <w:tcPr>
            <w:tcW w:type="dxa" w:w="1656"/>
            <w:vAlign w:val="center"/>
            <w:tcMar>
              <w:top w:w="80" w:type="dxa"/>
              <w:start w:w="90" w:type="dxa"/>
              <w:bottom w:w="80" w:type="dxa"/>
              <w:end w:w="90" w:type="dxa"/>
            </w:tcMar>
          </w:tcPr>
          <w:p>
            <w:pPr>
              <w:spacing w:after="0" w:before="0"/>
            </w:pPr>
            <w:r>
              <w:rPr>
                <w:rFonts w:ascii="Times New Roman" w:hAnsi="Times New Roman"/>
                <w:sz w:val="16"/>
              </w:rPr>
              <w:t>Trace patterning</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Screen-print or stencil conductive ink</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Screen mesh, squeegee, controlled curing oven</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Fine brush or syringe dispensing</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Screen printing preferred for repeatable geometry.</w:t>
            </w:r>
          </w:p>
        </w:tc>
      </w:tr>
      <w:tr>
        <w:trPr>
          <w:cantSplit/>
        </w:trPr>
        <w:tc>
          <w:tcPr>
            <w:tcW w:type="dxa" w:w="1656"/>
            <w:vAlign w:val="center"/>
            <w:tcMar>
              <w:top w:w="80" w:type="dxa"/>
              <w:start w:w="90" w:type="dxa"/>
              <w:bottom w:w="80" w:type="dxa"/>
              <w:end w:w="90" w:type="dxa"/>
            </w:tcMar>
          </w:tcPr>
          <w:p>
            <w:pPr>
              <w:spacing w:after="0" w:before="0"/>
            </w:pPr>
            <w:r>
              <w:rPr>
                <w:rFonts w:ascii="Times New Roman" w:hAnsi="Times New Roman"/>
                <w:sz w:val="16"/>
              </w:rPr>
              <w:t>Carbon electrodes</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Printed carbon paste for base pads and IDEs</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Screen/stencil and oven</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6B-10B graphite only for early geometry trials</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Ink formulation and curing must be standardized.</w:t>
            </w:r>
          </w:p>
        </w:tc>
      </w:tr>
      <w:tr>
        <w:trPr>
          <w:cantSplit/>
        </w:trPr>
        <w:tc>
          <w:tcPr>
            <w:tcW w:type="dxa" w:w="1656"/>
            <w:vAlign w:val="center"/>
            <w:tcMar>
              <w:top w:w="80" w:type="dxa"/>
              <w:start w:w="90" w:type="dxa"/>
              <w:bottom w:w="80" w:type="dxa"/>
              <w:end w:w="90" w:type="dxa"/>
            </w:tcMar>
          </w:tcPr>
          <w:p>
            <w:pPr>
              <w:spacing w:after="0" w:before="0"/>
            </w:pPr>
            <w:r>
              <w:rPr>
                <w:rFonts w:ascii="Times New Roman" w:hAnsi="Times New Roman"/>
                <w:sz w:val="16"/>
              </w:rPr>
              <w:t>PANI layer</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Chemical synthesis, formulation and drop-casting/printing</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Fume hood, ice bath, stirrer, filtration</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Pre-purchased PANI powder if synthesis delayed</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Chemistry-lab route identified; safety procedure mandatory.</w:t>
            </w:r>
          </w:p>
        </w:tc>
      </w:tr>
      <w:tr>
        <w:trPr>
          <w:cantSplit/>
        </w:trPr>
        <w:tc>
          <w:tcPr>
            <w:tcW w:type="dxa" w:w="1656"/>
            <w:vAlign w:val="center"/>
            <w:tcMar>
              <w:top w:w="80" w:type="dxa"/>
              <w:start w:w="90" w:type="dxa"/>
              <w:bottom w:w="80" w:type="dxa"/>
              <w:end w:w="90" w:type="dxa"/>
            </w:tcMar>
          </w:tcPr>
          <w:p>
            <w:pPr>
              <w:spacing w:after="0" w:before="0"/>
            </w:pPr>
            <w:r>
              <w:rPr>
                <w:rFonts w:ascii="Times New Roman" w:hAnsi="Times New Roman"/>
                <w:sz w:val="16"/>
              </w:rPr>
              <w:t>Ag/AgCl reference</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Printed Ag/AgCl or controlled silver chloridization</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Chemistry/electrode fabrication facilities</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Silver wire or paste conversion for bench testing</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Reference stability and ion leakage remain major risks.</w:t>
            </w:r>
          </w:p>
        </w:tc>
      </w:tr>
      <w:tr>
        <w:trPr>
          <w:cantSplit/>
        </w:trPr>
        <w:tc>
          <w:tcPr>
            <w:tcW w:type="dxa" w:w="1656"/>
            <w:vAlign w:val="center"/>
            <w:tcMar>
              <w:top w:w="80" w:type="dxa"/>
              <w:start w:w="90" w:type="dxa"/>
              <w:bottom w:w="80" w:type="dxa"/>
              <w:end w:w="90" w:type="dxa"/>
            </w:tcMar>
          </w:tcPr>
          <w:p>
            <w:pPr>
              <w:spacing w:after="0" w:before="0"/>
            </w:pPr>
            <w:r>
              <w:rPr>
                <w:rFonts w:ascii="Times New Roman" w:hAnsi="Times New Roman"/>
                <w:sz w:val="16"/>
              </w:rPr>
              <w:t>Encapsulation</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Medical PU film with cut sensing windows</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Clean cutting and manual lamination</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Tegaderm-type film for prototype evaluation</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Window geometry, adhesion and fluid isolation require testing.</w:t>
            </w:r>
          </w:p>
        </w:tc>
      </w:tr>
      <w:tr>
        <w:trPr>
          <w:cantSplit/>
        </w:trPr>
        <w:tc>
          <w:tcPr>
            <w:tcW w:type="dxa" w:w="1656"/>
            <w:vAlign w:val="center"/>
            <w:tcMar>
              <w:top w:w="80" w:type="dxa"/>
              <w:start w:w="90" w:type="dxa"/>
              <w:bottom w:w="80" w:type="dxa"/>
              <w:end w:w="90" w:type="dxa"/>
            </w:tcMar>
          </w:tcPr>
          <w:p>
            <w:pPr>
              <w:spacing w:after="0" w:before="0"/>
            </w:pPr>
            <w:r>
              <w:rPr>
                <w:rFonts w:ascii="Times New Roman" w:hAnsi="Times New Roman"/>
                <w:sz w:val="16"/>
              </w:rPr>
              <w:t>Electronics assembly</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SMD assembly and connector attachment</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EEE lab, fine-tip soldering, hot plate/reflow</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Breakout modules during first validation</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Reusable module should be debugged before integration.</w:t>
            </w:r>
          </w:p>
        </w:tc>
      </w:tr>
    </w:tbl>
    <w:p>
      <w:pPr>
        <w:pStyle w:val="Heading2"/>
      </w:pPr>
      <w:r>
        <w:rPr>
          <w:rFonts w:ascii="Times New Roman" w:hAnsi="Times New Roman"/>
        </w:rPr>
        <w:t>3.4 Preliminary BOM Position</w:t>
      </w:r>
    </w:p>
    <w:p>
      <w:r>
        <w:rPr>
          <w:rFonts w:ascii="Times New Roman" w:hAnsi="Times New Roman"/>
        </w:rPr>
        <w:t>The fabrication sheets list a preliminary subtotal of approximately LKR 8,000 for selected chemicals, conductive material, PET, a controller, an op-amp and PU tape. This subtotal is not a complete system cost because it excludes or incompletely prices the four TMP117 sensors, ADS1115, I2C switch, battery, charger/protection, regulator, detector components, connector, PCB/flex manufacture, shipping, customs and rejected fabrication samples.</w:t>
      </w:r>
    </w:p>
    <w:tbl>
      <w:tblPr>
        <w:tblStyle w:val="TableGrid"/>
        <w:tblW w:type="auto" w:w="0"/>
        <w:jc w:val="center"/>
        <w:tblLook w:firstColumn="1" w:firstRow="1" w:lastColumn="0" w:lastRow="0" w:noHBand="0" w:noVBand="1" w:val="04A0"/>
      </w:tblPr>
      <w:tblGrid>
        <w:gridCol w:w="9994"/>
      </w:tblGrid>
      <w:tr>
        <w:trPr>
          <w:cantSplit/>
        </w:trPr>
        <w:tc>
          <w:tcPr>
            <w:tcW w:type="dxa" w:w="9994"/>
            <w:shd w:fill="FFF2CC"/>
            <w:tcMar>
              <w:top w:w="120" w:type="dxa"/>
              <w:start w:w="140" w:type="dxa"/>
              <w:bottom w:w="120" w:type="dxa"/>
              <w:end w:w="140" w:type="dxa"/>
            </w:tcMar>
          </w:tcPr>
          <w:p>
            <w:r>
              <w:rPr>
                <w:rFonts w:ascii="Times New Roman" w:hAnsi="Times New Roman"/>
                <w:b/>
                <w:sz w:val="20"/>
              </w:rPr>
              <w:t xml:space="preserve">Cost reporting rule: </w:t>
            </w:r>
            <w:r>
              <w:rPr>
                <w:rFonts w:ascii="Times New Roman" w:hAnsi="Times New Roman"/>
                <w:sz w:val="20"/>
              </w:rPr>
              <w:t>Present “below USD 50” as the design target until a complete quantity-based BOM and supplier quotations demonstrate it. Do not present the preliminary spreadsheet subtotal as the final prototype cost.</w:t>
            </w:r>
          </w:p>
        </w:tc>
      </w:tr>
    </w:tbl>
    <w:p>
      <w:pPr>
        <w:pStyle w:val="Heading1"/>
      </w:pPr>
      <w:r>
        <w:rPr>
          <w:rFonts w:ascii="Times New Roman" w:hAnsi="Times New Roman"/>
        </w:rPr>
        <w:t>4. Sensor Signal Parameters and Data-Acquisition Architecture</w:t>
      </w:r>
    </w:p>
    <w:p>
      <w:pPr>
        <w:jc w:val="center"/>
      </w:pPr>
      <w:r>
        <w:rPr>
          <w:rFonts w:ascii="Times New Roman" w:hAnsi="Times New Roman"/>
        </w:rPr>
        <w:drawing>
          <wp:inline xmlns:a="http://schemas.openxmlformats.org/drawingml/2006/main" xmlns:pic="http://schemas.openxmlformats.org/drawingml/2006/picture">
            <wp:extent cx="6080760" cy="3269251"/>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80760" cy="3269251"/>
                    </a:xfrm>
                    <a:prstGeom prst="rect"/>
                  </pic:spPr>
                </pic:pic>
              </a:graphicData>
            </a:graphic>
          </wp:inline>
        </w:drawing>
      </w:r>
    </w:p>
    <w:p>
      <w:pPr>
        <w:spacing w:after="140"/>
        <w:jc w:val="center"/>
      </w:pPr>
      <w:r>
        <w:rPr>
          <w:rFonts w:ascii="Times New Roman" w:hAnsi="Times New Roman"/>
          <w:i/>
          <w:sz w:val="18"/>
        </w:rPr>
        <w:t>Figure 2. Recommended separation of pH, temperature and moisture acquisition paths.</w:t>
      </w:r>
    </w:p>
    <w:p>
      <w:pPr>
        <w:pStyle w:val="Heading2"/>
      </w:pPr>
      <w:r>
        <w:rPr>
          <w:rFonts w:ascii="Times New Roman" w:hAnsi="Times New Roman"/>
        </w:rPr>
        <w:t>4.1 PANI / Ag/AgCl pH Channel</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80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8"/>
              </w:rPr>
              <w:t>Parameter</w:t>
            </w:r>
          </w:p>
        </w:tc>
        <w:tc>
          <w:tcPr>
            <w:tcW w:type="dxa" w:w="3672"/>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8"/>
              </w:rPr>
              <w:t>Week 07 design value / requirement</w:t>
            </w:r>
          </w:p>
        </w:tc>
        <w:tc>
          <w:tcPr>
            <w:tcW w:type="dxa" w:w="3672"/>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8"/>
              </w:rPr>
              <w:t>Engineering implication</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8"/>
              </w:rPr>
              <w:t>Transduction</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Potentiometric open-circuit voltage between PANI working electrode and Ag/AgCl reference</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No excitation should be applied to the pH cell.</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8"/>
              </w:rPr>
              <w:t>Expected sensitivity</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Batch-dependent, approximately 50-60 mV per pH; theoretical Nernst magnitude is about 59.16 mV/pH at 25 degrees C</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Use measured slope and intercept; do not assume a universal value.</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8"/>
              </w:rPr>
              <w:t>Source impedance</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Very high; potentially megaohm to gigaohm range</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The electrode cannot directly drive a typical ADC input.</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8"/>
              </w:rPr>
              <w:t>Analogue front end</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Two ultra-high-input-impedance voltage followers, followed by low-pass filtering</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Buffer both electrodes; the reference electrode is not circuit ground.</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8"/>
              </w:rPr>
              <w:t>Digitization</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ADS1115 differential input after buffering</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Store raw millivolts, calibrated pH and a stability/drift flag.</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8"/>
              </w:rPr>
              <w:t>Calibration</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At least two buffers bracketing the range; preferably pH 4, 7 and 10</w:t>
            </w:r>
          </w:p>
        </w:tc>
        <w:tc>
          <w:tcPr>
            <w:tcW w:type="dxa" w:w="3672"/>
            <w:vAlign w:val="center"/>
            <w:tcMar>
              <w:top w:w="80" w:type="dxa"/>
              <w:start w:w="90" w:type="dxa"/>
              <w:bottom w:w="80" w:type="dxa"/>
              <w:end w:w="90" w:type="dxa"/>
            </w:tcMar>
          </w:tcPr>
          <w:p>
            <w:pPr>
              <w:spacing w:after="0" w:before="0"/>
            </w:pPr>
            <w:r>
              <w:rPr>
                <w:rFonts w:ascii="Times New Roman" w:hAnsi="Times New Roman"/>
                <w:sz w:val="18"/>
              </w:rPr>
              <w:t>Record temperature, stabilization time, slope, intercept, hysteresis and sensor batch.</w:t>
            </w:r>
          </w:p>
        </w:tc>
      </w:tr>
    </w:tbl>
    <w:p>
      <w:pPr>
        <w:jc w:val="center"/>
      </w:pPr>
      <w:r>
        <w:rPr>
          <w:rFonts w:ascii="Times New Roman" w:hAnsi="Times New Roman"/>
        </w:rPr>
        <w:drawing>
          <wp:inline xmlns:a="http://schemas.openxmlformats.org/drawingml/2006/main" xmlns:pic="http://schemas.openxmlformats.org/drawingml/2006/picture">
            <wp:extent cx="6080760" cy="2238748"/>
            <wp:docPr id="3" name="Picture 3"/>
            <wp:cNvGraphicFramePr>
              <a:graphicFrameLocks noChangeAspect="1"/>
            </wp:cNvGraphicFramePr>
            <a:graphic>
              <a:graphicData uri="http://schemas.openxmlformats.org/drawingml/2006/picture">
                <pic:pic>
                  <pic:nvPicPr>
                    <pic:cNvPr id="0" name="ph_chain.png"/>
                    <pic:cNvPicPr/>
                  </pic:nvPicPr>
                  <pic:blipFill>
                    <a:blip r:embed="rId13"/>
                    <a:stretch>
                      <a:fillRect/>
                    </a:stretch>
                  </pic:blipFill>
                  <pic:spPr>
                    <a:xfrm>
                      <a:off x="0" y="0"/>
                      <a:ext cx="6080760" cy="2238748"/>
                    </a:xfrm>
                    <a:prstGeom prst="rect"/>
                  </pic:spPr>
                </pic:pic>
              </a:graphicData>
            </a:graphic>
          </wp:inline>
        </w:drawing>
      </w:r>
    </w:p>
    <w:p>
      <w:pPr>
        <w:spacing w:after="140"/>
        <w:jc w:val="center"/>
      </w:pPr>
      <w:r>
        <w:rPr>
          <w:rFonts w:ascii="Times New Roman" w:hAnsi="Times New Roman"/>
          <w:i/>
          <w:sz w:val="18"/>
        </w:rPr>
        <w:t>Figure 3. Differential high-impedance pH signal chain selected in Week 07.</w:t>
      </w:r>
    </w:p>
    <w:p>
      <w:pPr>
        <w:pStyle w:val="Heading2"/>
      </w:pPr>
      <w:r>
        <w:rPr>
          <w:rFonts w:ascii="Times New Roman" w:hAnsi="Times New Roman"/>
        </w:rPr>
        <w:t>4.2 TMP117 Temperature Channel</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728"/>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Parameter</w:t>
            </w:r>
          </w:p>
        </w:tc>
        <w:tc>
          <w:tcPr>
            <w:tcW w:type="dxa" w:w="3528"/>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Week 07 design value / requirement</w:t>
            </w:r>
          </w:p>
        </w:tc>
        <w:tc>
          <w:tcPr>
            <w:tcW w:type="dxa" w:w="3888"/>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Engineering implication</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7"/>
              </w:rPr>
              <w:t>Interface</w:t>
            </w:r>
          </w:p>
        </w:tc>
        <w:tc>
          <w:tcPr>
            <w:tcW w:type="dxa" w:w="3528"/>
            <w:vAlign w:val="center"/>
            <w:tcMar>
              <w:top w:w="80" w:type="dxa"/>
              <w:start w:w="90" w:type="dxa"/>
              <w:bottom w:w="80" w:type="dxa"/>
              <w:end w:w="90" w:type="dxa"/>
            </w:tcMar>
          </w:tcPr>
          <w:p>
            <w:pPr>
              <w:spacing w:after="0" w:before="0"/>
            </w:pPr>
            <w:r>
              <w:rPr>
                <w:rFonts w:ascii="Times New Roman" w:hAnsi="Times New Roman"/>
                <w:sz w:val="17"/>
              </w:rPr>
              <w:t>Digital I2C</w:t>
            </w:r>
          </w:p>
        </w:tc>
        <w:tc>
          <w:tcPr>
            <w:tcW w:type="dxa" w:w="3888"/>
            <w:vAlign w:val="center"/>
            <w:tcMar>
              <w:top w:w="80" w:type="dxa"/>
              <w:start w:w="90" w:type="dxa"/>
              <w:bottom w:w="80" w:type="dxa"/>
              <w:end w:w="90" w:type="dxa"/>
            </w:tcMar>
          </w:tcPr>
          <w:p>
            <w:pPr>
              <w:spacing w:after="0" w:before="0"/>
            </w:pPr>
            <w:r>
              <w:rPr>
                <w:rFonts w:ascii="Times New Roman" w:hAnsi="Times New Roman"/>
                <w:sz w:val="17"/>
              </w:rPr>
              <w:t>No external analogue ADC channel is required.</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7"/>
              </w:rPr>
              <w:t>Supply</w:t>
            </w:r>
          </w:p>
        </w:tc>
        <w:tc>
          <w:tcPr>
            <w:tcW w:type="dxa" w:w="3528"/>
            <w:vAlign w:val="center"/>
            <w:tcMar>
              <w:top w:w="80" w:type="dxa"/>
              <w:start w:w="90" w:type="dxa"/>
              <w:bottom w:w="80" w:type="dxa"/>
              <w:end w:w="90" w:type="dxa"/>
            </w:tcMar>
          </w:tcPr>
          <w:p>
            <w:pPr>
              <w:spacing w:after="0" w:before="0"/>
            </w:pPr>
            <w:r>
              <w:rPr>
                <w:rFonts w:ascii="Times New Roman" w:hAnsi="Times New Roman"/>
                <w:sz w:val="17"/>
              </w:rPr>
              <w:t>1.7-5.5 V device range; 3.3 V proposed system rail</w:t>
            </w:r>
          </w:p>
        </w:tc>
        <w:tc>
          <w:tcPr>
            <w:tcW w:type="dxa" w:w="3888"/>
            <w:vAlign w:val="center"/>
            <w:tcMar>
              <w:top w:w="80" w:type="dxa"/>
              <w:start w:w="90" w:type="dxa"/>
              <w:bottom w:w="80" w:type="dxa"/>
              <w:end w:w="90" w:type="dxa"/>
            </w:tcMar>
          </w:tcPr>
          <w:p>
            <w:pPr>
              <w:spacing w:after="0" w:before="0"/>
            </w:pPr>
            <w:r>
              <w:rPr>
                <w:rFonts w:ascii="Times New Roman" w:hAnsi="Times New Roman"/>
                <w:sz w:val="17"/>
              </w:rPr>
              <w:t>Provide 100 nF local decoupling at each device.</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7"/>
              </w:rPr>
              <w:t>Resolution</w:t>
            </w:r>
          </w:p>
        </w:tc>
        <w:tc>
          <w:tcPr>
            <w:tcW w:type="dxa" w:w="3528"/>
            <w:vAlign w:val="center"/>
            <w:tcMar>
              <w:top w:w="80" w:type="dxa"/>
              <w:start w:w="90" w:type="dxa"/>
              <w:bottom w:w="80" w:type="dxa"/>
              <w:end w:w="90" w:type="dxa"/>
            </w:tcMar>
          </w:tcPr>
          <w:p>
            <w:pPr>
              <w:spacing w:after="0" w:before="0"/>
            </w:pPr>
            <w:r>
              <w:rPr>
                <w:rFonts w:ascii="Times New Roman" w:hAnsi="Times New Roman"/>
                <w:sz w:val="17"/>
              </w:rPr>
              <w:t>16-bit register; 0.0078125 degrees C per LSB</w:t>
            </w:r>
          </w:p>
        </w:tc>
        <w:tc>
          <w:tcPr>
            <w:tcW w:type="dxa" w:w="3888"/>
            <w:vAlign w:val="center"/>
            <w:tcMar>
              <w:top w:w="80" w:type="dxa"/>
              <w:start w:w="90" w:type="dxa"/>
              <w:bottom w:w="80" w:type="dxa"/>
              <w:end w:w="90" w:type="dxa"/>
            </w:tcMar>
          </w:tcPr>
          <w:p>
            <w:pPr>
              <w:spacing w:after="0" w:before="0"/>
            </w:pPr>
            <w:r>
              <w:rPr>
                <w:rFonts w:ascii="Times New Roman" w:hAnsi="Times New Roman"/>
                <w:sz w:val="17"/>
              </w:rPr>
              <w:t>Firmware must read signed two-complement data correctly.</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7"/>
              </w:rPr>
              <w:t>Accuracy statement</w:t>
            </w:r>
          </w:p>
        </w:tc>
        <w:tc>
          <w:tcPr>
            <w:tcW w:type="dxa" w:w="3528"/>
            <w:vAlign w:val="center"/>
            <w:tcMar>
              <w:top w:w="80" w:type="dxa"/>
              <w:start w:w="90" w:type="dxa"/>
              <w:bottom w:w="80" w:type="dxa"/>
              <w:end w:w="90" w:type="dxa"/>
            </w:tcMar>
          </w:tcPr>
          <w:p>
            <w:pPr>
              <w:spacing w:after="0" w:before="0"/>
            </w:pPr>
            <w:r>
              <w:rPr>
                <w:rFonts w:ascii="Times New Roman" w:hAnsi="Times New Roman"/>
                <w:sz w:val="17"/>
              </w:rPr>
              <w:t>TMP117 has high datasheet accuracy, but the assembled patch accuracy is not yet known</w:t>
            </w:r>
          </w:p>
        </w:tc>
        <w:tc>
          <w:tcPr>
            <w:tcW w:type="dxa" w:w="3888"/>
            <w:vAlign w:val="center"/>
            <w:tcMar>
              <w:top w:w="80" w:type="dxa"/>
              <w:start w:w="90" w:type="dxa"/>
              <w:bottom w:w="80" w:type="dxa"/>
              <w:end w:w="90" w:type="dxa"/>
            </w:tcMar>
          </w:tcPr>
          <w:p>
            <w:pPr>
              <w:spacing w:after="0" w:before="0"/>
            </w:pPr>
            <w:r>
              <w:rPr>
                <w:rFonts w:ascii="Times New Roman" w:hAnsi="Times New Roman"/>
                <w:sz w:val="17"/>
              </w:rPr>
              <w:t>Encapsulation, contact pressure, thermal lag and local heating must be validated.</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7"/>
              </w:rPr>
              <w:t>Array</w:t>
            </w:r>
          </w:p>
        </w:tc>
        <w:tc>
          <w:tcPr>
            <w:tcW w:type="dxa" w:w="3528"/>
            <w:vAlign w:val="center"/>
            <w:tcMar>
              <w:top w:w="80" w:type="dxa"/>
              <w:start w:w="90" w:type="dxa"/>
              <w:bottom w:w="80" w:type="dxa"/>
              <w:end w:w="90" w:type="dxa"/>
            </w:tcMar>
          </w:tcPr>
          <w:p>
            <w:pPr>
              <w:spacing w:after="0" w:before="0"/>
            </w:pPr>
            <w:r>
              <w:rPr>
                <w:rFonts w:ascii="Times New Roman" w:hAnsi="Times New Roman"/>
                <w:sz w:val="17"/>
              </w:rPr>
              <w:t>Four spatial temperature sites</w:t>
            </w:r>
          </w:p>
        </w:tc>
        <w:tc>
          <w:tcPr>
            <w:tcW w:type="dxa" w:w="3888"/>
            <w:vAlign w:val="center"/>
            <w:tcMar>
              <w:top w:w="80" w:type="dxa"/>
              <w:start w:w="90" w:type="dxa"/>
              <w:bottom w:w="80" w:type="dxa"/>
              <w:end w:w="90" w:type="dxa"/>
            </w:tcMar>
          </w:tcPr>
          <w:p>
            <w:pPr>
              <w:spacing w:after="0" w:before="0"/>
            </w:pPr>
            <w:r>
              <w:rPr>
                <w:rFonts w:ascii="Times New Roman" w:hAnsi="Times New Roman"/>
                <w:sz w:val="17"/>
              </w:rPr>
              <w:t>Calculate each site, maximum, minimum, spatial gradient and rate of change.</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7"/>
              </w:rPr>
              <w:t>Addressing</w:t>
            </w:r>
          </w:p>
        </w:tc>
        <w:tc>
          <w:tcPr>
            <w:tcW w:type="dxa" w:w="3528"/>
            <w:vAlign w:val="center"/>
            <w:tcMar>
              <w:top w:w="80" w:type="dxa"/>
              <w:start w:w="90" w:type="dxa"/>
              <w:bottom w:w="80" w:type="dxa"/>
              <w:end w:w="90" w:type="dxa"/>
            </w:tcMar>
          </w:tcPr>
          <w:p>
            <w:pPr>
              <w:spacing w:after="0" w:before="0"/>
            </w:pPr>
            <w:r>
              <w:rPr>
                <w:rFonts w:ascii="Times New Roman" w:hAnsi="Times New Roman"/>
                <w:sz w:val="17"/>
              </w:rPr>
              <w:t>Four TMP117 addresses overlap the ADS1115 address range</w:t>
            </w:r>
          </w:p>
        </w:tc>
        <w:tc>
          <w:tcPr>
            <w:tcW w:type="dxa" w:w="3888"/>
            <w:vAlign w:val="center"/>
            <w:tcMar>
              <w:top w:w="80" w:type="dxa"/>
              <w:start w:w="90" w:type="dxa"/>
              <w:bottom w:w="80" w:type="dxa"/>
              <w:end w:w="90" w:type="dxa"/>
            </w:tcMar>
          </w:tcPr>
          <w:p>
            <w:pPr>
              <w:spacing w:after="0" w:before="0"/>
            </w:pPr>
            <w:r>
              <w:rPr>
                <w:rFonts w:ascii="Times New Roman" w:hAnsi="Times New Roman"/>
                <w:sz w:val="17"/>
              </w:rPr>
              <w:t>Use an I2C bus switch such as TCA9548A or separate buses.</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7"/>
              </w:rPr>
              <w:t>Layout</w:t>
            </w:r>
          </w:p>
        </w:tc>
        <w:tc>
          <w:tcPr>
            <w:tcW w:type="dxa" w:w="3528"/>
            <w:vAlign w:val="center"/>
            <w:tcMar>
              <w:top w:w="80" w:type="dxa"/>
              <w:start w:w="90" w:type="dxa"/>
              <w:bottom w:w="80" w:type="dxa"/>
              <w:end w:w="90" w:type="dxa"/>
            </w:tcMar>
          </w:tcPr>
          <w:p>
            <w:pPr>
              <w:spacing w:after="0" w:before="0"/>
            </w:pPr>
            <w:r>
              <w:rPr>
                <w:rFonts w:ascii="Times New Roman" w:hAnsi="Times New Roman"/>
                <w:sz w:val="17"/>
              </w:rPr>
              <w:t>Pull-ups and powered electronics away from sensing area</w:t>
            </w:r>
          </w:p>
        </w:tc>
        <w:tc>
          <w:tcPr>
            <w:tcW w:type="dxa" w:w="3888"/>
            <w:vAlign w:val="center"/>
            <w:tcMar>
              <w:top w:w="80" w:type="dxa"/>
              <w:start w:w="90" w:type="dxa"/>
              <w:bottom w:w="80" w:type="dxa"/>
              <w:end w:w="90" w:type="dxa"/>
            </w:tcMar>
          </w:tcPr>
          <w:p>
            <w:pPr>
              <w:spacing w:after="0" w:before="0"/>
            </w:pPr>
            <w:r>
              <w:rPr>
                <w:rFonts w:ascii="Times New Roman" w:hAnsi="Times New Roman"/>
                <w:sz w:val="17"/>
              </w:rPr>
              <w:t>Reduce self-heating and thermal conduction from the reusable module.</w:t>
            </w:r>
          </w:p>
        </w:tc>
      </w:tr>
    </w:tbl>
    <w:p>
      <w:pPr>
        <w:pStyle w:val="Heading2"/>
      </w:pPr>
      <w:r>
        <w:rPr>
          <w:rFonts w:ascii="Times New Roman" w:hAnsi="Times New Roman"/>
        </w:rPr>
        <w:t>4.3 Carbon IDE Moisture / Exudate Channel</w:t>
      </w:r>
    </w:p>
    <w:p>
      <w:r>
        <w:rPr>
          <w:rFonts w:ascii="Times New Roman" w:hAnsi="Times New Roman"/>
          <w:b/>
        </w:rPr>
        <w:t xml:space="preserve">Critical Week 07 correction: </w:t>
      </w:r>
      <w:r>
        <w:rPr>
          <w:rFonts w:ascii="Times New Roman" w:hAnsi="Times New Roman"/>
        </w:rPr>
        <w:t>the ESP32-C3 does not have a true voltage-output DAC. More importantly, continuously applying DC across a wet ionic sensor can cause electrode polarization, electrochemical drift and material degradation. The moisture channel was therefore redesigned as a low-energy, zero-mean AC or biphasic measurement.</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80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Parameter</w:t>
            </w:r>
          </w:p>
        </w:tc>
        <w:tc>
          <w:tcPr>
            <w:tcW w:type="dxa" w:w="360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Initial bench target</w:t>
            </w:r>
          </w:p>
        </w:tc>
        <w:tc>
          <w:tcPr>
            <w:tcW w:type="dxa" w:w="3744"/>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Reason</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7"/>
              </w:rPr>
              <w:t>Excitation source</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ESP32-C3 PWM or complementary GPIO, followed by attenuation and AC coupling</w:t>
            </w:r>
          </w:p>
        </w:tc>
        <w:tc>
          <w:tcPr>
            <w:tcW w:type="dxa" w:w="3744"/>
            <w:vAlign w:val="center"/>
            <w:tcMar>
              <w:top w:w="80" w:type="dxa"/>
              <w:start w:w="90" w:type="dxa"/>
              <w:bottom w:w="80" w:type="dxa"/>
              <w:end w:w="90" w:type="dxa"/>
            </w:tcMar>
          </w:tcPr>
          <w:p>
            <w:pPr>
              <w:spacing w:after="0" w:before="0"/>
            </w:pPr>
            <w:r>
              <w:rPr>
                <w:rFonts w:ascii="Times New Roman" w:hAnsi="Times New Roman"/>
                <w:sz w:val="17"/>
              </w:rPr>
              <w:t>Provides alternating excitation without claiming a true DAC.</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7"/>
              </w:rPr>
              <w:t>Frequency</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Begin near 1 kHz; compare 100 Hz, 1 kHz, 5 kHz and 10 kHz during characterization</w:t>
            </w:r>
          </w:p>
        </w:tc>
        <w:tc>
          <w:tcPr>
            <w:tcW w:type="dxa" w:w="3744"/>
            <w:vAlign w:val="center"/>
            <w:tcMar>
              <w:top w:w="80" w:type="dxa"/>
              <w:start w:w="90" w:type="dxa"/>
              <w:bottom w:w="80" w:type="dxa"/>
              <w:end w:w="90" w:type="dxa"/>
            </w:tcMar>
          </w:tcPr>
          <w:p>
            <w:pPr>
              <w:spacing w:after="0" w:before="0"/>
            </w:pPr>
            <w:r>
              <w:rPr>
                <w:rFonts w:ascii="Times New Roman" w:hAnsi="Times New Roman"/>
                <w:sz w:val="17"/>
              </w:rPr>
              <w:t>Select frequency from separation, repeatability and drift data.</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7"/>
              </w:rPr>
              <w:t>Electrode amplitude</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Small zero-mean waveform; final safe amplitude to be set by bench testing and safety review</w:t>
            </w:r>
          </w:p>
        </w:tc>
        <w:tc>
          <w:tcPr>
            <w:tcW w:type="dxa" w:w="3744"/>
            <w:vAlign w:val="center"/>
            <w:tcMar>
              <w:top w:w="80" w:type="dxa"/>
              <w:start w:w="90" w:type="dxa"/>
              <w:bottom w:w="80" w:type="dxa"/>
              <w:end w:w="90" w:type="dxa"/>
            </w:tcMar>
          </w:tcPr>
          <w:p>
            <w:pPr>
              <w:spacing w:after="0" w:before="0"/>
            </w:pPr>
            <w:r>
              <w:rPr>
                <w:rFonts w:ascii="Times New Roman" w:hAnsi="Times New Roman"/>
                <w:sz w:val="17"/>
              </w:rPr>
              <w:t>Reduce electrochemical polarization and exposed current.</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7"/>
              </w:rPr>
              <w:t>Current limiting</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Series reference resistor, initially selectable among 100 kOhm, 470 kOhm and 1 MOhm</w:t>
            </w:r>
          </w:p>
        </w:tc>
        <w:tc>
          <w:tcPr>
            <w:tcW w:type="dxa" w:w="3744"/>
            <w:vAlign w:val="center"/>
            <w:tcMar>
              <w:top w:w="80" w:type="dxa"/>
              <w:start w:w="90" w:type="dxa"/>
              <w:bottom w:w="80" w:type="dxa"/>
              <w:end w:w="90" w:type="dxa"/>
            </w:tcMar>
          </w:tcPr>
          <w:p>
            <w:pPr>
              <w:spacing w:after="0" w:before="0"/>
            </w:pPr>
            <w:r>
              <w:rPr>
                <w:rFonts w:ascii="Times New Roman" w:hAnsi="Times New Roman"/>
                <w:sz w:val="17"/>
              </w:rPr>
              <w:t>Prevents unrestricted GPIO current into a wet electrode.</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7"/>
              </w:rPr>
              <w:t>Detection</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Precision rectifier/envelope detector plus low-pass filter</w:t>
            </w:r>
          </w:p>
        </w:tc>
        <w:tc>
          <w:tcPr>
            <w:tcW w:type="dxa" w:w="3744"/>
            <w:vAlign w:val="center"/>
            <w:tcMar>
              <w:top w:w="80" w:type="dxa"/>
              <w:start w:w="90" w:type="dxa"/>
              <w:bottom w:w="80" w:type="dxa"/>
              <w:end w:w="90" w:type="dxa"/>
            </w:tcMar>
          </w:tcPr>
          <w:p>
            <w:pPr>
              <w:spacing w:after="0" w:before="0"/>
            </w:pPr>
            <w:r>
              <w:rPr>
                <w:rFonts w:ascii="Times New Roman" w:hAnsi="Times New Roman"/>
                <w:sz w:val="17"/>
              </w:rPr>
              <w:t>Converts the AC response into a stable ADC-readable voltage.</w:t>
            </w:r>
          </w:p>
        </w:tc>
      </w:tr>
      <w:tr>
        <w:trPr>
          <w:cantSplit/>
        </w:trPr>
        <w:tc>
          <w:tcPr>
            <w:tcW w:type="dxa" w:w="1800"/>
            <w:vAlign w:val="center"/>
            <w:tcMar>
              <w:top w:w="80" w:type="dxa"/>
              <w:start w:w="90" w:type="dxa"/>
              <w:bottom w:w="80" w:type="dxa"/>
              <w:end w:w="90" w:type="dxa"/>
            </w:tcMar>
          </w:tcPr>
          <w:p>
            <w:pPr>
              <w:spacing w:after="0" w:before="0"/>
            </w:pPr>
            <w:r>
              <w:rPr>
                <w:rFonts w:ascii="Times New Roman" w:hAnsi="Times New Roman"/>
                <w:sz w:val="17"/>
              </w:rPr>
              <w:t>Reported value</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Raw detector voltage plus calibrated wetness/exudate index</w:t>
            </w:r>
          </w:p>
        </w:tc>
        <w:tc>
          <w:tcPr>
            <w:tcW w:type="dxa" w:w="3744"/>
            <w:vAlign w:val="center"/>
            <w:tcMar>
              <w:top w:w="80" w:type="dxa"/>
              <w:start w:w="90" w:type="dxa"/>
              <w:bottom w:w="80" w:type="dxa"/>
              <w:end w:w="90" w:type="dxa"/>
            </w:tcMar>
          </w:tcPr>
          <w:p>
            <w:pPr>
              <w:spacing w:after="0" w:before="0"/>
            </w:pPr>
            <w:r>
              <w:rPr>
                <w:rFonts w:ascii="Times New Roman" w:hAnsi="Times New Roman"/>
                <w:sz w:val="17"/>
              </w:rPr>
              <w:t>Do not claim absolute moisture percentage without traceable calibration.</w:t>
            </w:r>
          </w:p>
        </w:tc>
      </w:tr>
    </w:tbl>
    <w:p>
      <w:pPr>
        <w:jc w:val="center"/>
      </w:pPr>
      <w:r>
        <w:rPr>
          <w:rFonts w:ascii="Times New Roman" w:hAnsi="Times New Roman"/>
        </w:rPr>
        <w:drawing>
          <wp:inline xmlns:a="http://schemas.openxmlformats.org/drawingml/2006/main" xmlns:pic="http://schemas.openxmlformats.org/drawingml/2006/picture">
            <wp:extent cx="6080760" cy="2298002"/>
            <wp:docPr id="4" name="Picture 4"/>
            <wp:cNvGraphicFramePr>
              <a:graphicFrameLocks noChangeAspect="1"/>
            </wp:cNvGraphicFramePr>
            <a:graphic>
              <a:graphicData uri="http://schemas.openxmlformats.org/drawingml/2006/picture">
                <pic:pic>
                  <pic:nvPicPr>
                    <pic:cNvPr id="0" name="moisture_chain.png"/>
                    <pic:cNvPicPr/>
                  </pic:nvPicPr>
                  <pic:blipFill>
                    <a:blip r:embed="rId14"/>
                    <a:stretch>
                      <a:fillRect/>
                    </a:stretch>
                  </pic:blipFill>
                  <pic:spPr>
                    <a:xfrm>
                      <a:off x="0" y="0"/>
                      <a:ext cx="6080760" cy="2298002"/>
                    </a:xfrm>
                    <a:prstGeom prst="rect"/>
                  </pic:spPr>
                </pic:pic>
              </a:graphicData>
            </a:graphic>
          </wp:inline>
        </w:drawing>
      </w:r>
    </w:p>
    <w:p>
      <w:pPr>
        <w:spacing w:after="140"/>
        <w:jc w:val="center"/>
      </w:pPr>
      <w:r>
        <w:rPr>
          <w:rFonts w:ascii="Times New Roman" w:hAnsi="Times New Roman"/>
          <w:i/>
          <w:sz w:val="18"/>
        </w:rPr>
        <w:t>Figure 4. Recommended current-limited envelope-detection path for the carbon IDE moisture channel.</w:t>
      </w:r>
    </w:p>
    <w:p>
      <w:pPr>
        <w:pStyle w:val="Heading2"/>
      </w:pPr>
      <w:r>
        <w:rPr>
          <w:rFonts w:ascii="Times New Roman" w:hAnsi="Times New Roman"/>
        </w:rPr>
        <w:t>4.4 Consolidated Sensor Signal Matrix</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cantSplit/>
          <w:tblHeader w:val="true"/>
        </w:trPr>
        <w:tc>
          <w:tcPr>
            <w:tcW w:type="dxa" w:w="1512"/>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Sensor</w:t>
            </w:r>
          </w:p>
        </w:tc>
        <w:tc>
          <w:tcPr>
            <w:tcW w:type="dxa" w:w="2088"/>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Raw signal</w:t>
            </w:r>
          </w:p>
        </w:tc>
        <w:tc>
          <w:tcPr>
            <w:tcW w:type="dxa" w:w="201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Excitation</w:t>
            </w:r>
          </w:p>
        </w:tc>
        <w:tc>
          <w:tcPr>
            <w:tcW w:type="dxa" w:w="252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Front end</w:t>
            </w:r>
          </w:p>
        </w:tc>
        <w:tc>
          <w:tcPr>
            <w:tcW w:type="dxa" w:w="180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DAQ / interface</w:t>
            </w:r>
          </w:p>
        </w:tc>
        <w:tc>
          <w:tcPr>
            <w:tcW w:type="dxa" w:w="201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Primary output</w:t>
            </w:r>
          </w:p>
        </w:tc>
      </w:tr>
      <w:tr>
        <w:trPr>
          <w:cantSplit/>
        </w:trPr>
        <w:tc>
          <w:tcPr>
            <w:tcW w:type="dxa" w:w="1512"/>
            <w:vAlign w:val="center"/>
            <w:tcMar>
              <w:top w:w="80" w:type="dxa"/>
              <w:start w:w="90" w:type="dxa"/>
              <w:bottom w:w="80" w:type="dxa"/>
              <w:end w:w="90" w:type="dxa"/>
            </w:tcMar>
          </w:tcPr>
          <w:p>
            <w:pPr>
              <w:spacing w:after="0" w:before="0"/>
            </w:pPr>
            <w:r>
              <w:rPr>
                <w:rFonts w:ascii="Times New Roman" w:hAnsi="Times New Roman"/>
                <w:sz w:val="16"/>
              </w:rPr>
              <w:t>PANI pH</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High-impedance differential DC voltage</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None</w:t>
            </w:r>
          </w:p>
        </w:tc>
        <w:tc>
          <w:tcPr>
            <w:tcW w:type="dxa" w:w="2520"/>
            <w:vAlign w:val="center"/>
            <w:tcMar>
              <w:top w:w="80" w:type="dxa"/>
              <w:start w:w="90" w:type="dxa"/>
              <w:bottom w:w="80" w:type="dxa"/>
              <w:end w:w="90" w:type="dxa"/>
            </w:tcMar>
          </w:tcPr>
          <w:p>
            <w:pPr>
              <w:spacing w:after="0" w:before="0"/>
            </w:pPr>
            <w:r>
              <w:rPr>
                <w:rFonts w:ascii="Times New Roman" w:hAnsi="Times New Roman"/>
                <w:sz w:val="16"/>
              </w:rPr>
              <w:t>Two high-Z buffers and LPF</w:t>
            </w:r>
          </w:p>
        </w:tc>
        <w:tc>
          <w:tcPr>
            <w:tcW w:type="dxa" w:w="1800"/>
            <w:vAlign w:val="center"/>
            <w:tcMar>
              <w:top w:w="80" w:type="dxa"/>
              <w:start w:w="90" w:type="dxa"/>
              <w:bottom w:w="80" w:type="dxa"/>
              <w:end w:w="90" w:type="dxa"/>
            </w:tcMar>
          </w:tcPr>
          <w:p>
            <w:pPr>
              <w:spacing w:after="0" w:before="0"/>
            </w:pPr>
            <w:r>
              <w:rPr>
                <w:rFonts w:ascii="Times New Roman" w:hAnsi="Times New Roman"/>
                <w:sz w:val="16"/>
              </w:rPr>
              <w:t>ADS1115 differential</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pH, raw mV, stability flag</w:t>
            </w:r>
          </w:p>
        </w:tc>
      </w:tr>
      <w:tr>
        <w:trPr>
          <w:cantSplit/>
        </w:trPr>
        <w:tc>
          <w:tcPr>
            <w:tcW w:type="dxa" w:w="1512"/>
            <w:vAlign w:val="center"/>
            <w:tcMar>
              <w:top w:w="80" w:type="dxa"/>
              <w:start w:w="90" w:type="dxa"/>
              <w:bottom w:w="80" w:type="dxa"/>
              <w:end w:w="90" w:type="dxa"/>
            </w:tcMar>
          </w:tcPr>
          <w:p>
            <w:pPr>
              <w:spacing w:after="0" w:before="0"/>
            </w:pPr>
            <w:r>
              <w:rPr>
                <w:rFonts w:ascii="Times New Roman" w:hAnsi="Times New Roman"/>
                <w:sz w:val="16"/>
              </w:rPr>
              <w:t>TMP117 array</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16-bit digital temperature word</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3.3 V supply and I2C commands</w:t>
            </w:r>
          </w:p>
        </w:tc>
        <w:tc>
          <w:tcPr>
            <w:tcW w:type="dxa" w:w="2520"/>
            <w:vAlign w:val="center"/>
            <w:tcMar>
              <w:top w:w="80" w:type="dxa"/>
              <w:start w:w="90" w:type="dxa"/>
              <w:bottom w:w="80" w:type="dxa"/>
              <w:end w:w="90" w:type="dxa"/>
            </w:tcMar>
          </w:tcPr>
          <w:p>
            <w:pPr>
              <w:spacing w:after="0" w:before="0"/>
            </w:pPr>
            <w:r>
              <w:rPr>
                <w:rFonts w:ascii="Times New Roman" w:hAnsi="Times New Roman"/>
                <w:sz w:val="16"/>
              </w:rPr>
              <w:t>Local decoupling and pull-ups</w:t>
            </w:r>
          </w:p>
        </w:tc>
        <w:tc>
          <w:tcPr>
            <w:tcW w:type="dxa" w:w="1800"/>
            <w:vAlign w:val="center"/>
            <w:tcMar>
              <w:top w:w="80" w:type="dxa"/>
              <w:start w:w="90" w:type="dxa"/>
              <w:bottom w:w="80" w:type="dxa"/>
              <w:end w:w="90" w:type="dxa"/>
            </w:tcMar>
          </w:tcPr>
          <w:p>
            <w:pPr>
              <w:spacing w:after="0" w:before="0"/>
            </w:pPr>
            <w:r>
              <w:rPr>
                <w:rFonts w:ascii="Times New Roman" w:hAnsi="Times New Roman"/>
                <w:sz w:val="16"/>
              </w:rPr>
              <w:t>I2C through bus switch</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Four site temperatures and spatial trends</w:t>
            </w:r>
          </w:p>
        </w:tc>
      </w:tr>
      <w:tr>
        <w:trPr>
          <w:cantSplit/>
        </w:trPr>
        <w:tc>
          <w:tcPr>
            <w:tcW w:type="dxa" w:w="1512"/>
            <w:vAlign w:val="center"/>
            <w:tcMar>
              <w:top w:w="80" w:type="dxa"/>
              <w:start w:w="90" w:type="dxa"/>
              <w:bottom w:w="80" w:type="dxa"/>
              <w:end w:w="90" w:type="dxa"/>
            </w:tcMar>
          </w:tcPr>
          <w:p>
            <w:pPr>
              <w:spacing w:after="0" w:before="0"/>
            </w:pPr>
            <w:r>
              <w:rPr>
                <w:rFonts w:ascii="Times New Roman" w:hAnsi="Times New Roman"/>
                <w:sz w:val="16"/>
              </w:rPr>
              <w:t>Carbon IDE</w:t>
            </w:r>
          </w:p>
        </w:tc>
        <w:tc>
          <w:tcPr>
            <w:tcW w:type="dxa" w:w="2088"/>
            <w:vAlign w:val="center"/>
            <w:tcMar>
              <w:top w:w="80" w:type="dxa"/>
              <w:start w:w="90" w:type="dxa"/>
              <w:bottom w:w="80" w:type="dxa"/>
              <w:end w:w="90" w:type="dxa"/>
            </w:tcMar>
          </w:tcPr>
          <w:p>
            <w:pPr>
              <w:spacing w:after="0" w:before="0"/>
            </w:pPr>
            <w:r>
              <w:rPr>
                <w:rFonts w:ascii="Times New Roman" w:hAnsi="Times New Roman"/>
                <w:sz w:val="16"/>
              </w:rPr>
              <w:t>Frequency-dependent impedance response</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Low-energy zero-mean PWM/AC burst</w:t>
            </w:r>
          </w:p>
        </w:tc>
        <w:tc>
          <w:tcPr>
            <w:tcW w:type="dxa" w:w="2520"/>
            <w:vAlign w:val="center"/>
            <w:tcMar>
              <w:top w:w="80" w:type="dxa"/>
              <w:start w:w="90" w:type="dxa"/>
              <w:bottom w:w="80" w:type="dxa"/>
              <w:end w:w="90" w:type="dxa"/>
            </w:tcMar>
          </w:tcPr>
          <w:p>
            <w:pPr>
              <w:spacing w:after="0" w:before="0"/>
            </w:pPr>
            <w:r>
              <w:rPr>
                <w:rFonts w:ascii="Times New Roman" w:hAnsi="Times New Roman"/>
                <w:sz w:val="16"/>
              </w:rPr>
              <w:t>Attenuator, coupling, RREF, rectifier and LPF</w:t>
            </w:r>
          </w:p>
        </w:tc>
        <w:tc>
          <w:tcPr>
            <w:tcW w:type="dxa" w:w="1800"/>
            <w:vAlign w:val="center"/>
            <w:tcMar>
              <w:top w:w="80" w:type="dxa"/>
              <w:start w:w="90" w:type="dxa"/>
              <w:bottom w:w="80" w:type="dxa"/>
              <w:end w:w="90" w:type="dxa"/>
            </w:tcMar>
          </w:tcPr>
          <w:p>
            <w:pPr>
              <w:spacing w:after="0" w:before="0"/>
            </w:pPr>
            <w:r>
              <w:rPr>
                <w:rFonts w:ascii="Times New Roman" w:hAnsi="Times New Roman"/>
                <w:sz w:val="16"/>
              </w:rPr>
              <w:t>ADS1115 single-ended</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Wetness index and raw envelope</w:t>
            </w:r>
          </w:p>
        </w:tc>
      </w:tr>
    </w:tbl>
    <w:p>
      <w:pPr>
        <w:pStyle w:val="Heading1"/>
      </w:pPr>
      <w:r>
        <w:rPr>
          <w:rFonts w:ascii="Times New Roman" w:hAnsi="Times New Roman"/>
        </w:rPr>
        <w:t>5. Patch-to-Module Interface, Noise Control and Safety</w:t>
      </w:r>
    </w:p>
    <w:p>
      <w:pPr>
        <w:pStyle w:val="Heading2"/>
      </w:pPr>
      <w:r>
        <w:rPr>
          <w:rFonts w:ascii="Times New Roman" w:hAnsi="Times New Roman"/>
        </w:rPr>
        <w:t>5.1 Proposed 12-Pin Keyed Connector</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648"/>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Pin</w:t>
            </w:r>
          </w:p>
        </w:tc>
        <w:tc>
          <w:tcPr>
            <w:tcW w:type="dxa" w:w="180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Signal</w:t>
            </w:r>
          </w:p>
        </w:tc>
        <w:tc>
          <w:tcPr>
            <w:tcW w:type="dxa" w:w="1584"/>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Direction</w:t>
            </w:r>
          </w:p>
        </w:tc>
        <w:tc>
          <w:tcPr>
            <w:tcW w:type="dxa" w:w="525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Design note</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1</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PANI_WORK</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Patch to module</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High-impedance input; guard and separate from clocks.</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2</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AGAGCL_REF</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Patch to module</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High-impedance reference; not electronic ground.</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3</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MOIST_A</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Bidirectional</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Current-limited excitation/sense electrode.</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4</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MOIST_B</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Bidirectional</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Current-limited return/sense electrode.</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5</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3V3_SENSOR</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Module to patch</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Regulated sensor supply.</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6</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GND_SENSOR</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Shared return</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Return for protected electronics only; must not be exposed to wound fluid.</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7</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SDA_TMP</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Bidirectional</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TMP117 I2C data.</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8</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SCL_TMP</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Module to patch</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TMP117 I2C clock.</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9</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ALERT_TMP</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Patch to module</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Optional shared open-drain alert/data-ready.</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10</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SHIELD_GUARD</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Module to patch</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Shield or driven guard; not a wound-contact conductor.</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11</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PATCH_ID</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Patch to module</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Optional resistor/EEPROM identification or batch code.</w:t>
            </w:r>
          </w:p>
        </w:tc>
      </w:tr>
      <w:tr>
        <w:trPr>
          <w:cantSplit/>
        </w:trPr>
        <w:tc>
          <w:tcPr>
            <w:tcW w:type="dxa" w:w="648"/>
            <w:vAlign w:val="center"/>
            <w:tcMar>
              <w:top w:w="80" w:type="dxa"/>
              <w:start w:w="90" w:type="dxa"/>
              <w:bottom w:w="80" w:type="dxa"/>
              <w:end w:w="90" w:type="dxa"/>
            </w:tcMar>
          </w:tcPr>
          <w:p>
            <w:pPr>
              <w:spacing w:after="0" w:before="0"/>
            </w:pPr>
            <w:r>
              <w:rPr>
                <w:rFonts w:ascii="Times New Roman" w:hAnsi="Times New Roman"/>
                <w:sz w:val="17"/>
              </w:rPr>
              <w:t>12</w:t>
            </w:r>
          </w:p>
        </w:tc>
        <w:tc>
          <w:tcPr>
            <w:tcW w:type="dxa" w:w="1800"/>
            <w:vAlign w:val="center"/>
            <w:tcMar>
              <w:top w:w="80" w:type="dxa"/>
              <w:start w:w="90" w:type="dxa"/>
              <w:bottom w:w="80" w:type="dxa"/>
              <w:end w:w="90" w:type="dxa"/>
            </w:tcMar>
          </w:tcPr>
          <w:p>
            <w:pPr>
              <w:spacing w:after="0" w:before="0"/>
            </w:pPr>
            <w:r>
              <w:rPr>
                <w:rFonts w:ascii="Times New Roman" w:hAnsi="Times New Roman"/>
                <w:sz w:val="17"/>
              </w:rPr>
              <w:t>RESERVED</w:t>
            </w:r>
          </w:p>
        </w:tc>
        <w:tc>
          <w:tcPr>
            <w:tcW w:type="dxa" w:w="1584"/>
            <w:vAlign w:val="center"/>
            <w:tcMar>
              <w:top w:w="80" w:type="dxa"/>
              <w:start w:w="90" w:type="dxa"/>
              <w:bottom w:w="80" w:type="dxa"/>
              <w:end w:w="90" w:type="dxa"/>
            </w:tcMar>
          </w:tcPr>
          <w:p>
            <w:pPr>
              <w:spacing w:after="0" w:before="0"/>
            </w:pPr>
            <w:r>
              <w:rPr>
                <w:rFonts w:ascii="Times New Roman" w:hAnsi="Times New Roman"/>
                <w:sz w:val="17"/>
              </w:rPr>
              <w:t>-</w:t>
            </w:r>
          </w:p>
        </w:tc>
        <w:tc>
          <w:tcPr>
            <w:tcW w:type="dxa" w:w="5256"/>
            <w:vAlign w:val="center"/>
            <w:tcMar>
              <w:top w:w="80" w:type="dxa"/>
              <w:start w:w="90" w:type="dxa"/>
              <w:bottom w:w="80" w:type="dxa"/>
              <w:end w:w="90" w:type="dxa"/>
            </w:tcMar>
          </w:tcPr>
          <w:p>
            <w:pPr>
              <w:spacing w:after="0" w:before="0"/>
            </w:pPr>
            <w:r>
              <w:rPr>
                <w:rFonts w:ascii="Times New Roman" w:hAnsi="Times New Roman"/>
                <w:sz w:val="17"/>
              </w:rPr>
              <w:t>Future second moisture region or connector interlock.</w:t>
            </w:r>
          </w:p>
        </w:tc>
      </w:tr>
    </w:tbl>
    <w:p>
      <w:pPr>
        <w:pStyle w:val="Heading2"/>
      </w:pPr>
      <w:r>
        <w:rPr>
          <w:rFonts w:ascii="Times New Roman" w:hAnsi="Times New Roman"/>
        </w:rPr>
        <w:t>5.2 Layout and Isolation Rules</w:t>
      </w:r>
    </w:p>
    <w:p>
      <w:pPr>
        <w:pStyle w:val="ListBullet"/>
        <w:spacing w:after="60"/>
      </w:pPr>
      <w:r>
        <w:rPr>
          <w:rFonts w:ascii="Times New Roman" w:hAnsi="Times New Roman"/>
        </w:rPr>
        <w:t>Place PANI_WORK and AGAGCL_REF at one side of the connector and route them away from PWM, SCL, BLE antenna and switching-regulator nodes.</w:t>
      </w:r>
    </w:p>
    <w:p>
      <w:pPr>
        <w:pStyle w:val="ListBullet"/>
        <w:spacing w:after="60"/>
      </w:pPr>
      <w:r>
        <w:rPr>
          <w:rFonts w:ascii="Times New Roman" w:hAnsi="Times New Roman"/>
        </w:rPr>
        <w:t>Place the pH buffers physically close to the connector to reduce leakage, cable noise and contamination-sensitive high-impedance trace length.</w:t>
      </w:r>
    </w:p>
    <w:p>
      <w:pPr>
        <w:pStyle w:val="ListBullet"/>
        <w:spacing w:after="60"/>
      </w:pPr>
      <w:r>
        <w:rPr>
          <w:rFonts w:ascii="Times New Roman" w:hAnsi="Times New Roman"/>
        </w:rPr>
        <w:t>Use a defined analogue ground and digital ground strategy on the reusable PCB, joining them at a controlled point after layout review rather than creating unrelated grounds.</w:t>
      </w:r>
    </w:p>
    <w:p>
      <w:pPr>
        <w:pStyle w:val="ListBullet"/>
        <w:spacing w:after="60"/>
      </w:pPr>
      <w:r>
        <w:rPr>
          <w:rFonts w:ascii="Times New Roman" w:hAnsi="Times New Roman"/>
        </w:rPr>
        <w:t>Switch the radio off during pH and moisture measurements where possible; acquire, average and store data before BLE transmission.</w:t>
      </w:r>
    </w:p>
    <w:p>
      <w:pPr>
        <w:pStyle w:val="ListBullet"/>
        <w:spacing w:after="60"/>
      </w:pPr>
      <w:r>
        <w:rPr>
          <w:rFonts w:ascii="Times New Roman" w:hAnsi="Times New Roman"/>
        </w:rPr>
        <w:t>Use series resistors/current limits on every waveform that can reach a wet electrode and verify the maximum possible electrode current under single-fault conditions.</w:t>
      </w:r>
    </w:p>
    <w:p>
      <w:pPr>
        <w:pStyle w:val="ListBullet"/>
        <w:spacing w:after="60"/>
      </w:pPr>
      <w:r>
        <w:rPr>
          <w:rFonts w:ascii="Times New Roman" w:hAnsi="Times New Roman"/>
        </w:rPr>
        <w:t>Provide mechanical strain relief so pulling the reusable cable cannot crack PANI, carbon or printed traces.</w:t>
      </w:r>
    </w:p>
    <w:p>
      <w:pPr>
        <w:pStyle w:val="ListBullet"/>
        <w:spacing w:after="60"/>
      </w:pPr>
      <w:r>
        <w:rPr>
          <w:rFonts w:ascii="Times New Roman" w:hAnsi="Times New Roman"/>
        </w:rPr>
        <w:t>Prevent the reusable connector contacts from touching the wound-facing surface; define a clean/dirty boundary in the mechanical design.</w:t>
      </w:r>
    </w:p>
    <w:p>
      <w:pPr>
        <w:pStyle w:val="Heading2"/>
      </w:pPr>
      <w:r>
        <w:rPr>
          <w:rFonts w:ascii="Times New Roman" w:hAnsi="Times New Roman"/>
        </w:rPr>
        <w:t>5.3 Prototype-Use Restriction</w:t>
      </w:r>
    </w:p>
    <w:tbl>
      <w:tblPr>
        <w:tblStyle w:val="TableGrid"/>
        <w:tblW w:type="auto" w:w="0"/>
        <w:jc w:val="center"/>
        <w:tblLook w:firstColumn="1" w:firstRow="1" w:lastColumn="0" w:lastRow="0" w:noHBand="0" w:noVBand="1" w:val="04A0"/>
      </w:tblPr>
      <w:tblGrid>
        <w:gridCol w:w="9994"/>
      </w:tblGrid>
      <w:tr>
        <w:trPr>
          <w:cantSplit/>
        </w:trPr>
        <w:tc>
          <w:tcPr>
            <w:tcW w:type="dxa" w:w="9994"/>
            <w:shd w:fill="FCE4D6"/>
            <w:tcMar>
              <w:top w:w="120" w:type="dxa"/>
              <w:start w:w="140" w:type="dxa"/>
              <w:bottom w:w="120" w:type="dxa"/>
              <w:end w:w="140" w:type="dxa"/>
            </w:tcMar>
          </w:tcPr>
          <w:p>
            <w:r>
              <w:rPr>
                <w:rFonts w:ascii="Times New Roman" w:hAnsi="Times New Roman"/>
                <w:b/>
                <w:sz w:val="20"/>
              </w:rPr>
              <w:t xml:space="preserve">Mandatory restriction: </w:t>
            </w:r>
            <w:r>
              <w:rPr>
                <w:rFonts w:ascii="Times New Roman" w:hAnsi="Times New Roman"/>
                <w:sz w:val="20"/>
              </w:rPr>
              <w:t>Week 07 designs are for buffer solutions, saline, artificial wound fluid and dressing/tissue simulants. Do not apply the prototype to a patient, volunteer or open wound before ethics approval, biocompatibility testing, electrical-safety review, sterilization and infection-control validation, and medical supervision.</w:t>
            </w:r>
          </w:p>
        </w:tc>
      </w:tr>
    </w:tbl>
    <w:p>
      <w:pPr>
        <w:pStyle w:val="Heading1"/>
      </w:pPr>
      <w:r>
        <w:rPr>
          <w:rFonts w:ascii="Times New Roman" w:hAnsi="Times New Roman"/>
        </w:rPr>
        <w:t>6. Integrated Week 07 Workflows</w:t>
      </w:r>
    </w:p>
    <w:p>
      <w:pPr>
        <w:jc w:val="center"/>
      </w:pPr>
      <w:r>
        <w:rPr>
          <w:rFonts w:ascii="Times New Roman" w:hAnsi="Times New Roman"/>
        </w:rPr>
        <w:drawing>
          <wp:inline xmlns:a="http://schemas.openxmlformats.org/drawingml/2006/main" xmlns:pic="http://schemas.openxmlformats.org/drawingml/2006/picture">
            <wp:extent cx="6080760" cy="3509965"/>
            <wp:docPr id="5" name="Picture 5"/>
            <wp:cNvGraphicFramePr>
              <a:graphicFrameLocks noChangeAspect="1"/>
            </wp:cNvGraphicFramePr>
            <a:graphic>
              <a:graphicData uri="http://schemas.openxmlformats.org/drawingml/2006/picture">
                <pic:pic>
                  <pic:nvPicPr>
                    <pic:cNvPr id="0" name="week07_integrated_workflow.png"/>
                    <pic:cNvPicPr/>
                  </pic:nvPicPr>
                  <pic:blipFill>
                    <a:blip r:embed="rId15"/>
                    <a:stretch>
                      <a:fillRect/>
                    </a:stretch>
                  </pic:blipFill>
                  <pic:spPr>
                    <a:xfrm>
                      <a:off x="0" y="0"/>
                      <a:ext cx="6080760" cy="3509965"/>
                    </a:xfrm>
                    <a:prstGeom prst="rect"/>
                  </pic:spPr>
                </pic:pic>
              </a:graphicData>
            </a:graphic>
          </wp:inline>
        </w:drawing>
      </w:r>
    </w:p>
    <w:p>
      <w:pPr>
        <w:spacing w:after="140"/>
        <w:jc w:val="center"/>
      </w:pPr>
      <w:r>
        <w:rPr>
          <w:rFonts w:ascii="Times New Roman" w:hAnsi="Times New Roman"/>
          <w:i/>
          <w:sz w:val="18"/>
        </w:rPr>
        <w:t>Figure 5. Week 07 workflow linking research constraints to a supervisor-reviewable implementation plan.</w:t>
      </w:r>
    </w:p>
    <w:p>
      <w:pPr>
        <w:pStyle w:val="Heading2"/>
      </w:pPr>
      <w:r>
        <w:rPr>
          <w:rFonts w:ascii="Times New Roman" w:hAnsi="Times New Roman"/>
        </w:rPr>
        <w:t>6.1 Detailed Fabrication Workflow for Week 08 Execution</w:t>
      </w:r>
    </w:p>
    <w:p>
      <w:pPr>
        <w:jc w:val="center"/>
      </w:pPr>
      <w:r>
        <w:rPr>
          <w:rFonts w:ascii="Times New Roman" w:hAnsi="Times New Roman"/>
        </w:rPr>
        <w:drawing>
          <wp:inline xmlns:a="http://schemas.openxmlformats.org/drawingml/2006/main" xmlns:pic="http://schemas.openxmlformats.org/drawingml/2006/picture">
            <wp:extent cx="6080760" cy="3298781"/>
            <wp:docPr id="6" name="Picture 6"/>
            <wp:cNvGraphicFramePr>
              <a:graphicFrameLocks noChangeAspect="1"/>
            </wp:cNvGraphicFramePr>
            <a:graphic>
              <a:graphicData uri="http://schemas.openxmlformats.org/drawingml/2006/picture">
                <pic:pic>
                  <pic:nvPicPr>
                    <pic:cNvPr id="0" name="fabrication_workflow.png"/>
                    <pic:cNvPicPr/>
                  </pic:nvPicPr>
                  <pic:blipFill>
                    <a:blip r:embed="rId16"/>
                    <a:stretch>
                      <a:fillRect/>
                    </a:stretch>
                  </pic:blipFill>
                  <pic:spPr>
                    <a:xfrm>
                      <a:off x="0" y="0"/>
                      <a:ext cx="6080760" cy="3298781"/>
                    </a:xfrm>
                    <a:prstGeom prst="rect"/>
                  </pic:spPr>
                </pic:pic>
              </a:graphicData>
            </a:graphic>
          </wp:inline>
        </w:drawing>
      </w:r>
    </w:p>
    <w:p>
      <w:pPr>
        <w:spacing w:after="140"/>
        <w:jc w:val="center"/>
      </w:pPr>
      <w:r>
        <w:rPr>
          <w:rFonts w:ascii="Times New Roman" w:hAnsi="Times New Roman"/>
          <w:i/>
          <w:sz w:val="18"/>
        </w:rPr>
        <w:t>Figure 6. Planned bench fabrication, inspection and calibration sequence.</w:t>
      </w:r>
    </w:p>
    <w:p>
      <w:pPr>
        <w:pStyle w:val="Heading2"/>
      </w:pPr>
      <w:r>
        <w:rPr>
          <w:rFonts w:ascii="Times New Roman" w:hAnsi="Times New Roman"/>
        </w:rPr>
        <w:t>6.2 Sensor-to-Data Workflow</w:t>
      </w:r>
    </w:p>
    <w:p>
      <w:pPr>
        <w:pStyle w:val="ListNumber"/>
        <w:spacing w:after="60"/>
      </w:pPr>
      <w:r>
        <w:rPr>
          <w:rFonts w:ascii="Times New Roman" w:hAnsi="Times New Roman"/>
        </w:rPr>
        <w:t>Power up the reusable module and verify the protected 3.3 V rail before connecting the disposable patch.</w:t>
      </w:r>
    </w:p>
    <w:p>
      <w:pPr>
        <w:pStyle w:val="ListNumber"/>
        <w:spacing w:after="60"/>
      </w:pPr>
      <w:r>
        <w:rPr>
          <w:rFonts w:ascii="Times New Roman" w:hAnsi="Times New Roman"/>
        </w:rPr>
        <w:t>Read the patch identifier or confirm the sensor batch and calibration record.</w:t>
      </w:r>
    </w:p>
    <w:p>
      <w:pPr>
        <w:pStyle w:val="ListNumber"/>
        <w:spacing w:after="60"/>
      </w:pPr>
      <w:r>
        <w:rPr>
          <w:rFonts w:ascii="Times New Roman" w:hAnsi="Times New Roman"/>
        </w:rPr>
        <w:t>Disable BLE transmission and noisy switching activity where practical during precision measurement.</w:t>
      </w:r>
    </w:p>
    <w:p>
      <w:pPr>
        <w:pStyle w:val="ListNumber"/>
        <w:spacing w:after="60"/>
      </w:pPr>
      <w:r>
        <w:rPr>
          <w:rFonts w:ascii="Times New Roman" w:hAnsi="Times New Roman"/>
        </w:rPr>
        <w:t>Select the ADS1115 bus segment; read and average the buffered differential pH voltage.</w:t>
      </w:r>
    </w:p>
    <w:p>
      <w:pPr>
        <w:pStyle w:val="ListNumber"/>
        <w:spacing w:after="60"/>
      </w:pPr>
      <w:r>
        <w:rPr>
          <w:rFonts w:ascii="Times New Roman" w:hAnsi="Times New Roman"/>
        </w:rPr>
        <w:t>Generate a short current-limited moisture excitation burst, allow the envelope detector to settle, read the ADC and stop excitation.</w:t>
      </w:r>
    </w:p>
    <w:p>
      <w:pPr>
        <w:pStyle w:val="ListNumber"/>
        <w:spacing w:after="60"/>
      </w:pPr>
      <w:r>
        <w:rPr>
          <w:rFonts w:ascii="Times New Roman" w:hAnsi="Times New Roman"/>
        </w:rPr>
        <w:t>Select the TMP117 bus segment and read all four temperature sites.</w:t>
      </w:r>
    </w:p>
    <w:p>
      <w:pPr>
        <w:pStyle w:val="ListNumber"/>
        <w:spacing w:after="60"/>
      </w:pPr>
      <w:r>
        <w:rPr>
          <w:rFonts w:ascii="Times New Roman" w:hAnsi="Times New Roman"/>
        </w:rPr>
        <w:t>Apply sensor-specific calibration equations, calculate spatial or trend features and generate quality flags.</w:t>
      </w:r>
    </w:p>
    <w:p>
      <w:pPr>
        <w:pStyle w:val="ListNumber"/>
        <w:spacing w:after="60"/>
      </w:pPr>
      <w:r>
        <w:rPr>
          <w:rFonts w:ascii="Times New Roman" w:hAnsi="Times New Roman"/>
        </w:rPr>
        <w:t>Store raw values together with calibrated values, timestamp, battery voltage and error flags.</w:t>
      </w:r>
    </w:p>
    <w:p>
      <w:pPr>
        <w:pStyle w:val="ListNumber"/>
        <w:spacing w:after="60"/>
      </w:pPr>
      <w:r>
        <w:rPr>
          <w:rFonts w:ascii="Times New Roman" w:hAnsi="Times New Roman"/>
        </w:rPr>
        <w:t>Transmit a compact BLE packet, then return the system to a low-power state until the next sample interval.</w:t>
      </w:r>
    </w:p>
    <w:p>
      <w:pPr>
        <w:pStyle w:val="Heading1"/>
      </w:pPr>
      <w:r>
        <w:rPr>
          <w:rFonts w:ascii="Times New Roman" w:hAnsi="Times New Roman"/>
        </w:rPr>
        <w:t>7. Technical Decisions and Corrections Made in Week 07</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37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Earlier assumption / risk</w:t>
            </w:r>
          </w:p>
        </w:tc>
        <w:tc>
          <w:tcPr>
            <w:tcW w:type="dxa" w:w="3384"/>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Week 07 correction</w:t>
            </w:r>
          </w:p>
        </w:tc>
        <w:tc>
          <w:tcPr>
            <w:tcW w:type="dxa" w:w="360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Reason and impact</w:t>
            </w:r>
          </w:p>
        </w:tc>
      </w:tr>
      <w:tr>
        <w:trPr>
          <w:cantSplit/>
        </w:trPr>
        <w:tc>
          <w:tcPr>
            <w:tcW w:type="dxa" w:w="2376"/>
            <w:vAlign w:val="center"/>
            <w:tcMar>
              <w:top w:w="80" w:type="dxa"/>
              <w:start w:w="90" w:type="dxa"/>
              <w:bottom w:w="80" w:type="dxa"/>
              <w:end w:w="90" w:type="dxa"/>
            </w:tcMar>
          </w:tcPr>
          <w:p>
            <w:pPr>
              <w:spacing w:after="0" w:before="0"/>
            </w:pPr>
            <w:r>
              <w:rPr>
                <w:rFonts w:ascii="Times New Roman" w:hAnsi="Times New Roman"/>
                <w:sz w:val="16"/>
              </w:rPr>
              <w:t>ESP32-C3 internal DAC can directly excite the moisture IDE</w:t>
            </w:r>
          </w:p>
        </w:tc>
        <w:tc>
          <w:tcPr>
            <w:tcW w:type="dxa" w:w="3384"/>
            <w:vAlign w:val="center"/>
            <w:tcMar>
              <w:top w:w="80" w:type="dxa"/>
              <w:start w:w="90" w:type="dxa"/>
              <w:bottom w:w="80" w:type="dxa"/>
              <w:end w:w="90" w:type="dxa"/>
            </w:tcMar>
          </w:tcPr>
          <w:p>
            <w:pPr>
              <w:spacing w:after="0" w:before="0"/>
            </w:pPr>
            <w:r>
              <w:rPr>
                <w:rFonts w:ascii="Times New Roman" w:hAnsi="Times New Roman"/>
                <w:sz w:val="16"/>
              </w:rPr>
              <w:t>Use PWM/complementary GPIO followed by attenuation, AC coupling and current limiting</w:t>
            </w:r>
          </w:p>
        </w:tc>
        <w:tc>
          <w:tcPr>
            <w:tcW w:type="dxa" w:w="3600"/>
            <w:vAlign w:val="center"/>
            <w:tcMar>
              <w:top w:w="80" w:type="dxa"/>
              <w:start w:w="90" w:type="dxa"/>
              <w:bottom w:w="80" w:type="dxa"/>
              <w:end w:w="90" w:type="dxa"/>
            </w:tcMar>
          </w:tcPr>
          <w:p>
            <w:pPr>
              <w:spacing w:after="0" w:before="0"/>
            </w:pPr>
            <w:r>
              <w:rPr>
                <w:rFonts w:ascii="Times New Roman" w:hAnsi="Times New Roman"/>
                <w:sz w:val="16"/>
              </w:rPr>
              <w:t>ESP32-C3 has no true output DAC; the revised method also reduces DC polarization.</w:t>
            </w:r>
          </w:p>
        </w:tc>
      </w:tr>
      <w:tr>
        <w:trPr>
          <w:cantSplit/>
        </w:trPr>
        <w:tc>
          <w:tcPr>
            <w:tcW w:type="dxa" w:w="2376"/>
            <w:vAlign w:val="center"/>
            <w:tcMar>
              <w:top w:w="80" w:type="dxa"/>
              <w:start w:w="90" w:type="dxa"/>
              <w:bottom w:w="80" w:type="dxa"/>
              <w:end w:w="90" w:type="dxa"/>
            </w:tcMar>
          </w:tcPr>
          <w:p>
            <w:pPr>
              <w:spacing w:after="0" w:before="0"/>
            </w:pPr>
            <w:r>
              <w:rPr>
                <w:rFonts w:ascii="Times New Roman" w:hAnsi="Times New Roman"/>
                <w:sz w:val="16"/>
              </w:rPr>
              <w:t>One ADC path can directly acquire all three sensors</w:t>
            </w:r>
          </w:p>
        </w:tc>
        <w:tc>
          <w:tcPr>
            <w:tcW w:type="dxa" w:w="3384"/>
            <w:vAlign w:val="center"/>
            <w:tcMar>
              <w:top w:w="80" w:type="dxa"/>
              <w:start w:w="90" w:type="dxa"/>
              <w:bottom w:w="80" w:type="dxa"/>
              <w:end w:w="90" w:type="dxa"/>
            </w:tcMar>
          </w:tcPr>
          <w:p>
            <w:pPr>
              <w:spacing w:after="0" w:before="0"/>
            </w:pPr>
            <w:r>
              <w:rPr>
                <w:rFonts w:ascii="Times New Roman" w:hAnsi="Times New Roman"/>
                <w:sz w:val="16"/>
              </w:rPr>
              <w:t>Use separate pH, temperature and moisture signal chains</w:t>
            </w:r>
          </w:p>
        </w:tc>
        <w:tc>
          <w:tcPr>
            <w:tcW w:type="dxa" w:w="3600"/>
            <w:vAlign w:val="center"/>
            <w:tcMar>
              <w:top w:w="80" w:type="dxa"/>
              <w:start w:w="90" w:type="dxa"/>
              <w:bottom w:w="80" w:type="dxa"/>
              <w:end w:w="90" w:type="dxa"/>
            </w:tcMar>
          </w:tcPr>
          <w:p>
            <w:pPr>
              <w:spacing w:after="0" w:before="0"/>
            </w:pPr>
            <w:r>
              <w:rPr>
                <w:rFonts w:ascii="Times New Roman" w:hAnsi="Times New Roman"/>
                <w:sz w:val="16"/>
              </w:rPr>
              <w:t>The sensors produce fundamentally different electrical outputs.</w:t>
            </w:r>
          </w:p>
        </w:tc>
      </w:tr>
      <w:tr>
        <w:trPr>
          <w:cantSplit/>
        </w:trPr>
        <w:tc>
          <w:tcPr>
            <w:tcW w:type="dxa" w:w="2376"/>
            <w:vAlign w:val="center"/>
            <w:tcMar>
              <w:top w:w="80" w:type="dxa"/>
              <w:start w:w="90" w:type="dxa"/>
              <w:bottom w:w="80" w:type="dxa"/>
              <w:end w:w="90" w:type="dxa"/>
            </w:tcMar>
          </w:tcPr>
          <w:p>
            <w:pPr>
              <w:spacing w:after="0" w:before="0"/>
            </w:pPr>
            <w:r>
              <w:rPr>
                <w:rFonts w:ascii="Times New Roman" w:hAnsi="Times New Roman"/>
                <w:sz w:val="16"/>
              </w:rPr>
              <w:t>Connect Ag/AgCl reference to circuit ground</w:t>
            </w:r>
          </w:p>
        </w:tc>
        <w:tc>
          <w:tcPr>
            <w:tcW w:type="dxa" w:w="3384"/>
            <w:vAlign w:val="center"/>
            <w:tcMar>
              <w:top w:w="80" w:type="dxa"/>
              <w:start w:w="90" w:type="dxa"/>
              <w:bottom w:w="80" w:type="dxa"/>
              <w:end w:w="90" w:type="dxa"/>
            </w:tcMar>
          </w:tcPr>
          <w:p>
            <w:pPr>
              <w:spacing w:after="0" w:before="0"/>
            </w:pPr>
            <w:r>
              <w:rPr>
                <w:rFonts w:ascii="Times New Roman" w:hAnsi="Times New Roman"/>
                <w:sz w:val="16"/>
              </w:rPr>
              <w:t>Buffer the reference electrode separately and measure differentially</w:t>
            </w:r>
          </w:p>
        </w:tc>
        <w:tc>
          <w:tcPr>
            <w:tcW w:type="dxa" w:w="3600"/>
            <w:vAlign w:val="center"/>
            <w:tcMar>
              <w:top w:w="80" w:type="dxa"/>
              <w:start w:w="90" w:type="dxa"/>
              <w:bottom w:w="80" w:type="dxa"/>
              <w:end w:w="90" w:type="dxa"/>
            </w:tcMar>
          </w:tcPr>
          <w:p>
            <w:pPr>
              <w:spacing w:after="0" w:before="0"/>
            </w:pPr>
            <w:r>
              <w:rPr>
                <w:rFonts w:ascii="Times New Roman" w:hAnsi="Times New Roman"/>
                <w:sz w:val="16"/>
              </w:rPr>
              <w:t>A reference electrode is an electrochemical reference, not a ground node.</w:t>
            </w:r>
          </w:p>
        </w:tc>
      </w:tr>
      <w:tr>
        <w:trPr>
          <w:cantSplit/>
        </w:trPr>
        <w:tc>
          <w:tcPr>
            <w:tcW w:type="dxa" w:w="2376"/>
            <w:vAlign w:val="center"/>
            <w:tcMar>
              <w:top w:w="80" w:type="dxa"/>
              <w:start w:w="90" w:type="dxa"/>
              <w:bottom w:w="80" w:type="dxa"/>
              <w:end w:w="90" w:type="dxa"/>
            </w:tcMar>
          </w:tcPr>
          <w:p>
            <w:pPr>
              <w:spacing w:after="0" w:before="0"/>
            </w:pPr>
            <w:r>
              <w:rPr>
                <w:rFonts w:ascii="Times New Roman" w:hAnsi="Times New Roman"/>
                <w:sz w:val="16"/>
              </w:rPr>
              <w:t>Use ADS1115 directly on PANI electrode</w:t>
            </w:r>
          </w:p>
        </w:tc>
        <w:tc>
          <w:tcPr>
            <w:tcW w:type="dxa" w:w="3384"/>
            <w:vAlign w:val="center"/>
            <w:tcMar>
              <w:top w:w="80" w:type="dxa"/>
              <w:start w:w="90" w:type="dxa"/>
              <w:bottom w:w="80" w:type="dxa"/>
              <w:end w:w="90" w:type="dxa"/>
            </w:tcMar>
          </w:tcPr>
          <w:p>
            <w:pPr>
              <w:spacing w:after="0" w:before="0"/>
            </w:pPr>
            <w:r>
              <w:rPr>
                <w:rFonts w:ascii="Times New Roman" w:hAnsi="Times New Roman"/>
                <w:sz w:val="16"/>
              </w:rPr>
              <w:t>Insert ultra-high-input-impedance buffers before the ADC</w:t>
            </w:r>
          </w:p>
        </w:tc>
        <w:tc>
          <w:tcPr>
            <w:tcW w:type="dxa" w:w="3600"/>
            <w:vAlign w:val="center"/>
            <w:tcMar>
              <w:top w:w="80" w:type="dxa"/>
              <w:start w:w="90" w:type="dxa"/>
              <w:bottom w:w="80" w:type="dxa"/>
              <w:end w:w="90" w:type="dxa"/>
            </w:tcMar>
          </w:tcPr>
          <w:p>
            <w:pPr>
              <w:spacing w:after="0" w:before="0"/>
            </w:pPr>
            <w:r>
              <w:rPr>
                <w:rFonts w:ascii="Times New Roman" w:hAnsi="Times New Roman"/>
                <w:sz w:val="16"/>
              </w:rPr>
              <w:t>Direct connection can load the electrode and cause drift/error.</w:t>
            </w:r>
          </w:p>
        </w:tc>
      </w:tr>
      <w:tr>
        <w:trPr>
          <w:cantSplit/>
        </w:trPr>
        <w:tc>
          <w:tcPr>
            <w:tcW w:type="dxa" w:w="2376"/>
            <w:vAlign w:val="center"/>
            <w:tcMar>
              <w:top w:w="80" w:type="dxa"/>
              <w:start w:w="90" w:type="dxa"/>
              <w:bottom w:w="80" w:type="dxa"/>
              <w:end w:w="90" w:type="dxa"/>
            </w:tcMar>
          </w:tcPr>
          <w:p>
            <w:pPr>
              <w:spacing w:after="0" w:before="0"/>
            </w:pPr>
            <w:r>
              <w:rPr>
                <w:rFonts w:ascii="Times New Roman" w:hAnsi="Times New Roman"/>
                <w:sz w:val="16"/>
              </w:rPr>
              <w:t>Four TMP117 sensors and ADS1115 can share one simple I2C bus</w:t>
            </w:r>
          </w:p>
        </w:tc>
        <w:tc>
          <w:tcPr>
            <w:tcW w:type="dxa" w:w="3384"/>
            <w:vAlign w:val="center"/>
            <w:tcMar>
              <w:top w:w="80" w:type="dxa"/>
              <w:start w:w="90" w:type="dxa"/>
              <w:bottom w:w="80" w:type="dxa"/>
              <w:end w:w="90" w:type="dxa"/>
            </w:tcMar>
          </w:tcPr>
          <w:p>
            <w:pPr>
              <w:spacing w:after="0" w:before="0"/>
            </w:pPr>
            <w:r>
              <w:rPr>
                <w:rFonts w:ascii="Times New Roman" w:hAnsi="Times New Roman"/>
                <w:sz w:val="16"/>
              </w:rPr>
              <w:t>Use an I2C bus switch or separate buses</w:t>
            </w:r>
          </w:p>
        </w:tc>
        <w:tc>
          <w:tcPr>
            <w:tcW w:type="dxa" w:w="3600"/>
            <w:vAlign w:val="center"/>
            <w:tcMar>
              <w:top w:w="80" w:type="dxa"/>
              <w:start w:w="90" w:type="dxa"/>
              <w:bottom w:w="80" w:type="dxa"/>
              <w:end w:w="90" w:type="dxa"/>
            </w:tcMar>
          </w:tcPr>
          <w:p>
            <w:pPr>
              <w:spacing w:after="0" w:before="0"/>
            </w:pPr>
            <w:r>
              <w:rPr>
                <w:rFonts w:ascii="Times New Roman" w:hAnsi="Times New Roman"/>
                <w:sz w:val="16"/>
              </w:rPr>
              <w:t>Their selectable addresses overlap.</w:t>
            </w:r>
          </w:p>
        </w:tc>
      </w:tr>
      <w:tr>
        <w:trPr>
          <w:cantSplit/>
        </w:trPr>
        <w:tc>
          <w:tcPr>
            <w:tcW w:type="dxa" w:w="2376"/>
            <w:vAlign w:val="center"/>
            <w:tcMar>
              <w:top w:w="80" w:type="dxa"/>
              <w:start w:w="90" w:type="dxa"/>
              <w:bottom w:w="80" w:type="dxa"/>
              <w:end w:w="90" w:type="dxa"/>
            </w:tcMar>
          </w:tcPr>
          <w:p>
            <w:pPr>
              <w:spacing w:after="0" w:before="0"/>
            </w:pPr>
            <w:r>
              <w:rPr>
                <w:rFonts w:ascii="Times New Roman" w:hAnsi="Times New Roman"/>
                <w:sz w:val="16"/>
              </w:rPr>
              <w:t>Datasheet sensor accuracy equals wound-surface system accuracy</w:t>
            </w:r>
          </w:p>
        </w:tc>
        <w:tc>
          <w:tcPr>
            <w:tcW w:type="dxa" w:w="3384"/>
            <w:vAlign w:val="center"/>
            <w:tcMar>
              <w:top w:w="80" w:type="dxa"/>
              <w:start w:w="90" w:type="dxa"/>
              <w:bottom w:w="80" w:type="dxa"/>
              <w:end w:w="90" w:type="dxa"/>
            </w:tcMar>
          </w:tcPr>
          <w:p>
            <w:pPr>
              <w:spacing w:after="0" w:before="0"/>
            </w:pPr>
            <w:r>
              <w:rPr>
                <w:rFonts w:ascii="Times New Roman" w:hAnsi="Times New Roman"/>
                <w:sz w:val="16"/>
              </w:rPr>
              <w:t>Validate the complete encapsulated assembly</w:t>
            </w:r>
          </w:p>
        </w:tc>
        <w:tc>
          <w:tcPr>
            <w:tcW w:type="dxa" w:w="3600"/>
            <w:vAlign w:val="center"/>
            <w:tcMar>
              <w:top w:w="80" w:type="dxa"/>
              <w:start w:w="90" w:type="dxa"/>
              <w:bottom w:w="80" w:type="dxa"/>
              <w:end w:w="90" w:type="dxa"/>
            </w:tcMar>
          </w:tcPr>
          <w:p>
            <w:pPr>
              <w:spacing w:after="0" w:before="0"/>
            </w:pPr>
            <w:r>
              <w:rPr>
                <w:rFonts w:ascii="Times New Roman" w:hAnsi="Times New Roman"/>
                <w:sz w:val="16"/>
              </w:rPr>
              <w:t>Thermal lag, contact, self-heating and packaging alter system performance.</w:t>
            </w:r>
          </w:p>
        </w:tc>
      </w:tr>
      <w:tr>
        <w:trPr>
          <w:cantSplit/>
        </w:trPr>
        <w:tc>
          <w:tcPr>
            <w:tcW w:type="dxa" w:w="2376"/>
            <w:vAlign w:val="center"/>
            <w:tcMar>
              <w:top w:w="80" w:type="dxa"/>
              <w:start w:w="90" w:type="dxa"/>
              <w:bottom w:w="80" w:type="dxa"/>
              <w:end w:w="90" w:type="dxa"/>
            </w:tcMar>
          </w:tcPr>
          <w:p>
            <w:pPr>
              <w:spacing w:after="0" w:before="0"/>
            </w:pPr>
            <w:r>
              <w:rPr>
                <w:rFonts w:ascii="Times New Roman" w:hAnsi="Times New Roman"/>
                <w:sz w:val="16"/>
              </w:rPr>
              <w:t>Dry/wet output can be called moisture percentage</w:t>
            </w:r>
          </w:p>
        </w:tc>
        <w:tc>
          <w:tcPr>
            <w:tcW w:type="dxa" w:w="3384"/>
            <w:vAlign w:val="center"/>
            <w:tcMar>
              <w:top w:w="80" w:type="dxa"/>
              <w:start w:w="90" w:type="dxa"/>
              <w:bottom w:w="80" w:type="dxa"/>
              <w:end w:w="90" w:type="dxa"/>
            </w:tcMar>
          </w:tcPr>
          <w:p>
            <w:pPr>
              <w:spacing w:after="0" w:before="0"/>
            </w:pPr>
            <w:r>
              <w:rPr>
                <w:rFonts w:ascii="Times New Roman" w:hAnsi="Times New Roman"/>
                <w:sz w:val="16"/>
              </w:rPr>
              <w:t>Initially report a calibrated wetness/exudate index and raw detector voltage</w:t>
            </w:r>
          </w:p>
        </w:tc>
        <w:tc>
          <w:tcPr>
            <w:tcW w:type="dxa" w:w="3600"/>
            <w:vAlign w:val="center"/>
            <w:tcMar>
              <w:top w:w="80" w:type="dxa"/>
              <w:start w:w="90" w:type="dxa"/>
              <w:bottom w:w="80" w:type="dxa"/>
              <w:end w:w="90" w:type="dxa"/>
            </w:tcMar>
          </w:tcPr>
          <w:p>
            <w:pPr>
              <w:spacing w:after="0" w:before="0"/>
            </w:pPr>
            <w:r>
              <w:rPr>
                <w:rFonts w:ascii="Times New Roman" w:hAnsi="Times New Roman"/>
                <w:sz w:val="16"/>
              </w:rPr>
              <w:t>Absolute percentage needs mass/volume-based traceable calibration.</w:t>
            </w:r>
          </w:p>
        </w:tc>
      </w:tr>
      <w:tr>
        <w:trPr>
          <w:cantSplit/>
        </w:trPr>
        <w:tc>
          <w:tcPr>
            <w:tcW w:type="dxa" w:w="2376"/>
            <w:vAlign w:val="center"/>
            <w:tcMar>
              <w:top w:w="80" w:type="dxa"/>
              <w:start w:w="90" w:type="dxa"/>
              <w:bottom w:w="80" w:type="dxa"/>
              <w:end w:w="90" w:type="dxa"/>
            </w:tcMar>
          </w:tcPr>
          <w:p>
            <w:pPr>
              <w:spacing w:after="0" w:before="0"/>
            </w:pPr>
            <w:r>
              <w:rPr>
                <w:rFonts w:ascii="Times New Roman" w:hAnsi="Times New Roman"/>
                <w:sz w:val="16"/>
              </w:rPr>
              <w:t>Preliminary material list proves the complete prototype is under USD 50</w:t>
            </w:r>
          </w:p>
        </w:tc>
        <w:tc>
          <w:tcPr>
            <w:tcW w:type="dxa" w:w="3384"/>
            <w:vAlign w:val="center"/>
            <w:tcMar>
              <w:top w:w="80" w:type="dxa"/>
              <w:start w:w="90" w:type="dxa"/>
              <w:bottom w:w="80" w:type="dxa"/>
              <w:end w:w="90" w:type="dxa"/>
            </w:tcMar>
          </w:tcPr>
          <w:p>
            <w:pPr>
              <w:spacing w:after="0" w:before="0"/>
            </w:pPr>
            <w:r>
              <w:rPr>
                <w:rFonts w:ascii="Times New Roman" w:hAnsi="Times New Roman"/>
                <w:sz w:val="16"/>
              </w:rPr>
              <w:t>Maintain the cost as a target pending complete BOM and quotations</w:t>
            </w:r>
          </w:p>
        </w:tc>
        <w:tc>
          <w:tcPr>
            <w:tcW w:type="dxa" w:w="3600"/>
            <w:vAlign w:val="center"/>
            <w:tcMar>
              <w:top w:w="80" w:type="dxa"/>
              <w:start w:w="90" w:type="dxa"/>
              <w:bottom w:w="80" w:type="dxa"/>
              <w:end w:w="90" w:type="dxa"/>
            </w:tcMar>
          </w:tcPr>
          <w:p>
            <w:pPr>
              <w:spacing w:after="0" w:before="0"/>
            </w:pPr>
            <w:r>
              <w:rPr>
                <w:rFonts w:ascii="Times New Roman" w:hAnsi="Times New Roman"/>
                <w:sz w:val="16"/>
              </w:rPr>
              <w:t>Several major electronic, fabrication and logistics costs are missing.</w:t>
            </w:r>
          </w:p>
        </w:tc>
      </w:tr>
    </w:tbl>
    <w:p>
      <w:pPr>
        <w:pStyle w:val="Heading1"/>
      </w:pPr>
      <w:r>
        <w:rPr>
          <w:rFonts w:ascii="Times New Roman" w:hAnsi="Times New Roman"/>
        </w:rPr>
        <w:t>8. Validation Plan and Evidence Required</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1728"/>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Validation stage</w:t>
            </w:r>
          </w:p>
        </w:tc>
        <w:tc>
          <w:tcPr>
            <w:tcW w:type="dxa" w:w="237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Test method</w:t>
            </w:r>
          </w:p>
        </w:tc>
        <w:tc>
          <w:tcPr>
            <w:tcW w:type="dxa" w:w="324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Required evidence</w:t>
            </w:r>
          </w:p>
        </w:tc>
        <w:tc>
          <w:tcPr>
            <w:tcW w:type="dxa" w:w="201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Indicative acceptance decision</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6"/>
              </w:rPr>
              <w:t>Electrical integrity</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Continuity, short-circuit, leakage and supply-ripple tests</w:t>
            </w:r>
          </w:p>
        </w:tc>
        <w:tc>
          <w:tcPr>
            <w:tcW w:type="dxa" w:w="3240"/>
            <w:vAlign w:val="center"/>
            <w:tcMar>
              <w:top w:w="80" w:type="dxa"/>
              <w:start w:w="90" w:type="dxa"/>
              <w:bottom w:w="80" w:type="dxa"/>
              <w:end w:w="90" w:type="dxa"/>
            </w:tcMar>
          </w:tcPr>
          <w:p>
            <w:pPr>
              <w:spacing w:after="0" w:before="0"/>
            </w:pPr>
            <w:r>
              <w:rPr>
                <w:rFonts w:ascii="Times New Roman" w:hAnsi="Times New Roman"/>
                <w:sz w:val="16"/>
              </w:rPr>
              <w:t>Measured resistance table, rail waveforms and inspection photographs</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No short; stable rails; pH inputs do not show unacceptable leakage.</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6"/>
              </w:rPr>
              <w:t>PANI material check</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Colour, film adhesion and conductivity screening</w:t>
            </w:r>
          </w:p>
        </w:tc>
        <w:tc>
          <w:tcPr>
            <w:tcW w:type="dxa" w:w="3240"/>
            <w:vAlign w:val="center"/>
            <w:tcMar>
              <w:top w:w="80" w:type="dxa"/>
              <w:start w:w="90" w:type="dxa"/>
              <w:bottom w:w="80" w:type="dxa"/>
              <w:end w:w="90" w:type="dxa"/>
            </w:tcMar>
          </w:tcPr>
          <w:p>
            <w:pPr>
              <w:spacing w:after="0" w:before="0"/>
            </w:pPr>
            <w:r>
              <w:rPr>
                <w:rFonts w:ascii="Times New Roman" w:hAnsi="Times New Roman"/>
                <w:sz w:val="16"/>
              </w:rPr>
              <w:t>Batch record, photos and repeat measurements</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Uniform adherent film; no obvious delamination; conductivity adequate for sensing trials.</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6"/>
              </w:rPr>
              <w:t>pH calibration</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Fresh pH 4, 7 and 10 buffers with repeated centre point</w:t>
            </w:r>
          </w:p>
        </w:tc>
        <w:tc>
          <w:tcPr>
            <w:tcW w:type="dxa" w:w="3240"/>
            <w:vAlign w:val="center"/>
            <w:tcMar>
              <w:top w:w="80" w:type="dxa"/>
              <w:start w:w="90" w:type="dxa"/>
              <w:bottom w:w="80" w:type="dxa"/>
              <w:end w:w="90" w:type="dxa"/>
            </w:tcMar>
          </w:tcPr>
          <w:p>
            <w:pPr>
              <w:spacing w:after="0" w:before="0"/>
            </w:pPr>
            <w:r>
              <w:rPr>
                <w:rFonts w:ascii="Times New Roman" w:hAnsi="Times New Roman"/>
                <w:sz w:val="16"/>
              </w:rPr>
              <w:t>Slope, intercept, R-squared, response time, hysteresis and drift</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Slope and repeatability within a supervisor-approved project range.</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6"/>
              </w:rPr>
              <w:t>Temperature calibration</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Reference thermometer and controlled bath/surface points</w:t>
            </w:r>
          </w:p>
        </w:tc>
        <w:tc>
          <w:tcPr>
            <w:tcW w:type="dxa" w:w="3240"/>
            <w:vAlign w:val="center"/>
            <w:tcMar>
              <w:top w:w="80" w:type="dxa"/>
              <w:start w:w="90" w:type="dxa"/>
              <w:bottom w:w="80" w:type="dxa"/>
              <w:end w:w="90" w:type="dxa"/>
            </w:tcMar>
          </w:tcPr>
          <w:p>
            <w:pPr>
              <w:spacing w:after="0" w:before="0"/>
            </w:pPr>
            <w:r>
              <w:rPr>
                <w:rFonts w:ascii="Times New Roman" w:hAnsi="Times New Roman"/>
                <w:sz w:val="16"/>
              </w:rPr>
              <w:t>Error per site, repeatability, lag and spatial consistency</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Assembly-level error and lag documented; outliers corrected or rejected.</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6"/>
              </w:rPr>
              <w:t>Moisture characterization</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Controlled saline/wound-simulant additions and frequency sweep</w:t>
            </w:r>
          </w:p>
        </w:tc>
        <w:tc>
          <w:tcPr>
            <w:tcW w:type="dxa" w:w="3240"/>
            <w:vAlign w:val="center"/>
            <w:tcMar>
              <w:top w:w="80" w:type="dxa"/>
              <w:start w:w="90" w:type="dxa"/>
              <w:bottom w:w="80" w:type="dxa"/>
              <w:end w:w="90" w:type="dxa"/>
            </w:tcMar>
          </w:tcPr>
          <w:p>
            <w:pPr>
              <w:spacing w:after="0" w:before="0"/>
            </w:pPr>
            <w:r>
              <w:rPr>
                <w:rFonts w:ascii="Times New Roman" w:hAnsi="Times New Roman"/>
                <w:sz w:val="16"/>
              </w:rPr>
              <w:t>Raw impedance/envelope, repeatability, hysteresis and saturation curves</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Distinct, repeatable levels without excessive polarization or current.</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6"/>
              </w:rPr>
              <w:t>Integrated cross-talk</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All channels operating with BLE off/on</w:t>
            </w:r>
          </w:p>
        </w:tc>
        <w:tc>
          <w:tcPr>
            <w:tcW w:type="dxa" w:w="3240"/>
            <w:vAlign w:val="center"/>
            <w:tcMar>
              <w:top w:w="80" w:type="dxa"/>
              <w:start w:w="90" w:type="dxa"/>
              <w:bottom w:w="80" w:type="dxa"/>
              <w:end w:w="90" w:type="dxa"/>
            </w:tcMar>
          </w:tcPr>
          <w:p>
            <w:pPr>
              <w:spacing w:after="0" w:before="0"/>
            </w:pPr>
            <w:r>
              <w:rPr>
                <w:rFonts w:ascii="Times New Roman" w:hAnsi="Times New Roman"/>
                <w:sz w:val="16"/>
              </w:rPr>
              <w:t>Comparison of pH/moisture/temperature readings across operating modes</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No unacceptable radio, I2C or PWM-induced shift.</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6"/>
              </w:rPr>
              <w:t>Mechanical reliability</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Bend radius, repeated flex and connector cycling</w:t>
            </w:r>
          </w:p>
        </w:tc>
        <w:tc>
          <w:tcPr>
            <w:tcW w:type="dxa" w:w="3240"/>
            <w:vAlign w:val="center"/>
            <w:tcMar>
              <w:top w:w="80" w:type="dxa"/>
              <w:start w:w="90" w:type="dxa"/>
              <w:bottom w:w="80" w:type="dxa"/>
              <w:end w:w="90" w:type="dxa"/>
            </w:tcMar>
          </w:tcPr>
          <w:p>
            <w:pPr>
              <w:spacing w:after="0" w:before="0"/>
            </w:pPr>
            <w:r>
              <w:rPr>
                <w:rFonts w:ascii="Times New Roman" w:hAnsi="Times New Roman"/>
                <w:sz w:val="16"/>
              </w:rPr>
              <w:t>Resistance and sensor output versus cycle count</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No cracking, unstable connector contact or delamination.</w:t>
            </w:r>
          </w:p>
        </w:tc>
      </w:tr>
      <w:tr>
        <w:trPr>
          <w:cantSplit/>
        </w:trPr>
        <w:tc>
          <w:tcPr>
            <w:tcW w:type="dxa" w:w="1728"/>
            <w:vAlign w:val="center"/>
            <w:tcMar>
              <w:top w:w="80" w:type="dxa"/>
              <w:start w:w="90" w:type="dxa"/>
              <w:bottom w:w="80" w:type="dxa"/>
              <w:end w:w="90" w:type="dxa"/>
            </w:tcMar>
          </w:tcPr>
          <w:p>
            <w:pPr>
              <w:spacing w:after="0" w:before="0"/>
            </w:pPr>
            <w:r>
              <w:rPr>
                <w:rFonts w:ascii="Times New Roman" w:hAnsi="Times New Roman"/>
                <w:sz w:val="16"/>
              </w:rPr>
              <w:t>Safety review</w:t>
            </w:r>
          </w:p>
        </w:tc>
        <w:tc>
          <w:tcPr>
            <w:tcW w:type="dxa" w:w="2376"/>
            <w:vAlign w:val="center"/>
            <w:tcMar>
              <w:top w:w="80" w:type="dxa"/>
              <w:start w:w="90" w:type="dxa"/>
              <w:bottom w:w="80" w:type="dxa"/>
              <w:end w:w="90" w:type="dxa"/>
            </w:tcMar>
          </w:tcPr>
          <w:p>
            <w:pPr>
              <w:spacing w:after="0" w:before="0"/>
            </w:pPr>
            <w:r>
              <w:rPr>
                <w:rFonts w:ascii="Times New Roman" w:hAnsi="Times New Roman"/>
                <w:sz w:val="16"/>
              </w:rPr>
              <w:t>Maximum electrode current, exposed conductor and single-fault review</w:t>
            </w:r>
          </w:p>
        </w:tc>
        <w:tc>
          <w:tcPr>
            <w:tcW w:type="dxa" w:w="3240"/>
            <w:vAlign w:val="center"/>
            <w:tcMar>
              <w:top w:w="80" w:type="dxa"/>
              <w:start w:w="90" w:type="dxa"/>
              <w:bottom w:w="80" w:type="dxa"/>
              <w:end w:w="90" w:type="dxa"/>
            </w:tcMar>
          </w:tcPr>
          <w:p>
            <w:pPr>
              <w:spacing w:after="0" w:before="0"/>
            </w:pPr>
            <w:r>
              <w:rPr>
                <w:rFonts w:ascii="Times New Roman" w:hAnsi="Times New Roman"/>
                <w:sz w:val="16"/>
              </w:rPr>
              <w:t>Circuit calculation and measured worst-case current</w:t>
            </w:r>
          </w:p>
        </w:tc>
        <w:tc>
          <w:tcPr>
            <w:tcW w:type="dxa" w:w="2016"/>
            <w:vAlign w:val="center"/>
            <w:tcMar>
              <w:top w:w="80" w:type="dxa"/>
              <w:start w:w="90" w:type="dxa"/>
              <w:bottom w:w="80" w:type="dxa"/>
              <w:end w:w="90" w:type="dxa"/>
            </w:tcMar>
          </w:tcPr>
          <w:p>
            <w:pPr>
              <w:spacing w:after="0" w:before="0"/>
            </w:pPr>
            <w:r>
              <w:rPr>
                <w:rFonts w:ascii="Times New Roman" w:hAnsi="Times New Roman"/>
                <w:sz w:val="16"/>
              </w:rPr>
              <w:t>Supervisor approval before any advanced biological test.</w:t>
            </w:r>
          </w:p>
        </w:tc>
      </w:tr>
    </w:tbl>
    <w:p>
      <w:pPr>
        <w:pStyle w:val="Heading2"/>
      </w:pPr>
      <w:r>
        <w:rPr>
          <w:rFonts w:ascii="Times New Roman" w:hAnsi="Times New Roman"/>
        </w:rPr>
        <w:t>8.1 Recommended Minimum Sample Plan</w:t>
      </w:r>
    </w:p>
    <w:p>
      <w:pPr>
        <w:pStyle w:val="ListBullet"/>
        <w:spacing w:after="60"/>
      </w:pPr>
      <w:r>
        <w:rPr>
          <w:rFonts w:ascii="Times New Roman" w:hAnsi="Times New Roman"/>
        </w:rPr>
        <w:t>Fabricate at least 10 carbon IDE specimens from one controlled batch to quantify manufacturing variability.</w:t>
      </w:r>
    </w:p>
    <w:p>
      <w:pPr>
        <w:pStyle w:val="ListBullet"/>
        <w:spacing w:after="60"/>
      </w:pPr>
      <w:r>
        <w:rPr>
          <w:rFonts w:ascii="Times New Roman" w:hAnsi="Times New Roman"/>
        </w:rPr>
        <w:t>Fabricate multiple PANI electrodes from the same synthesis batch and retain at least one unused reference sample.</w:t>
      </w:r>
    </w:p>
    <w:p>
      <w:pPr>
        <w:pStyle w:val="ListBullet"/>
        <w:spacing w:after="60"/>
      </w:pPr>
      <w:r>
        <w:rPr>
          <w:rFonts w:ascii="Times New Roman" w:hAnsi="Times New Roman"/>
        </w:rPr>
        <w:t>Repeat each calibration level at least three times and report mean, standard deviation, hysteresis and drift rather than a single best curve.</w:t>
      </w:r>
    </w:p>
    <w:p>
      <w:pPr>
        <w:pStyle w:val="ListBullet"/>
        <w:spacing w:after="60"/>
      </w:pPr>
      <w:r>
        <w:rPr>
          <w:rFonts w:ascii="Times New Roman" w:hAnsi="Times New Roman"/>
        </w:rPr>
        <w:t>Store raw data in CSV format with sample ID, fabrication batch, date, temperature, excitation frequency, reference resistor and calibration-fluid details.</w:t>
      </w:r>
    </w:p>
    <w:p>
      <w:pPr>
        <w:pStyle w:val="Heading1"/>
      </w:pPr>
      <w:r>
        <w:rPr>
          <w:rFonts w:ascii="Times New Roman" w:hAnsi="Times New Roman"/>
        </w:rPr>
        <w:t>9. Week 08 Action Plan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blHeader w:val="true"/>
        </w:trPr>
        <w:tc>
          <w:tcPr>
            <w:tcW w:type="dxa" w:w="57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No.</w:t>
            </w:r>
          </w:p>
        </w:tc>
        <w:tc>
          <w:tcPr>
            <w:tcW w:type="dxa" w:w="2448"/>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Action</w:t>
            </w:r>
          </w:p>
        </w:tc>
        <w:tc>
          <w:tcPr>
            <w:tcW w:type="dxa" w:w="3024"/>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Deliverable</w:t>
            </w:r>
          </w:p>
        </w:tc>
        <w:tc>
          <w:tcPr>
            <w:tcW w:type="dxa" w:w="1944"/>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Owner / facility</w:t>
            </w:r>
          </w:p>
        </w:tc>
        <w:tc>
          <w:tcPr>
            <w:tcW w:type="dxa" w:w="1224"/>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6"/>
              </w:rPr>
              <w:t>Timing</w:t>
            </w:r>
          </w:p>
        </w:tc>
      </w:tr>
      <w:tr>
        <w:trPr>
          <w:cantSplit/>
        </w:trPr>
        <w:tc>
          <w:tcPr>
            <w:tcW w:type="dxa" w:w="576"/>
            <w:vAlign w:val="center"/>
            <w:tcMar>
              <w:top w:w="80" w:type="dxa"/>
              <w:start w:w="90" w:type="dxa"/>
              <w:bottom w:w="80" w:type="dxa"/>
              <w:end w:w="90" w:type="dxa"/>
            </w:tcMar>
          </w:tcPr>
          <w:p>
            <w:pPr>
              <w:spacing w:after="0" w:before="0"/>
            </w:pPr>
            <w:r>
              <w:rPr>
                <w:rFonts w:ascii="Times New Roman" w:hAnsi="Times New Roman"/>
                <w:sz w:val="16"/>
              </w:rPr>
              <w:t>1</w:t>
            </w:r>
          </w:p>
        </w:tc>
        <w:tc>
          <w:tcPr>
            <w:tcW w:type="dxa" w:w="2448"/>
            <w:vAlign w:val="center"/>
            <w:tcMar>
              <w:top w:w="80" w:type="dxa"/>
              <w:start w:w="90" w:type="dxa"/>
              <w:bottom w:w="80" w:type="dxa"/>
              <w:end w:w="90" w:type="dxa"/>
            </w:tcMar>
          </w:tcPr>
          <w:p>
            <w:pPr>
              <w:spacing w:after="0" w:before="0"/>
            </w:pPr>
            <w:r>
              <w:rPr>
                <w:rFonts w:ascii="Times New Roman" w:hAnsi="Times New Roman"/>
                <w:sz w:val="16"/>
              </w:rPr>
              <w:t>Freeze sensor geometry and connector-tail dimensions</w:t>
            </w:r>
          </w:p>
        </w:tc>
        <w:tc>
          <w:tcPr>
            <w:tcW w:type="dxa" w:w="3024"/>
            <w:vAlign w:val="center"/>
            <w:tcMar>
              <w:top w:w="80" w:type="dxa"/>
              <w:start w:w="90" w:type="dxa"/>
              <w:bottom w:w="80" w:type="dxa"/>
              <w:end w:w="90" w:type="dxa"/>
            </w:tcMar>
          </w:tcPr>
          <w:p>
            <w:pPr>
              <w:spacing w:after="0" w:before="0"/>
            </w:pPr>
            <w:r>
              <w:rPr>
                <w:rFonts w:ascii="Times New Roman" w:hAnsi="Times New Roman"/>
                <w:sz w:val="16"/>
              </w:rPr>
              <w:t>Patch artwork, dimensioned drawing and screen/stencil files</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Student + supervisor review</w:t>
            </w:r>
          </w:p>
        </w:tc>
        <w:tc>
          <w:tcPr>
            <w:tcW w:type="dxa" w:w="1224"/>
            <w:vAlign w:val="center"/>
            <w:tcMar>
              <w:top w:w="80" w:type="dxa"/>
              <w:start w:w="90" w:type="dxa"/>
              <w:bottom w:w="80" w:type="dxa"/>
              <w:end w:w="90" w:type="dxa"/>
            </w:tcMar>
          </w:tcPr>
          <w:p>
            <w:pPr>
              <w:spacing w:after="0" w:before="0"/>
            </w:pPr>
            <w:r>
              <w:rPr>
                <w:rFonts w:ascii="Times New Roman" w:hAnsi="Times New Roman"/>
                <w:sz w:val="16"/>
              </w:rPr>
              <w:t>Before fabrication</w:t>
            </w:r>
          </w:p>
        </w:tc>
      </w:tr>
      <w:tr>
        <w:trPr>
          <w:cantSplit/>
        </w:trPr>
        <w:tc>
          <w:tcPr>
            <w:tcW w:type="dxa" w:w="576"/>
            <w:vAlign w:val="center"/>
            <w:tcMar>
              <w:top w:w="80" w:type="dxa"/>
              <w:start w:w="90" w:type="dxa"/>
              <w:bottom w:w="80" w:type="dxa"/>
              <w:end w:w="90" w:type="dxa"/>
            </w:tcMar>
          </w:tcPr>
          <w:p>
            <w:pPr>
              <w:spacing w:after="0" w:before="0"/>
            </w:pPr>
            <w:r>
              <w:rPr>
                <w:rFonts w:ascii="Times New Roman" w:hAnsi="Times New Roman"/>
                <w:sz w:val="16"/>
              </w:rPr>
              <w:t>2</w:t>
            </w:r>
          </w:p>
        </w:tc>
        <w:tc>
          <w:tcPr>
            <w:tcW w:type="dxa" w:w="2448"/>
            <w:vAlign w:val="center"/>
            <w:tcMar>
              <w:top w:w="80" w:type="dxa"/>
              <w:start w:w="90" w:type="dxa"/>
              <w:bottom w:w="80" w:type="dxa"/>
              <w:end w:w="90" w:type="dxa"/>
            </w:tcMar>
          </w:tcPr>
          <w:p>
            <w:pPr>
              <w:spacing w:after="0" w:before="0"/>
            </w:pPr>
            <w:r>
              <w:rPr>
                <w:rFonts w:ascii="Times New Roman" w:hAnsi="Times New Roman"/>
                <w:sz w:val="16"/>
              </w:rPr>
              <w:t>Confirm lab access and chemical safety procedure</w:t>
            </w:r>
          </w:p>
        </w:tc>
        <w:tc>
          <w:tcPr>
            <w:tcW w:type="dxa" w:w="3024"/>
            <w:vAlign w:val="center"/>
            <w:tcMar>
              <w:top w:w="80" w:type="dxa"/>
              <w:start w:w="90" w:type="dxa"/>
              <w:bottom w:w="80" w:type="dxa"/>
              <w:end w:w="90" w:type="dxa"/>
            </w:tcMar>
          </w:tcPr>
          <w:p>
            <w:pPr>
              <w:spacing w:after="0" w:before="0"/>
            </w:pPr>
            <w:r>
              <w:rPr>
                <w:rFonts w:ascii="Times New Roman" w:hAnsi="Times New Roman"/>
                <w:sz w:val="16"/>
              </w:rPr>
              <w:t>Approved lab date, risk assessment, PPE and waste plan</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UOP Chemistry / project team</w:t>
            </w:r>
          </w:p>
        </w:tc>
        <w:tc>
          <w:tcPr>
            <w:tcW w:type="dxa" w:w="1224"/>
            <w:vAlign w:val="center"/>
            <w:tcMar>
              <w:top w:w="80" w:type="dxa"/>
              <w:start w:w="90" w:type="dxa"/>
              <w:bottom w:w="80" w:type="dxa"/>
              <w:end w:w="90" w:type="dxa"/>
            </w:tcMar>
          </w:tcPr>
          <w:p>
            <w:pPr>
              <w:spacing w:after="0" w:before="0"/>
            </w:pPr>
            <w:r>
              <w:rPr>
                <w:rFonts w:ascii="Times New Roman" w:hAnsi="Times New Roman"/>
                <w:sz w:val="16"/>
              </w:rPr>
              <w:t>Before PANI synthesis</w:t>
            </w:r>
          </w:p>
        </w:tc>
      </w:tr>
      <w:tr>
        <w:trPr>
          <w:cantSplit/>
        </w:trPr>
        <w:tc>
          <w:tcPr>
            <w:tcW w:type="dxa" w:w="576"/>
            <w:vAlign w:val="center"/>
            <w:tcMar>
              <w:top w:w="80" w:type="dxa"/>
              <w:start w:w="90" w:type="dxa"/>
              <w:bottom w:w="80" w:type="dxa"/>
              <w:end w:w="90" w:type="dxa"/>
            </w:tcMar>
          </w:tcPr>
          <w:p>
            <w:pPr>
              <w:spacing w:after="0" w:before="0"/>
            </w:pPr>
            <w:r>
              <w:rPr>
                <w:rFonts w:ascii="Times New Roman" w:hAnsi="Times New Roman"/>
                <w:sz w:val="16"/>
              </w:rPr>
              <w:t>3</w:t>
            </w:r>
          </w:p>
        </w:tc>
        <w:tc>
          <w:tcPr>
            <w:tcW w:type="dxa" w:w="2448"/>
            <w:vAlign w:val="center"/>
            <w:tcMar>
              <w:top w:w="80" w:type="dxa"/>
              <w:start w:w="90" w:type="dxa"/>
              <w:bottom w:w="80" w:type="dxa"/>
              <w:end w:w="90" w:type="dxa"/>
            </w:tcMar>
          </w:tcPr>
          <w:p>
            <w:pPr>
              <w:spacing w:after="0" w:before="0"/>
            </w:pPr>
            <w:r>
              <w:rPr>
                <w:rFonts w:ascii="Times New Roman" w:hAnsi="Times New Roman"/>
                <w:sz w:val="16"/>
              </w:rPr>
              <w:t>Obtain supplier quotations and stock confirmation</w:t>
            </w:r>
          </w:p>
        </w:tc>
        <w:tc>
          <w:tcPr>
            <w:tcW w:type="dxa" w:w="3024"/>
            <w:vAlign w:val="center"/>
            <w:tcMar>
              <w:top w:w="80" w:type="dxa"/>
              <w:start w:w="90" w:type="dxa"/>
              <w:bottom w:w="80" w:type="dxa"/>
              <w:end w:w="90" w:type="dxa"/>
            </w:tcMar>
          </w:tcPr>
          <w:p>
            <w:pPr>
              <w:spacing w:after="0" w:before="0"/>
            </w:pPr>
            <w:r>
              <w:rPr>
                <w:rFonts w:ascii="Times New Roman" w:hAnsi="Times New Roman"/>
                <w:sz w:val="16"/>
              </w:rPr>
              <w:t>Updated complete BOM with unit price, quantity, delivery and alternatives</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Project team</w:t>
            </w:r>
          </w:p>
        </w:tc>
        <w:tc>
          <w:tcPr>
            <w:tcW w:type="dxa" w:w="1224"/>
            <w:vAlign w:val="center"/>
            <w:tcMar>
              <w:top w:w="80" w:type="dxa"/>
              <w:start w:w="90" w:type="dxa"/>
              <w:bottom w:w="80" w:type="dxa"/>
              <w:end w:w="90" w:type="dxa"/>
            </w:tcMar>
          </w:tcPr>
          <w:p>
            <w:pPr>
              <w:spacing w:after="0" w:before="0"/>
            </w:pPr>
            <w:r>
              <w:rPr>
                <w:rFonts w:ascii="Times New Roman" w:hAnsi="Times New Roman"/>
                <w:sz w:val="16"/>
              </w:rPr>
              <w:t>Early Week 08</w:t>
            </w:r>
          </w:p>
        </w:tc>
      </w:tr>
      <w:tr>
        <w:trPr>
          <w:cantSplit/>
        </w:trPr>
        <w:tc>
          <w:tcPr>
            <w:tcW w:type="dxa" w:w="576"/>
            <w:vAlign w:val="center"/>
            <w:tcMar>
              <w:top w:w="80" w:type="dxa"/>
              <w:start w:w="90" w:type="dxa"/>
              <w:bottom w:w="80" w:type="dxa"/>
              <w:end w:w="90" w:type="dxa"/>
            </w:tcMar>
          </w:tcPr>
          <w:p>
            <w:pPr>
              <w:spacing w:after="0" w:before="0"/>
            </w:pPr>
            <w:r>
              <w:rPr>
                <w:rFonts w:ascii="Times New Roman" w:hAnsi="Times New Roman"/>
                <w:sz w:val="16"/>
              </w:rPr>
              <w:t>4</w:t>
            </w:r>
          </w:p>
        </w:tc>
        <w:tc>
          <w:tcPr>
            <w:tcW w:type="dxa" w:w="2448"/>
            <w:vAlign w:val="center"/>
            <w:tcMar>
              <w:top w:w="80" w:type="dxa"/>
              <w:start w:w="90" w:type="dxa"/>
              <w:bottom w:w="80" w:type="dxa"/>
              <w:end w:w="90" w:type="dxa"/>
            </w:tcMar>
          </w:tcPr>
          <w:p>
            <w:pPr>
              <w:spacing w:after="0" w:before="0"/>
            </w:pPr>
            <w:r>
              <w:rPr>
                <w:rFonts w:ascii="Times New Roman" w:hAnsi="Times New Roman"/>
                <w:sz w:val="16"/>
              </w:rPr>
              <w:t>Assemble reusable DAQ on breakout boards first</w:t>
            </w:r>
          </w:p>
        </w:tc>
        <w:tc>
          <w:tcPr>
            <w:tcW w:type="dxa" w:w="3024"/>
            <w:vAlign w:val="center"/>
            <w:tcMar>
              <w:top w:w="80" w:type="dxa"/>
              <w:start w:w="90" w:type="dxa"/>
              <w:bottom w:w="80" w:type="dxa"/>
              <w:end w:w="90" w:type="dxa"/>
            </w:tcMar>
          </w:tcPr>
          <w:p>
            <w:pPr>
              <w:spacing w:after="0" w:before="0"/>
            </w:pPr>
            <w:r>
              <w:rPr>
                <w:rFonts w:ascii="Times New Roman" w:hAnsi="Times New Roman"/>
                <w:sz w:val="16"/>
              </w:rPr>
              <w:t>Verified pH buffer, ADS1115, I2C switch and moisture detector</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EEE laboratory</w:t>
            </w:r>
          </w:p>
        </w:tc>
        <w:tc>
          <w:tcPr>
            <w:tcW w:type="dxa" w:w="1224"/>
            <w:vAlign w:val="center"/>
            <w:tcMar>
              <w:top w:w="80" w:type="dxa"/>
              <w:start w:w="90" w:type="dxa"/>
              <w:bottom w:w="80" w:type="dxa"/>
              <w:end w:w="90" w:type="dxa"/>
            </w:tcMar>
          </w:tcPr>
          <w:p>
            <w:pPr>
              <w:spacing w:after="0" w:before="0"/>
            </w:pPr>
            <w:r>
              <w:rPr>
                <w:rFonts w:ascii="Times New Roman" w:hAnsi="Times New Roman"/>
                <w:sz w:val="16"/>
              </w:rPr>
              <w:t>Before patch integration</w:t>
            </w:r>
          </w:p>
        </w:tc>
      </w:tr>
      <w:tr>
        <w:trPr>
          <w:cantSplit/>
        </w:trPr>
        <w:tc>
          <w:tcPr>
            <w:tcW w:type="dxa" w:w="576"/>
            <w:vAlign w:val="center"/>
            <w:tcMar>
              <w:top w:w="80" w:type="dxa"/>
              <w:start w:w="90" w:type="dxa"/>
              <w:bottom w:w="80" w:type="dxa"/>
              <w:end w:w="90" w:type="dxa"/>
            </w:tcMar>
          </w:tcPr>
          <w:p>
            <w:pPr>
              <w:spacing w:after="0" w:before="0"/>
            </w:pPr>
            <w:r>
              <w:rPr>
                <w:rFonts w:ascii="Times New Roman" w:hAnsi="Times New Roman"/>
                <w:sz w:val="16"/>
              </w:rPr>
              <w:t>5</w:t>
            </w:r>
          </w:p>
        </w:tc>
        <w:tc>
          <w:tcPr>
            <w:tcW w:type="dxa" w:w="2448"/>
            <w:vAlign w:val="center"/>
            <w:tcMar>
              <w:top w:w="80" w:type="dxa"/>
              <w:start w:w="90" w:type="dxa"/>
              <w:bottom w:w="80" w:type="dxa"/>
              <w:end w:w="90" w:type="dxa"/>
            </w:tcMar>
          </w:tcPr>
          <w:p>
            <w:pPr>
              <w:spacing w:after="0" w:before="0"/>
            </w:pPr>
            <w:r>
              <w:rPr>
                <w:rFonts w:ascii="Times New Roman" w:hAnsi="Times New Roman"/>
                <w:sz w:val="16"/>
              </w:rPr>
              <w:t>Fabricate first trace/carbon coupons</w:t>
            </w:r>
          </w:p>
        </w:tc>
        <w:tc>
          <w:tcPr>
            <w:tcW w:type="dxa" w:w="3024"/>
            <w:vAlign w:val="center"/>
            <w:tcMar>
              <w:top w:w="80" w:type="dxa"/>
              <w:start w:w="90" w:type="dxa"/>
              <w:bottom w:w="80" w:type="dxa"/>
              <w:end w:w="90" w:type="dxa"/>
            </w:tcMar>
          </w:tcPr>
          <w:p>
            <w:pPr>
              <w:spacing w:after="0" w:before="0"/>
            </w:pPr>
            <w:r>
              <w:rPr>
                <w:rFonts w:ascii="Times New Roman" w:hAnsi="Times New Roman"/>
                <w:sz w:val="16"/>
              </w:rPr>
              <w:t>Continuity, line width, curing and bending results</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Project team / printing facility</w:t>
            </w:r>
          </w:p>
        </w:tc>
        <w:tc>
          <w:tcPr>
            <w:tcW w:type="dxa" w:w="1224"/>
            <w:vAlign w:val="center"/>
            <w:tcMar>
              <w:top w:w="80" w:type="dxa"/>
              <w:start w:w="90" w:type="dxa"/>
              <w:bottom w:w="80" w:type="dxa"/>
              <w:end w:w="90" w:type="dxa"/>
            </w:tcMar>
          </w:tcPr>
          <w:p>
            <w:pPr>
              <w:spacing w:after="0" w:before="0"/>
            </w:pPr>
            <w:r>
              <w:rPr>
                <w:rFonts w:ascii="Times New Roman" w:hAnsi="Times New Roman"/>
                <w:sz w:val="16"/>
              </w:rPr>
              <w:t>Week 08</w:t>
            </w:r>
          </w:p>
        </w:tc>
      </w:tr>
      <w:tr>
        <w:trPr>
          <w:cantSplit/>
        </w:trPr>
        <w:tc>
          <w:tcPr>
            <w:tcW w:type="dxa" w:w="576"/>
            <w:vAlign w:val="center"/>
            <w:tcMar>
              <w:top w:w="80" w:type="dxa"/>
              <w:start w:w="90" w:type="dxa"/>
              <w:bottom w:w="80" w:type="dxa"/>
              <w:end w:w="90" w:type="dxa"/>
            </w:tcMar>
          </w:tcPr>
          <w:p>
            <w:pPr>
              <w:spacing w:after="0" w:before="0"/>
            </w:pPr>
            <w:r>
              <w:rPr>
                <w:rFonts w:ascii="Times New Roman" w:hAnsi="Times New Roman"/>
                <w:sz w:val="16"/>
              </w:rPr>
              <w:t>6</w:t>
            </w:r>
          </w:p>
        </w:tc>
        <w:tc>
          <w:tcPr>
            <w:tcW w:type="dxa" w:w="2448"/>
            <w:vAlign w:val="center"/>
            <w:tcMar>
              <w:top w:w="80" w:type="dxa"/>
              <w:start w:w="90" w:type="dxa"/>
              <w:bottom w:w="80" w:type="dxa"/>
              <w:end w:w="90" w:type="dxa"/>
            </w:tcMar>
          </w:tcPr>
          <w:p>
            <w:pPr>
              <w:spacing w:after="0" w:before="0"/>
            </w:pPr>
            <w:r>
              <w:rPr>
                <w:rFonts w:ascii="Times New Roman" w:hAnsi="Times New Roman"/>
                <w:sz w:val="16"/>
              </w:rPr>
              <w:t>Synthesize or obtain PANI and prepare coating ink</w:t>
            </w:r>
          </w:p>
        </w:tc>
        <w:tc>
          <w:tcPr>
            <w:tcW w:type="dxa" w:w="3024"/>
            <w:vAlign w:val="center"/>
            <w:tcMar>
              <w:top w:w="80" w:type="dxa"/>
              <w:start w:w="90" w:type="dxa"/>
              <w:bottom w:w="80" w:type="dxa"/>
              <w:end w:w="90" w:type="dxa"/>
            </w:tcMar>
          </w:tcPr>
          <w:p>
            <w:pPr>
              <w:spacing w:after="0" w:before="0"/>
            </w:pPr>
            <w:r>
              <w:rPr>
                <w:rFonts w:ascii="Times New Roman" w:hAnsi="Times New Roman"/>
                <w:sz w:val="16"/>
              </w:rPr>
              <w:t>Batch sheet, colour, mass, formulation and safety record</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Chemistry laboratory</w:t>
            </w:r>
          </w:p>
        </w:tc>
        <w:tc>
          <w:tcPr>
            <w:tcW w:type="dxa" w:w="1224"/>
            <w:vAlign w:val="center"/>
            <w:tcMar>
              <w:top w:w="80" w:type="dxa"/>
              <w:start w:w="90" w:type="dxa"/>
              <w:bottom w:w="80" w:type="dxa"/>
              <w:end w:w="90" w:type="dxa"/>
            </w:tcMar>
          </w:tcPr>
          <w:p>
            <w:pPr>
              <w:spacing w:after="0" w:before="0"/>
            </w:pPr>
            <w:r>
              <w:rPr>
                <w:rFonts w:ascii="Times New Roman" w:hAnsi="Times New Roman"/>
                <w:sz w:val="16"/>
              </w:rPr>
              <w:t>Week 08</w:t>
            </w:r>
          </w:p>
        </w:tc>
      </w:tr>
      <w:tr>
        <w:trPr>
          <w:cantSplit/>
        </w:trPr>
        <w:tc>
          <w:tcPr>
            <w:tcW w:type="dxa" w:w="576"/>
            <w:vAlign w:val="center"/>
            <w:tcMar>
              <w:top w:w="80" w:type="dxa"/>
              <w:start w:w="90" w:type="dxa"/>
              <w:bottom w:w="80" w:type="dxa"/>
              <w:end w:w="90" w:type="dxa"/>
            </w:tcMar>
          </w:tcPr>
          <w:p>
            <w:pPr>
              <w:spacing w:after="0" w:before="0"/>
            </w:pPr>
            <w:r>
              <w:rPr>
                <w:rFonts w:ascii="Times New Roman" w:hAnsi="Times New Roman"/>
                <w:sz w:val="16"/>
              </w:rPr>
              <w:t>7</w:t>
            </w:r>
          </w:p>
        </w:tc>
        <w:tc>
          <w:tcPr>
            <w:tcW w:type="dxa" w:w="2448"/>
            <w:vAlign w:val="center"/>
            <w:tcMar>
              <w:top w:w="80" w:type="dxa"/>
              <w:start w:w="90" w:type="dxa"/>
              <w:bottom w:w="80" w:type="dxa"/>
              <w:end w:w="90" w:type="dxa"/>
            </w:tcMar>
          </w:tcPr>
          <w:p>
            <w:pPr>
              <w:spacing w:after="0" w:before="0"/>
            </w:pPr>
            <w:r>
              <w:rPr>
                <w:rFonts w:ascii="Times New Roman" w:hAnsi="Times New Roman"/>
                <w:sz w:val="16"/>
              </w:rPr>
              <w:t>Run first pH and moisture calibration trials</w:t>
            </w:r>
          </w:p>
        </w:tc>
        <w:tc>
          <w:tcPr>
            <w:tcW w:type="dxa" w:w="3024"/>
            <w:vAlign w:val="center"/>
            <w:tcMar>
              <w:top w:w="80" w:type="dxa"/>
              <w:start w:w="90" w:type="dxa"/>
              <w:bottom w:w="80" w:type="dxa"/>
              <w:end w:w="90" w:type="dxa"/>
            </w:tcMar>
          </w:tcPr>
          <w:p>
            <w:pPr>
              <w:spacing w:after="0" w:before="0"/>
            </w:pPr>
            <w:r>
              <w:rPr>
                <w:rFonts w:ascii="Times New Roman" w:hAnsi="Times New Roman"/>
                <w:sz w:val="16"/>
              </w:rPr>
              <w:t>Raw datasets and preliminary plots</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Project team</w:t>
            </w:r>
          </w:p>
        </w:tc>
        <w:tc>
          <w:tcPr>
            <w:tcW w:type="dxa" w:w="1224"/>
            <w:vAlign w:val="center"/>
            <w:tcMar>
              <w:top w:w="80" w:type="dxa"/>
              <w:start w:w="90" w:type="dxa"/>
              <w:bottom w:w="80" w:type="dxa"/>
              <w:end w:w="90" w:type="dxa"/>
            </w:tcMar>
          </w:tcPr>
          <w:p>
            <w:pPr>
              <w:spacing w:after="0" w:before="0"/>
            </w:pPr>
            <w:r>
              <w:rPr>
                <w:rFonts w:ascii="Times New Roman" w:hAnsi="Times New Roman"/>
                <w:sz w:val="16"/>
              </w:rPr>
              <w:t>After electrical verification</w:t>
            </w:r>
          </w:p>
        </w:tc>
      </w:tr>
      <w:tr>
        <w:trPr>
          <w:cantSplit/>
        </w:trPr>
        <w:tc>
          <w:tcPr>
            <w:tcW w:type="dxa" w:w="576"/>
            <w:vAlign w:val="center"/>
            <w:tcMar>
              <w:top w:w="80" w:type="dxa"/>
              <w:start w:w="90" w:type="dxa"/>
              <w:bottom w:w="80" w:type="dxa"/>
              <w:end w:w="90" w:type="dxa"/>
            </w:tcMar>
          </w:tcPr>
          <w:p>
            <w:pPr>
              <w:spacing w:after="0" w:before="0"/>
            </w:pPr>
            <w:r>
              <w:rPr>
                <w:rFonts w:ascii="Times New Roman" w:hAnsi="Times New Roman"/>
                <w:sz w:val="16"/>
              </w:rPr>
              <w:t>8</w:t>
            </w:r>
          </w:p>
        </w:tc>
        <w:tc>
          <w:tcPr>
            <w:tcW w:type="dxa" w:w="2448"/>
            <w:vAlign w:val="center"/>
            <w:tcMar>
              <w:top w:w="80" w:type="dxa"/>
              <w:start w:w="90" w:type="dxa"/>
              <w:bottom w:w="80" w:type="dxa"/>
              <w:end w:w="90" w:type="dxa"/>
            </w:tcMar>
          </w:tcPr>
          <w:p>
            <w:pPr>
              <w:spacing w:after="0" w:before="0"/>
            </w:pPr>
            <w:r>
              <w:rPr>
                <w:rFonts w:ascii="Times New Roman" w:hAnsi="Times New Roman"/>
                <w:sz w:val="16"/>
              </w:rPr>
              <w:t>Review results with supervisors</w:t>
            </w:r>
          </w:p>
        </w:tc>
        <w:tc>
          <w:tcPr>
            <w:tcW w:type="dxa" w:w="3024"/>
            <w:vAlign w:val="center"/>
            <w:tcMar>
              <w:top w:w="80" w:type="dxa"/>
              <w:start w:w="90" w:type="dxa"/>
              <w:bottom w:w="80" w:type="dxa"/>
              <w:end w:w="90" w:type="dxa"/>
            </w:tcMar>
          </w:tcPr>
          <w:p>
            <w:pPr>
              <w:spacing w:after="0" w:before="0"/>
            </w:pPr>
            <w:r>
              <w:rPr>
                <w:rFonts w:ascii="Times New Roman" w:hAnsi="Times New Roman"/>
                <w:sz w:val="16"/>
              </w:rPr>
              <w:t>Approved changes for Version 2 fabrication</w:t>
            </w:r>
          </w:p>
        </w:tc>
        <w:tc>
          <w:tcPr>
            <w:tcW w:type="dxa" w:w="1944"/>
            <w:vAlign w:val="center"/>
            <w:tcMar>
              <w:top w:w="80" w:type="dxa"/>
              <w:start w:w="90" w:type="dxa"/>
              <w:bottom w:w="80" w:type="dxa"/>
              <w:end w:w="90" w:type="dxa"/>
            </w:tcMar>
          </w:tcPr>
          <w:p>
            <w:pPr>
              <w:spacing w:after="0" w:before="0"/>
            </w:pPr>
            <w:r>
              <w:rPr>
                <w:rFonts w:ascii="Times New Roman" w:hAnsi="Times New Roman"/>
                <w:sz w:val="16"/>
              </w:rPr>
              <w:t>Dr. Ruwan and Dr. Anjali</w:t>
            </w:r>
          </w:p>
        </w:tc>
        <w:tc>
          <w:tcPr>
            <w:tcW w:type="dxa" w:w="1224"/>
            <w:vAlign w:val="center"/>
            <w:tcMar>
              <w:top w:w="80" w:type="dxa"/>
              <w:start w:w="90" w:type="dxa"/>
              <w:bottom w:w="80" w:type="dxa"/>
              <w:end w:w="90" w:type="dxa"/>
            </w:tcMar>
          </w:tcPr>
          <w:p>
            <w:pPr>
              <w:spacing w:after="0" w:before="0"/>
            </w:pPr>
            <w:r>
              <w:rPr>
                <w:rFonts w:ascii="Times New Roman" w:hAnsi="Times New Roman"/>
                <w:sz w:val="16"/>
              </w:rPr>
              <w:t>End of Week 08</w:t>
            </w:r>
          </w:p>
        </w:tc>
      </w:tr>
    </w:tbl>
    <w:p>
      <w:pPr>
        <w:pStyle w:val="Heading2"/>
      </w:pPr>
      <w:r>
        <w:rPr>
          <w:rFonts w:ascii="Times New Roman" w:hAnsi="Times New Roman"/>
        </w:rPr>
        <w:t>9.1 Decisions Requested from Supervisors</w:t>
      </w:r>
    </w:p>
    <w:p>
      <w:pPr>
        <w:pStyle w:val="ListBullet"/>
        <w:spacing w:after="60"/>
      </w:pPr>
      <w:r>
        <w:rPr>
          <w:rFonts w:ascii="Times New Roman" w:hAnsi="Times New Roman"/>
        </w:rPr>
        <w:t>Approve the Stage A / Stage B partition and confirm whether the four TMP117 devices should remain on the disposable patch or be implemented as a detachable reusable sensing strip.</w:t>
      </w:r>
    </w:p>
    <w:p>
      <w:pPr>
        <w:pStyle w:val="ListBullet"/>
        <w:spacing w:after="60"/>
      </w:pPr>
      <w:r>
        <w:rPr>
          <w:rFonts w:ascii="Times New Roman" w:hAnsi="Times New Roman"/>
        </w:rPr>
        <w:t>Approve the proposed pH reference-electrode development path and identify the minimum stability and leakage tests expected before integrated testing.</w:t>
      </w:r>
    </w:p>
    <w:p>
      <w:pPr>
        <w:pStyle w:val="ListBullet"/>
        <w:spacing w:after="60"/>
      </w:pPr>
      <w:r>
        <w:rPr>
          <w:rFonts w:ascii="Times New Roman" w:hAnsi="Times New Roman"/>
        </w:rPr>
        <w:t>Confirm the acceptable moisture-excitation current and voltage limits for the bench prototype.</w:t>
      </w:r>
    </w:p>
    <w:p>
      <w:pPr>
        <w:pStyle w:val="ListBullet"/>
        <w:spacing w:after="60"/>
      </w:pPr>
      <w:r>
        <w:rPr>
          <w:rFonts w:ascii="Times New Roman" w:hAnsi="Times New Roman"/>
        </w:rPr>
        <w:t>Confirm which materials may be used only for dry proof-of-concept testing and which are acceptable for artificial wound-fluid testing.</w:t>
      </w:r>
    </w:p>
    <w:p>
      <w:pPr>
        <w:pStyle w:val="ListBullet"/>
        <w:spacing w:after="60"/>
      </w:pPr>
      <w:r>
        <w:rPr>
          <w:rFonts w:ascii="Times New Roman" w:hAnsi="Times New Roman"/>
        </w:rPr>
        <w:t>Approve the minimum number of fabricated samples and repeated measurements required for the FYP evaluation.</w:t>
      </w:r>
    </w:p>
    <w:p>
      <w:pPr>
        <w:pStyle w:val="ListBullet"/>
        <w:spacing w:after="60"/>
      </w:pPr>
      <w:r>
        <w:rPr>
          <w:rFonts w:ascii="Times New Roman" w:hAnsi="Times New Roman"/>
        </w:rPr>
        <w:t>Confirm whether SLINTEC or another facility should be approached for screen printing, curing and material characterization.</w:t>
      </w:r>
    </w:p>
    <w:p>
      <w:pPr>
        <w:pStyle w:val="ListBullet"/>
        <w:spacing w:after="60"/>
      </w:pPr>
      <w:r>
        <w:rPr>
          <w:rFonts w:ascii="Times New Roman" w:hAnsi="Times New Roman"/>
        </w:rPr>
        <w:t>Review the revised full BOM before maintaining the below-USD-50 target in formal project presentations.</w:t>
      </w:r>
    </w:p>
    <w:p>
      <w:pPr>
        <w:pStyle w:val="Heading1"/>
      </w:pPr>
      <w:r>
        <w:rPr>
          <w:rFonts w:ascii="Times New Roman" w:hAnsi="Times New Roman"/>
        </w:rPr>
        <w:t>10. Supervisor Meeting Presentation Script</w:t>
      </w:r>
    </w:p>
    <w:p>
      <w:r>
        <w:rPr>
          <w:rFonts w:ascii="Times New Roman" w:hAnsi="Times New Roman"/>
          <w:b/>
        </w:rPr>
        <w:t>Suggested 3-4 minute verbal summary:</w:t>
      </w:r>
    </w:p>
    <w:p>
      <w:pPr>
        <w:ind w:firstLine="360"/>
      </w:pPr>
      <w:r>
        <w:rPr>
          <w:rFonts w:ascii="Times New Roman" w:hAnsi="Times New Roman"/>
        </w:rPr>
        <w:t>During Week 07, we moved from the literature-review stage to an integrated prototype design. First, we reviewed the fabrication plans and compared expensive cleanroom processes with methods that can be carried out using university laboratories and locally available materials. From this study, we prepared a six-layer prototype stack consisting of a flexible substrate, printed conductive traces, carbon sensing structures, a PANI pH layer, an Ag/AgCl reference concept and a PU passivation layer. We also separated the design into a disposable sensing patch and a reusable data-acquisition module.</w:t>
      </w:r>
    </w:p>
    <w:p>
      <w:pPr>
        <w:ind w:firstLine="360"/>
      </w:pPr>
      <w:r>
        <w:rPr>
          <w:rFonts w:ascii="Times New Roman" w:hAnsi="Times New Roman"/>
        </w:rPr>
        <w:t>Next, we finalized the electrical signal requirements of the three sensors. The PANI pH electrode is a very high-impedance potentiometric source, so both the working and reference electrodes must be buffered before differential ADC measurement. The TMP117 temperature sensors provide digital I2C data, but the four TMP117 addresses overlap the ADS1115 addresses, so an I2C bus switch or separate bus is required.</w:t>
      </w:r>
    </w:p>
    <w:p>
      <w:pPr>
        <w:ind w:firstLine="360"/>
      </w:pPr>
      <w:r>
        <w:rPr>
          <w:rFonts w:ascii="Times New Roman" w:hAnsi="Times New Roman"/>
        </w:rPr>
        <w:t>The most important correction this week was in the moisture channel. We confirmed that the ESP32-C3 does not contain a true voltage-output DAC, and we also recognized that applying continuous DC to a wet ionic electrode would create polarization and drift. Therefore, we changed the design to a small zero-mean PWM or biphasic excitation with attenuation, AC coupling, a current-limiting resistor and an envelope detector.</w:t>
      </w:r>
    </w:p>
    <w:p>
      <w:pPr>
        <w:ind w:firstLine="360"/>
      </w:pPr>
      <w:r>
        <w:rPr>
          <w:rFonts w:ascii="Times New Roman" w:hAnsi="Times New Roman"/>
        </w:rPr>
        <w:t>We then defined a keyed 12-pin connector between the patch and the reusable module. The connector separates the high-impedance pH signals from PWM and I2C lines and includes provisions for strain relief, shielding and patch identification. Finally, we prepared a Week 08 plan covering artwork finalization, lab access, PANI synthesis, trace and carbon coupon fabrication, reusable DAQ testing and the first calibration experiments. At this stage, the architecture is defined, but the below-USD-50 cost, medical material suitability and final sensor accuracy still require quotation and laboratory evidence. We request supervisor approval for the architecture, reference-electrode route, sample numbers and laboratory testing sequence.</w:t>
      </w:r>
    </w:p>
    <w:p>
      <w:pPr>
        <w:pStyle w:val="Heading2"/>
      </w:pPr>
      <w:r>
        <w:rPr>
          <w:rFonts w:ascii="Times New Roman" w:hAnsi="Times New Roman"/>
        </w:rPr>
        <w:t>10.1 Key Points to Emphasize During Discussion</w:t>
      </w:r>
    </w:p>
    <w:p>
      <w:pPr>
        <w:pStyle w:val="ListBullet"/>
        <w:spacing w:after="60"/>
      </w:pPr>
      <w:r>
        <w:rPr>
          <w:rFonts w:ascii="Times New Roman" w:hAnsi="Times New Roman"/>
        </w:rPr>
        <w:t>The moisture DAC correction demonstrates a hardware-level redesign based on the actual microcontroller capability and electrochemical safety considerations.</w:t>
      </w:r>
    </w:p>
    <w:p>
      <w:pPr>
        <w:pStyle w:val="ListBullet"/>
        <w:spacing w:after="60"/>
      </w:pPr>
      <w:r>
        <w:rPr>
          <w:rFonts w:ascii="Times New Roman" w:hAnsi="Times New Roman"/>
        </w:rPr>
        <w:t>The proposed system does not force all sensors into one circuit; each channel has a front end matched to its signal physics.</w:t>
      </w:r>
    </w:p>
    <w:p>
      <w:pPr>
        <w:pStyle w:val="ListBullet"/>
        <w:spacing w:after="60"/>
      </w:pPr>
      <w:r>
        <w:rPr>
          <w:rFonts w:ascii="Times New Roman" w:hAnsi="Times New Roman"/>
        </w:rPr>
        <w:t>The under-USD-50 objective is still a target, not a confirmed result, and a complete BOM will be prepared before repeating the claim.</w:t>
      </w:r>
    </w:p>
    <w:p>
      <w:pPr>
        <w:pStyle w:val="ListBullet"/>
        <w:spacing w:after="60"/>
      </w:pPr>
      <w:r>
        <w:rPr>
          <w:rFonts w:ascii="Times New Roman" w:hAnsi="Times New Roman"/>
        </w:rPr>
        <w:t>Week 08 is structured around measurable evidence: raw data, waveforms, calibration equations, repeatability, drift and mechanical reliability.</w:t>
      </w:r>
    </w:p>
    <w:p>
      <w:pPr>
        <w:pStyle w:val="Heading1"/>
      </w:pPr>
      <w:r>
        <w:rPr>
          <w:rFonts w:ascii="Times New Roman" w:hAnsi="Times New Roman"/>
        </w:rPr>
        <w:t>Appendix A - Week 07 Deliverables Prepared</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45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Deliverable</w:t>
            </w:r>
          </w:p>
        </w:tc>
        <w:tc>
          <w:tcPr>
            <w:tcW w:type="dxa" w:w="2088"/>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Status</w:t>
            </w:r>
          </w:p>
        </w:tc>
        <w:tc>
          <w:tcPr>
            <w:tcW w:type="dxa" w:w="3600"/>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Use</w:t>
            </w:r>
          </w:p>
        </w:tc>
      </w:tr>
      <w:tr>
        <w:trPr>
          <w:cantSplit/>
        </w:trPr>
        <w:tc>
          <w:tcPr>
            <w:tcW w:type="dxa" w:w="3456"/>
            <w:vAlign w:val="center"/>
            <w:tcMar>
              <w:top w:w="80" w:type="dxa"/>
              <w:start w:w="90" w:type="dxa"/>
              <w:bottom w:w="80" w:type="dxa"/>
              <w:end w:w="90" w:type="dxa"/>
            </w:tcMar>
          </w:tcPr>
          <w:p>
            <w:pPr>
              <w:spacing w:after="0" w:before="0"/>
            </w:pPr>
            <w:r>
              <w:rPr>
                <w:rFonts w:ascii="Times New Roman" w:hAnsi="Times New Roman"/>
                <w:sz w:val="17"/>
              </w:rPr>
              <w:t>Fabrication method comparison sheets</w:t>
            </w:r>
          </w:p>
        </w:tc>
        <w:tc>
          <w:tcPr>
            <w:tcW w:type="dxa" w:w="2088"/>
            <w:vAlign w:val="center"/>
            <w:tcMar>
              <w:top w:w="80" w:type="dxa"/>
              <w:start w:w="90" w:type="dxa"/>
              <w:bottom w:w="80" w:type="dxa"/>
              <w:end w:w="90" w:type="dxa"/>
            </w:tcMar>
          </w:tcPr>
          <w:p>
            <w:pPr>
              <w:spacing w:after="0" w:before="0"/>
            </w:pPr>
            <w:r>
              <w:rPr>
                <w:rFonts w:ascii="Times New Roman" w:hAnsi="Times New Roman"/>
                <w:sz w:val="17"/>
              </w:rPr>
              <w:t>Completed</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Selection of accessible materials, tools and fallback routes.</w:t>
            </w:r>
          </w:p>
        </w:tc>
      </w:tr>
      <w:tr>
        <w:trPr>
          <w:cantSplit/>
        </w:trPr>
        <w:tc>
          <w:tcPr>
            <w:tcW w:type="dxa" w:w="3456"/>
            <w:vAlign w:val="center"/>
            <w:tcMar>
              <w:top w:w="80" w:type="dxa"/>
              <w:start w:w="90" w:type="dxa"/>
              <w:bottom w:w="80" w:type="dxa"/>
              <w:end w:w="90" w:type="dxa"/>
            </w:tcMar>
          </w:tcPr>
          <w:p>
            <w:pPr>
              <w:spacing w:after="0" w:before="0"/>
            </w:pPr>
            <w:r>
              <w:rPr>
                <w:rFonts w:ascii="Times New Roman" w:hAnsi="Times New Roman"/>
                <w:sz w:val="17"/>
              </w:rPr>
              <w:t>Six-layer patch stack</w:t>
            </w:r>
          </w:p>
        </w:tc>
        <w:tc>
          <w:tcPr>
            <w:tcW w:type="dxa" w:w="2088"/>
            <w:vAlign w:val="center"/>
            <w:tcMar>
              <w:top w:w="80" w:type="dxa"/>
              <w:start w:w="90" w:type="dxa"/>
              <w:bottom w:w="80" w:type="dxa"/>
              <w:end w:w="90" w:type="dxa"/>
            </w:tcMar>
          </w:tcPr>
          <w:p>
            <w:pPr>
              <w:spacing w:after="0" w:before="0"/>
            </w:pPr>
            <w:r>
              <w:rPr>
                <w:rFonts w:ascii="Times New Roman" w:hAnsi="Times New Roman"/>
                <w:sz w:val="17"/>
              </w:rPr>
              <w:t>Completed at prototype level</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Guides artwork and fabrication order.</w:t>
            </w:r>
          </w:p>
        </w:tc>
      </w:tr>
      <w:tr>
        <w:trPr>
          <w:cantSplit/>
        </w:trPr>
        <w:tc>
          <w:tcPr>
            <w:tcW w:type="dxa" w:w="3456"/>
            <w:vAlign w:val="center"/>
            <w:tcMar>
              <w:top w:w="80" w:type="dxa"/>
              <w:start w:w="90" w:type="dxa"/>
              <w:bottom w:w="80" w:type="dxa"/>
              <w:end w:w="90" w:type="dxa"/>
            </w:tcMar>
          </w:tcPr>
          <w:p>
            <w:pPr>
              <w:spacing w:after="0" w:before="0"/>
            </w:pPr>
            <w:r>
              <w:rPr>
                <w:rFonts w:ascii="Times New Roman" w:hAnsi="Times New Roman"/>
                <w:sz w:val="17"/>
              </w:rPr>
              <w:t>Preliminary BOM and local sourcing map</w:t>
            </w:r>
          </w:p>
        </w:tc>
        <w:tc>
          <w:tcPr>
            <w:tcW w:type="dxa" w:w="2088"/>
            <w:vAlign w:val="center"/>
            <w:tcMar>
              <w:top w:w="80" w:type="dxa"/>
              <w:start w:w="90" w:type="dxa"/>
              <w:bottom w:w="80" w:type="dxa"/>
              <w:end w:w="90" w:type="dxa"/>
            </w:tcMar>
          </w:tcPr>
          <w:p>
            <w:pPr>
              <w:spacing w:after="0" w:before="0"/>
            </w:pPr>
            <w:r>
              <w:rPr>
                <w:rFonts w:ascii="Times New Roman" w:hAnsi="Times New Roman"/>
                <w:sz w:val="17"/>
              </w:rPr>
              <w:t>Completed but incomplete in cost coverage</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Used for quotation and procurement planning.</w:t>
            </w:r>
          </w:p>
        </w:tc>
      </w:tr>
      <w:tr>
        <w:trPr>
          <w:cantSplit/>
        </w:trPr>
        <w:tc>
          <w:tcPr>
            <w:tcW w:type="dxa" w:w="3456"/>
            <w:vAlign w:val="center"/>
            <w:tcMar>
              <w:top w:w="80" w:type="dxa"/>
              <w:start w:w="90" w:type="dxa"/>
              <w:bottom w:w="80" w:type="dxa"/>
              <w:end w:w="90" w:type="dxa"/>
            </w:tcMar>
          </w:tcPr>
          <w:p>
            <w:pPr>
              <w:spacing w:after="0" w:before="0"/>
            </w:pPr>
            <w:r>
              <w:rPr>
                <w:rFonts w:ascii="Times New Roman" w:hAnsi="Times New Roman"/>
                <w:sz w:val="17"/>
              </w:rPr>
              <w:t>Complete sensor signal parameter document</w:t>
            </w:r>
          </w:p>
        </w:tc>
        <w:tc>
          <w:tcPr>
            <w:tcW w:type="dxa" w:w="2088"/>
            <w:vAlign w:val="center"/>
            <w:tcMar>
              <w:top w:w="80" w:type="dxa"/>
              <w:start w:w="90" w:type="dxa"/>
              <w:bottom w:w="80" w:type="dxa"/>
              <w:end w:w="90" w:type="dxa"/>
            </w:tcMar>
          </w:tcPr>
          <w:p>
            <w:pPr>
              <w:spacing w:after="0" w:before="0"/>
            </w:pPr>
            <w:r>
              <w:rPr>
                <w:rFonts w:ascii="Times New Roman" w:hAnsi="Times New Roman"/>
                <w:sz w:val="17"/>
              </w:rPr>
              <w:t>Completed</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Defines electrical interfaces, conversion, calibration and safety limitations.</w:t>
            </w:r>
          </w:p>
        </w:tc>
      </w:tr>
      <w:tr>
        <w:trPr>
          <w:cantSplit/>
        </w:trPr>
        <w:tc>
          <w:tcPr>
            <w:tcW w:type="dxa" w:w="3456"/>
            <w:vAlign w:val="center"/>
            <w:tcMar>
              <w:top w:w="80" w:type="dxa"/>
              <w:start w:w="90" w:type="dxa"/>
              <w:bottom w:w="80" w:type="dxa"/>
              <w:end w:w="90" w:type="dxa"/>
            </w:tcMar>
          </w:tcPr>
          <w:p>
            <w:pPr>
              <w:spacing w:after="0" w:before="0"/>
            </w:pPr>
            <w:r>
              <w:rPr>
                <w:rFonts w:ascii="Times New Roman" w:hAnsi="Times New Roman"/>
                <w:sz w:val="17"/>
              </w:rPr>
              <w:t>Recommended system architecture diagram</w:t>
            </w:r>
          </w:p>
        </w:tc>
        <w:tc>
          <w:tcPr>
            <w:tcW w:type="dxa" w:w="2088"/>
            <w:vAlign w:val="center"/>
            <w:tcMar>
              <w:top w:w="80" w:type="dxa"/>
              <w:start w:w="90" w:type="dxa"/>
              <w:bottom w:w="80" w:type="dxa"/>
              <w:end w:w="90" w:type="dxa"/>
            </w:tcMar>
          </w:tcPr>
          <w:p>
            <w:pPr>
              <w:spacing w:after="0" w:before="0"/>
            </w:pPr>
            <w:r>
              <w:rPr>
                <w:rFonts w:ascii="Times New Roman" w:hAnsi="Times New Roman"/>
                <w:sz w:val="17"/>
              </w:rPr>
              <w:t>Completed</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Supervisor review and reusable-module design.</w:t>
            </w:r>
          </w:p>
        </w:tc>
      </w:tr>
      <w:tr>
        <w:trPr>
          <w:cantSplit/>
        </w:trPr>
        <w:tc>
          <w:tcPr>
            <w:tcW w:type="dxa" w:w="3456"/>
            <w:vAlign w:val="center"/>
            <w:tcMar>
              <w:top w:w="80" w:type="dxa"/>
              <w:start w:w="90" w:type="dxa"/>
              <w:bottom w:w="80" w:type="dxa"/>
              <w:end w:w="90" w:type="dxa"/>
            </w:tcMar>
          </w:tcPr>
          <w:p>
            <w:pPr>
              <w:spacing w:after="0" w:before="0"/>
            </w:pPr>
            <w:r>
              <w:rPr>
                <w:rFonts w:ascii="Times New Roman" w:hAnsi="Times New Roman"/>
                <w:sz w:val="17"/>
              </w:rPr>
              <w:t>pH acquisition-chain diagram</w:t>
            </w:r>
          </w:p>
        </w:tc>
        <w:tc>
          <w:tcPr>
            <w:tcW w:type="dxa" w:w="2088"/>
            <w:vAlign w:val="center"/>
            <w:tcMar>
              <w:top w:w="80" w:type="dxa"/>
              <w:start w:w="90" w:type="dxa"/>
              <w:bottom w:w="80" w:type="dxa"/>
              <w:end w:w="90" w:type="dxa"/>
            </w:tcMar>
          </w:tcPr>
          <w:p>
            <w:pPr>
              <w:spacing w:after="0" w:before="0"/>
            </w:pPr>
            <w:r>
              <w:rPr>
                <w:rFonts w:ascii="Times New Roman" w:hAnsi="Times New Roman"/>
                <w:sz w:val="17"/>
              </w:rPr>
              <w:t>Completed</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Analogue front-end implementation.</w:t>
            </w:r>
          </w:p>
        </w:tc>
      </w:tr>
      <w:tr>
        <w:trPr>
          <w:cantSplit/>
        </w:trPr>
        <w:tc>
          <w:tcPr>
            <w:tcW w:type="dxa" w:w="3456"/>
            <w:vAlign w:val="center"/>
            <w:tcMar>
              <w:top w:w="80" w:type="dxa"/>
              <w:start w:w="90" w:type="dxa"/>
              <w:bottom w:w="80" w:type="dxa"/>
              <w:end w:w="90" w:type="dxa"/>
            </w:tcMar>
          </w:tcPr>
          <w:p>
            <w:pPr>
              <w:spacing w:after="0" w:before="0"/>
            </w:pPr>
            <w:r>
              <w:rPr>
                <w:rFonts w:ascii="Times New Roman" w:hAnsi="Times New Roman"/>
                <w:sz w:val="17"/>
              </w:rPr>
              <w:t>Moisture acquisition-chain diagram</w:t>
            </w:r>
          </w:p>
        </w:tc>
        <w:tc>
          <w:tcPr>
            <w:tcW w:type="dxa" w:w="2088"/>
            <w:vAlign w:val="center"/>
            <w:tcMar>
              <w:top w:w="80" w:type="dxa"/>
              <w:start w:w="90" w:type="dxa"/>
              <w:bottom w:w="80" w:type="dxa"/>
              <w:end w:w="90" w:type="dxa"/>
            </w:tcMar>
          </w:tcPr>
          <w:p>
            <w:pPr>
              <w:spacing w:after="0" w:before="0"/>
            </w:pPr>
            <w:r>
              <w:rPr>
                <w:rFonts w:ascii="Times New Roman" w:hAnsi="Times New Roman"/>
                <w:sz w:val="17"/>
              </w:rPr>
              <w:t>Completed</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AC/PWM excitation and detector implementation.</w:t>
            </w:r>
          </w:p>
        </w:tc>
      </w:tr>
      <w:tr>
        <w:trPr>
          <w:cantSplit/>
        </w:trPr>
        <w:tc>
          <w:tcPr>
            <w:tcW w:type="dxa" w:w="3456"/>
            <w:vAlign w:val="center"/>
            <w:tcMar>
              <w:top w:w="80" w:type="dxa"/>
              <w:start w:w="90" w:type="dxa"/>
              <w:bottom w:w="80" w:type="dxa"/>
              <w:end w:w="90" w:type="dxa"/>
            </w:tcMar>
          </w:tcPr>
          <w:p>
            <w:pPr>
              <w:spacing w:after="0" w:before="0"/>
            </w:pPr>
            <w:r>
              <w:rPr>
                <w:rFonts w:ascii="Times New Roman" w:hAnsi="Times New Roman"/>
                <w:sz w:val="17"/>
              </w:rPr>
              <w:t>12-pin connector pinout</w:t>
            </w:r>
          </w:p>
        </w:tc>
        <w:tc>
          <w:tcPr>
            <w:tcW w:type="dxa" w:w="2088"/>
            <w:vAlign w:val="center"/>
            <w:tcMar>
              <w:top w:w="80" w:type="dxa"/>
              <w:start w:w="90" w:type="dxa"/>
              <w:bottom w:w="80" w:type="dxa"/>
              <w:end w:w="90" w:type="dxa"/>
            </w:tcMar>
          </w:tcPr>
          <w:p>
            <w:pPr>
              <w:spacing w:after="0" w:before="0"/>
            </w:pPr>
            <w:r>
              <w:rPr>
                <w:rFonts w:ascii="Times New Roman" w:hAnsi="Times New Roman"/>
                <w:sz w:val="17"/>
              </w:rPr>
              <w:t>Completed at architecture level</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Mechanical/electrical interface design.</w:t>
            </w:r>
          </w:p>
        </w:tc>
      </w:tr>
      <w:tr>
        <w:trPr>
          <w:cantSplit/>
        </w:trPr>
        <w:tc>
          <w:tcPr>
            <w:tcW w:type="dxa" w:w="3456"/>
            <w:vAlign w:val="center"/>
            <w:tcMar>
              <w:top w:w="80" w:type="dxa"/>
              <w:start w:w="90" w:type="dxa"/>
              <w:bottom w:w="80" w:type="dxa"/>
              <w:end w:w="90" w:type="dxa"/>
            </w:tcMar>
          </w:tcPr>
          <w:p>
            <w:pPr>
              <w:spacing w:after="0" w:before="0"/>
            </w:pPr>
            <w:r>
              <w:rPr>
                <w:rFonts w:ascii="Times New Roman" w:hAnsi="Times New Roman"/>
                <w:sz w:val="17"/>
              </w:rPr>
              <w:t>Week 08 fabrication and validation workflow</w:t>
            </w:r>
          </w:p>
        </w:tc>
        <w:tc>
          <w:tcPr>
            <w:tcW w:type="dxa" w:w="2088"/>
            <w:vAlign w:val="center"/>
            <w:tcMar>
              <w:top w:w="80" w:type="dxa"/>
              <w:start w:w="90" w:type="dxa"/>
              <w:bottom w:w="80" w:type="dxa"/>
              <w:end w:w="90" w:type="dxa"/>
            </w:tcMar>
          </w:tcPr>
          <w:p>
            <w:pPr>
              <w:spacing w:after="0" w:before="0"/>
            </w:pPr>
            <w:r>
              <w:rPr>
                <w:rFonts w:ascii="Times New Roman" w:hAnsi="Times New Roman"/>
                <w:sz w:val="17"/>
              </w:rPr>
              <w:t>Completed</w:t>
            </w:r>
          </w:p>
        </w:tc>
        <w:tc>
          <w:tcPr>
            <w:tcW w:type="dxa" w:w="3600"/>
            <w:vAlign w:val="center"/>
            <w:tcMar>
              <w:top w:w="80" w:type="dxa"/>
              <w:start w:w="90" w:type="dxa"/>
              <w:bottom w:w="80" w:type="dxa"/>
              <w:end w:w="90" w:type="dxa"/>
            </w:tcMar>
          </w:tcPr>
          <w:p>
            <w:pPr>
              <w:spacing w:after="0" w:before="0"/>
            </w:pPr>
            <w:r>
              <w:rPr>
                <w:rFonts w:ascii="Times New Roman" w:hAnsi="Times New Roman"/>
                <w:sz w:val="17"/>
              </w:rPr>
              <w:t>Laboratory execution plan.</w:t>
            </w:r>
          </w:p>
        </w:tc>
      </w:tr>
    </w:tbl>
    <w:p>
      <w:r>
        <w:rPr>
          <w:rFonts w:ascii="Times New Roman" w:hAnsi="Times New Roman"/>
        </w:rPr>
        <w:br w:type="page"/>
      </w:r>
    </w:p>
    <w:p>
      <w:pPr>
        <w:pStyle w:val="Heading1"/>
      </w:pPr>
      <w:r>
        <w:rPr>
          <w:rFonts w:ascii="Times New Roman" w:hAnsi="Times New Roman"/>
        </w:rPr>
        <w:t>Appendix B - Risks to Track in the Project Log</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232"/>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Risk</w:t>
            </w:r>
          </w:p>
        </w:tc>
        <w:tc>
          <w:tcPr>
            <w:tcW w:type="dxa" w:w="273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Consequence</w:t>
            </w:r>
          </w:p>
        </w:tc>
        <w:tc>
          <w:tcPr>
            <w:tcW w:type="dxa" w:w="4176"/>
            <w:vAlign w:val="center"/>
            <w:tcMar>
              <w:top w:w="80" w:type="dxa"/>
              <w:start w:w="90" w:type="dxa"/>
              <w:bottom w:w="80" w:type="dxa"/>
              <w:end w:w="90" w:type="dxa"/>
            </w:tcMar>
            <w:shd w:fill="17365D"/>
          </w:tcPr>
          <w:p>
            <w:pPr>
              <w:spacing w:after="0" w:before="0"/>
              <w:jc w:val="center"/>
            </w:pPr>
            <w:r>
              <w:rPr>
                <w:rFonts w:ascii="Times New Roman" w:hAnsi="Times New Roman"/>
                <w:b/>
                <w:color w:val="FFFFFF"/>
                <w:sz w:val="17"/>
              </w:rPr>
              <w:t>Mitigation / evidence required</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7"/>
              </w:rPr>
              <w:t>PANI batch variability</w:t>
            </w:r>
          </w:p>
        </w:tc>
        <w:tc>
          <w:tcPr>
            <w:tcW w:type="dxa" w:w="2736"/>
            <w:vAlign w:val="center"/>
            <w:tcMar>
              <w:top w:w="80" w:type="dxa"/>
              <w:start w:w="90" w:type="dxa"/>
              <w:bottom w:w="80" w:type="dxa"/>
              <w:end w:w="90" w:type="dxa"/>
            </w:tcMar>
          </w:tcPr>
          <w:p>
            <w:pPr>
              <w:spacing w:after="0" w:before="0"/>
            </w:pPr>
            <w:r>
              <w:rPr>
                <w:rFonts w:ascii="Times New Roman" w:hAnsi="Times New Roman"/>
                <w:sz w:val="17"/>
              </w:rPr>
              <w:t>Different slope, offset, response time and drift</w:t>
            </w:r>
          </w:p>
        </w:tc>
        <w:tc>
          <w:tcPr>
            <w:tcW w:type="dxa" w:w="4176"/>
            <w:vAlign w:val="center"/>
            <w:tcMar>
              <w:top w:w="80" w:type="dxa"/>
              <w:start w:w="90" w:type="dxa"/>
              <w:bottom w:w="80" w:type="dxa"/>
              <w:end w:w="90" w:type="dxa"/>
            </w:tcMar>
          </w:tcPr>
          <w:p>
            <w:pPr>
              <w:spacing w:after="0" w:before="0"/>
            </w:pPr>
            <w:r>
              <w:rPr>
                <w:rFonts w:ascii="Times New Roman" w:hAnsi="Times New Roman"/>
                <w:sz w:val="17"/>
              </w:rPr>
              <w:t>Standardize synthesis/coating, label batches, calibrate each sample.</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7"/>
              </w:rPr>
              <w:t>Reference-electrode instability or silver leakage</w:t>
            </w:r>
          </w:p>
        </w:tc>
        <w:tc>
          <w:tcPr>
            <w:tcW w:type="dxa" w:w="2736"/>
            <w:vAlign w:val="center"/>
            <w:tcMar>
              <w:top w:w="80" w:type="dxa"/>
              <w:start w:w="90" w:type="dxa"/>
              <w:bottom w:w="80" w:type="dxa"/>
              <w:end w:w="90" w:type="dxa"/>
            </w:tcMar>
          </w:tcPr>
          <w:p>
            <w:pPr>
              <w:spacing w:after="0" w:before="0"/>
            </w:pPr>
            <w:r>
              <w:rPr>
                <w:rFonts w:ascii="Times New Roman" w:hAnsi="Times New Roman"/>
                <w:sz w:val="17"/>
              </w:rPr>
              <w:t>Incorrect pH and material-safety concern</w:t>
            </w:r>
          </w:p>
        </w:tc>
        <w:tc>
          <w:tcPr>
            <w:tcW w:type="dxa" w:w="4176"/>
            <w:vAlign w:val="center"/>
            <w:tcMar>
              <w:top w:w="80" w:type="dxa"/>
              <w:start w:w="90" w:type="dxa"/>
              <w:bottom w:w="80" w:type="dxa"/>
              <w:end w:w="90" w:type="dxa"/>
            </w:tcMar>
          </w:tcPr>
          <w:p>
            <w:pPr>
              <w:spacing w:after="0" w:before="0"/>
            </w:pPr>
            <w:r>
              <w:rPr>
                <w:rFonts w:ascii="Times New Roman" w:hAnsi="Times New Roman"/>
                <w:sz w:val="17"/>
              </w:rPr>
              <w:t>Define membrane/contact layer; perform soak, drift and leakage assessment.</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7"/>
              </w:rPr>
              <w:t>Printed-trace cracking</w:t>
            </w:r>
          </w:p>
        </w:tc>
        <w:tc>
          <w:tcPr>
            <w:tcW w:type="dxa" w:w="2736"/>
            <w:vAlign w:val="center"/>
            <w:tcMar>
              <w:top w:w="80" w:type="dxa"/>
              <w:start w:w="90" w:type="dxa"/>
              <w:bottom w:w="80" w:type="dxa"/>
              <w:end w:w="90" w:type="dxa"/>
            </w:tcMar>
          </w:tcPr>
          <w:p>
            <w:pPr>
              <w:spacing w:after="0" w:before="0"/>
            </w:pPr>
            <w:r>
              <w:rPr>
                <w:rFonts w:ascii="Times New Roman" w:hAnsi="Times New Roman"/>
                <w:sz w:val="17"/>
              </w:rPr>
              <w:t>Intermittent readings under bending</w:t>
            </w:r>
          </w:p>
        </w:tc>
        <w:tc>
          <w:tcPr>
            <w:tcW w:type="dxa" w:w="4176"/>
            <w:vAlign w:val="center"/>
            <w:tcMar>
              <w:top w:w="80" w:type="dxa"/>
              <w:start w:w="90" w:type="dxa"/>
              <w:bottom w:w="80" w:type="dxa"/>
              <w:end w:w="90" w:type="dxa"/>
            </w:tcMar>
          </w:tcPr>
          <w:p>
            <w:pPr>
              <w:spacing w:after="0" w:before="0"/>
            </w:pPr>
            <w:r>
              <w:rPr>
                <w:rFonts w:ascii="Times New Roman" w:hAnsi="Times New Roman"/>
                <w:sz w:val="17"/>
              </w:rPr>
              <w:t>Use strain relief, flex coupons and repeated bend tests.</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7"/>
              </w:rPr>
              <w:t>Moisture polarization and corrosion</w:t>
            </w:r>
          </w:p>
        </w:tc>
        <w:tc>
          <w:tcPr>
            <w:tcW w:type="dxa" w:w="2736"/>
            <w:vAlign w:val="center"/>
            <w:tcMar>
              <w:top w:w="80" w:type="dxa"/>
              <w:start w:w="90" w:type="dxa"/>
              <w:bottom w:w="80" w:type="dxa"/>
              <w:end w:w="90" w:type="dxa"/>
            </w:tcMar>
          </w:tcPr>
          <w:p>
            <w:pPr>
              <w:spacing w:after="0" w:before="0"/>
            </w:pPr>
            <w:r>
              <w:rPr>
                <w:rFonts w:ascii="Times New Roman" w:hAnsi="Times New Roman"/>
                <w:sz w:val="17"/>
              </w:rPr>
              <w:t>Drift and electrode degradation</w:t>
            </w:r>
          </w:p>
        </w:tc>
        <w:tc>
          <w:tcPr>
            <w:tcW w:type="dxa" w:w="4176"/>
            <w:vAlign w:val="center"/>
            <w:tcMar>
              <w:top w:w="80" w:type="dxa"/>
              <w:start w:w="90" w:type="dxa"/>
              <w:bottom w:w="80" w:type="dxa"/>
              <w:end w:w="90" w:type="dxa"/>
            </w:tcMar>
          </w:tcPr>
          <w:p>
            <w:pPr>
              <w:spacing w:after="0" w:before="0"/>
            </w:pPr>
            <w:r>
              <w:rPr>
                <w:rFonts w:ascii="Times New Roman" w:hAnsi="Times New Roman"/>
                <w:sz w:val="17"/>
              </w:rPr>
              <w:t>Zero-mean burst excitation, current limiting and wet/dry cycling.</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7"/>
              </w:rPr>
              <w:t>Temperature thermal lag</w:t>
            </w:r>
          </w:p>
        </w:tc>
        <w:tc>
          <w:tcPr>
            <w:tcW w:type="dxa" w:w="2736"/>
            <w:vAlign w:val="center"/>
            <w:tcMar>
              <w:top w:w="80" w:type="dxa"/>
              <w:start w:w="90" w:type="dxa"/>
              <w:bottom w:w="80" w:type="dxa"/>
              <w:end w:w="90" w:type="dxa"/>
            </w:tcMar>
          </w:tcPr>
          <w:p>
            <w:pPr>
              <w:spacing w:after="0" w:before="0"/>
            </w:pPr>
            <w:r>
              <w:rPr>
                <w:rFonts w:ascii="Times New Roman" w:hAnsi="Times New Roman"/>
                <w:sz w:val="17"/>
              </w:rPr>
              <w:t>Delayed or biased wound-surface result</w:t>
            </w:r>
          </w:p>
        </w:tc>
        <w:tc>
          <w:tcPr>
            <w:tcW w:type="dxa" w:w="4176"/>
            <w:vAlign w:val="center"/>
            <w:tcMar>
              <w:top w:w="80" w:type="dxa"/>
              <w:start w:w="90" w:type="dxa"/>
              <w:bottom w:w="80" w:type="dxa"/>
              <w:end w:w="90" w:type="dxa"/>
            </w:tcMar>
          </w:tcPr>
          <w:p>
            <w:pPr>
              <w:spacing w:after="0" w:before="0"/>
            </w:pPr>
            <w:r>
              <w:rPr>
                <w:rFonts w:ascii="Times New Roman" w:hAnsi="Times New Roman"/>
                <w:sz w:val="17"/>
              </w:rPr>
              <w:t>Thin validated encapsulation and assembly-level calibration.</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7"/>
              </w:rPr>
              <w:t>I2C address conflict</w:t>
            </w:r>
          </w:p>
        </w:tc>
        <w:tc>
          <w:tcPr>
            <w:tcW w:type="dxa" w:w="2736"/>
            <w:vAlign w:val="center"/>
            <w:tcMar>
              <w:top w:w="80" w:type="dxa"/>
              <w:start w:w="90" w:type="dxa"/>
              <w:bottom w:w="80" w:type="dxa"/>
              <w:end w:w="90" w:type="dxa"/>
            </w:tcMar>
          </w:tcPr>
          <w:p>
            <w:pPr>
              <w:spacing w:after="0" w:before="0"/>
            </w:pPr>
            <w:r>
              <w:rPr>
                <w:rFonts w:ascii="Times New Roman" w:hAnsi="Times New Roman"/>
                <w:sz w:val="17"/>
              </w:rPr>
              <w:t>Missing devices or bus failure</w:t>
            </w:r>
          </w:p>
        </w:tc>
        <w:tc>
          <w:tcPr>
            <w:tcW w:type="dxa" w:w="4176"/>
            <w:vAlign w:val="center"/>
            <w:tcMar>
              <w:top w:w="80" w:type="dxa"/>
              <w:start w:w="90" w:type="dxa"/>
              <w:bottom w:w="80" w:type="dxa"/>
              <w:end w:w="90" w:type="dxa"/>
            </w:tcMar>
          </w:tcPr>
          <w:p>
            <w:pPr>
              <w:spacing w:after="0" w:before="0"/>
            </w:pPr>
            <w:r>
              <w:rPr>
                <w:rFonts w:ascii="Times New Roman" w:hAnsi="Times New Roman"/>
                <w:sz w:val="17"/>
              </w:rPr>
              <w:t>Use bus switch or separated buses and verify every address.</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7"/>
              </w:rPr>
              <w:t>Radio/switching noise</w:t>
            </w:r>
          </w:p>
        </w:tc>
        <w:tc>
          <w:tcPr>
            <w:tcW w:type="dxa" w:w="2736"/>
            <w:vAlign w:val="center"/>
            <w:tcMar>
              <w:top w:w="80" w:type="dxa"/>
              <w:start w:w="90" w:type="dxa"/>
              <w:bottom w:w="80" w:type="dxa"/>
              <w:end w:w="90" w:type="dxa"/>
            </w:tcMar>
          </w:tcPr>
          <w:p>
            <w:pPr>
              <w:spacing w:after="0" w:before="0"/>
            </w:pPr>
            <w:r>
              <w:rPr>
                <w:rFonts w:ascii="Times New Roman" w:hAnsi="Times New Roman"/>
                <w:sz w:val="17"/>
              </w:rPr>
              <w:t>pH and moisture measurement error</w:t>
            </w:r>
          </w:p>
        </w:tc>
        <w:tc>
          <w:tcPr>
            <w:tcW w:type="dxa" w:w="4176"/>
            <w:vAlign w:val="center"/>
            <w:tcMar>
              <w:top w:w="80" w:type="dxa"/>
              <w:start w:w="90" w:type="dxa"/>
              <w:bottom w:w="80" w:type="dxa"/>
              <w:end w:w="90" w:type="dxa"/>
            </w:tcMar>
          </w:tcPr>
          <w:p>
            <w:pPr>
              <w:spacing w:after="0" w:before="0"/>
            </w:pPr>
            <w:r>
              <w:rPr>
                <w:rFonts w:ascii="Times New Roman" w:hAnsi="Times New Roman"/>
                <w:sz w:val="17"/>
              </w:rPr>
              <w:t>Measure with radio off; filtering, layout separation and controlled grounding.</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7"/>
              </w:rPr>
              <w:t>Incomplete cost calculation</w:t>
            </w:r>
          </w:p>
        </w:tc>
        <w:tc>
          <w:tcPr>
            <w:tcW w:type="dxa" w:w="2736"/>
            <w:vAlign w:val="center"/>
            <w:tcMar>
              <w:top w:w="80" w:type="dxa"/>
              <w:start w:w="90" w:type="dxa"/>
              <w:bottom w:w="80" w:type="dxa"/>
              <w:end w:w="90" w:type="dxa"/>
            </w:tcMar>
          </w:tcPr>
          <w:p>
            <w:pPr>
              <w:spacing w:after="0" w:before="0"/>
            </w:pPr>
            <w:r>
              <w:rPr>
                <w:rFonts w:ascii="Times New Roman" w:hAnsi="Times New Roman"/>
                <w:sz w:val="17"/>
              </w:rPr>
              <w:t>Unreliable budget claim</w:t>
            </w:r>
          </w:p>
        </w:tc>
        <w:tc>
          <w:tcPr>
            <w:tcW w:type="dxa" w:w="4176"/>
            <w:vAlign w:val="center"/>
            <w:tcMar>
              <w:top w:w="80" w:type="dxa"/>
              <w:start w:w="90" w:type="dxa"/>
              <w:bottom w:w="80" w:type="dxa"/>
              <w:end w:w="90" w:type="dxa"/>
            </w:tcMar>
          </w:tcPr>
          <w:p>
            <w:pPr>
              <w:spacing w:after="0" w:before="0"/>
            </w:pPr>
            <w:r>
              <w:rPr>
                <w:rFonts w:ascii="Times New Roman" w:hAnsi="Times New Roman"/>
                <w:sz w:val="17"/>
              </w:rPr>
              <w:t>Complete quantity-based BOM with supplier quotations and contingency.</w:t>
            </w:r>
          </w:p>
        </w:tc>
      </w:tr>
      <w:tr>
        <w:trPr>
          <w:cantSplit/>
        </w:trPr>
        <w:tc>
          <w:tcPr>
            <w:tcW w:type="dxa" w:w="2232"/>
            <w:vAlign w:val="center"/>
            <w:tcMar>
              <w:top w:w="80" w:type="dxa"/>
              <w:start w:w="90" w:type="dxa"/>
              <w:bottom w:w="80" w:type="dxa"/>
              <w:end w:w="90" w:type="dxa"/>
            </w:tcMar>
          </w:tcPr>
          <w:p>
            <w:pPr>
              <w:spacing w:after="0" w:before="0"/>
            </w:pPr>
            <w:r>
              <w:rPr>
                <w:rFonts w:ascii="Times New Roman" w:hAnsi="Times New Roman"/>
                <w:sz w:val="17"/>
              </w:rPr>
              <w:t>Use of non-medical prototype materials</w:t>
            </w:r>
          </w:p>
        </w:tc>
        <w:tc>
          <w:tcPr>
            <w:tcW w:type="dxa" w:w="2736"/>
            <w:vAlign w:val="center"/>
            <w:tcMar>
              <w:top w:w="80" w:type="dxa"/>
              <w:start w:w="90" w:type="dxa"/>
              <w:bottom w:w="80" w:type="dxa"/>
              <w:end w:w="90" w:type="dxa"/>
            </w:tcMar>
          </w:tcPr>
          <w:p>
            <w:pPr>
              <w:spacing w:after="0" w:before="0"/>
            </w:pPr>
            <w:r>
              <w:rPr>
                <w:rFonts w:ascii="Times New Roman" w:hAnsi="Times New Roman"/>
                <w:sz w:val="17"/>
              </w:rPr>
              <w:t>Unsafe interpretation of proof-of-concept</w:t>
            </w:r>
          </w:p>
        </w:tc>
        <w:tc>
          <w:tcPr>
            <w:tcW w:type="dxa" w:w="4176"/>
            <w:vAlign w:val="center"/>
            <w:tcMar>
              <w:top w:w="80" w:type="dxa"/>
              <w:start w:w="90" w:type="dxa"/>
              <w:bottom w:w="80" w:type="dxa"/>
              <w:end w:w="90" w:type="dxa"/>
            </w:tcMar>
          </w:tcPr>
          <w:p>
            <w:pPr>
              <w:spacing w:after="0" w:before="0"/>
            </w:pPr>
            <w:r>
              <w:rPr>
                <w:rFonts w:ascii="Times New Roman" w:hAnsi="Times New Roman"/>
                <w:sz w:val="17"/>
              </w:rPr>
              <w:t>Restrict to bench simulants and clearly label material-development stages.</w:t>
            </w:r>
          </w:p>
        </w:tc>
      </w:tr>
    </w:tbl>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7"/>
      </w:rPr>
      <w:t>Smart Wound Monitoring FYP | Week 07 Progress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