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2A9D8F"/>
          <w:sz w:val="32"/>
        </w:rPr>
        <w:t>WEEK 8</w:t>
      </w:r>
    </w:p>
    <w:p>
      <w:pPr>
        <w:spacing w:before="60" w:after="80"/>
        <w:jc w:val="center"/>
      </w:pPr>
      <w:r>
        <w:rPr>
          <w:b/>
          <w:color w:val="123B5D"/>
          <w:sz w:val="60"/>
        </w:rPr>
        <w:t>FULL PROGRESS REPORT</w:t>
      </w:r>
    </w:p>
    <w:p>
      <w:pPr>
        <w:spacing w:after="200"/>
        <w:jc w:val="center"/>
      </w:pPr>
      <w:r>
        <w:rPr>
          <w:b/>
          <w:color w:val="2E6F9E"/>
          <w:sz w:val="36"/>
        </w:rPr>
        <w:t>Smart Sensor-Based Monitoring of Chronic Diabetic Wounds</w:t>
      </w:r>
    </w:p>
    <w:p>
      <w:pPr>
        <w:spacing w:after="400"/>
        <w:jc w:val="center"/>
      </w:pPr>
      <w:r>
        <w:rPr>
          <w:i/>
          <w:color w:val="687784"/>
          <w:sz w:val="23"/>
        </w:rPr>
        <w:t>Dataset construction • exploratory machine learning • journal-manuscript revision</w:t>
      </w:r>
    </w:p>
    <w:p>
      <w:pPr>
        <w:spacing w:before="100" w:after="80"/>
        <w:jc w:val="center"/>
      </w:pPr>
      <w:r>
        <w:drawing>
          <wp:inline xmlns:a="http://schemas.openxmlformats.org/drawingml/2006/main" xmlns:pic="http://schemas.openxmlformats.org/drawingml/2006/picture">
            <wp:extent cx="6080760" cy="3566744"/>
            <wp:docPr id="1" name="Picture 1"/>
            <wp:cNvGraphicFramePr>
              <a:graphicFrameLocks noChangeAspect="1"/>
            </wp:cNvGraphicFramePr>
            <a:graphic>
              <a:graphicData uri="http://schemas.openxmlformats.org/drawingml/2006/picture">
                <pic:pic>
                  <pic:nvPicPr>
                    <pic:cNvPr id="0" name="figure1_week8_dashboard.png"/>
                    <pic:cNvPicPr/>
                  </pic:nvPicPr>
                  <pic:blipFill>
                    <a:blip r:embed="rId11"/>
                    <a:stretch>
                      <a:fillRect/>
                    </a:stretch>
                  </pic:blipFill>
                  <pic:spPr>
                    <a:xfrm>
                      <a:off x="0" y="0"/>
                      <a:ext cx="6080760" cy="3566744"/>
                    </a:xfrm>
                    <a:prstGeom prst="rect"/>
                  </pic:spPr>
                </pic:pic>
              </a:graphicData>
            </a:graphic>
          </wp:inline>
        </w:drawing>
      </w:r>
    </w:p>
    <w:p>
      <w:pPr>
        <w:pStyle w:val="Caption"/>
        <w:jc w:val="center"/>
      </w:pPr>
      <w:r>
        <w:rPr>
          <w:b/>
        </w:rPr>
        <w:t>Cover evidence summary generated from the files contained in WEEK8.zip.</w:t>
      </w:r>
    </w:p>
    <w:tbl>
      <w:tblPr>
        <w:tblStyle w:val="TableGrid"/>
        <w:tblW w:type="auto" w:w="0"/>
        <w:jc w:val="center"/>
        <w:tblLayout w:type="fixed"/>
        <w:tblLook w:firstColumn="1" w:firstRow="1" w:lastColumn="0" w:lastRow="0" w:noHBand="0" w:noVBand="1" w:val="04A0"/>
      </w:tblPr>
      <w:tblGrid>
        <w:gridCol w:w="4933"/>
        <w:gridCol w:w="4933"/>
      </w:tblGrid>
      <w:tr>
        <w:tc>
          <w:tcPr>
            <w:tcW w:type="dxa" w:w="2160"/>
            <w:tcMar>
              <w:top w:w="85" w:type="dxa"/>
              <w:start w:w="120" w:type="dxa"/>
              <w:bottom w:w="85" w:type="dxa"/>
              <w:end w:w="120" w:type="dxa"/>
            </w:tcMar>
            <w:shd w:fill="F3F7FA"/>
          </w:tcPr>
          <w:p>
            <w:pPr>
              <w:spacing w:after="0"/>
            </w:pPr>
            <w:r>
              <w:rPr>
                <w:b/>
                <w:color w:val="123B5D"/>
                <w:sz w:val="18"/>
              </w:rPr>
              <w:t>Prepared by</w:t>
            </w:r>
          </w:p>
        </w:tc>
        <w:tc>
          <w:tcPr>
            <w:tcW w:type="dxa" w:w="7200"/>
            <w:tcMar>
              <w:top w:w="85" w:type="dxa"/>
              <w:start w:w="120" w:type="dxa"/>
              <w:bottom w:w="85" w:type="dxa"/>
              <w:end w:w="120" w:type="dxa"/>
            </w:tcMar>
          </w:tcPr>
          <w:p>
            <w:pPr>
              <w:spacing w:after="0"/>
            </w:pPr>
            <w:r>
              <w:rPr>
                <w:b w:val="0"/>
                <w:color w:val="1E2B36"/>
                <w:sz w:val="18"/>
              </w:rPr>
              <w:t>H.M.V.V.W. Wickrama (Vikum Vichakshana) and project team</w:t>
            </w:r>
          </w:p>
        </w:tc>
      </w:tr>
      <w:tr>
        <w:tc>
          <w:tcPr>
            <w:tcW w:type="dxa" w:w="2160"/>
            <w:tcMar>
              <w:top w:w="85" w:type="dxa"/>
              <w:start w:w="120" w:type="dxa"/>
              <w:bottom w:w="85" w:type="dxa"/>
              <w:end w:w="120" w:type="dxa"/>
            </w:tcMar>
            <w:shd w:fill="F3F7FA"/>
          </w:tcPr>
          <w:p>
            <w:pPr>
              <w:spacing w:after="0"/>
            </w:pPr>
            <w:r>
              <w:rPr>
                <w:b/>
                <w:color w:val="123B5D"/>
                <w:sz w:val="18"/>
              </w:rPr>
              <w:t>Project team</w:t>
            </w:r>
          </w:p>
        </w:tc>
        <w:tc>
          <w:tcPr>
            <w:tcW w:type="dxa" w:w="7200"/>
            <w:tcMar>
              <w:top w:w="85" w:type="dxa"/>
              <w:start w:w="120" w:type="dxa"/>
              <w:bottom w:w="85" w:type="dxa"/>
              <w:end w:w="120" w:type="dxa"/>
            </w:tcMar>
          </w:tcPr>
          <w:p>
            <w:pPr>
              <w:spacing w:after="0"/>
            </w:pPr>
            <w:r>
              <w:rPr>
                <w:b w:val="0"/>
                <w:color w:val="1E2B36"/>
                <w:sz w:val="18"/>
              </w:rPr>
              <w:t>H.M.V.V.W. Wickrama; K.K.G.T. Gimhani; V.S. Jayaweera</w:t>
            </w:r>
          </w:p>
        </w:tc>
      </w:tr>
      <w:tr>
        <w:tc>
          <w:tcPr>
            <w:tcW w:type="dxa" w:w="2160"/>
            <w:tcMar>
              <w:top w:w="85" w:type="dxa"/>
              <w:start w:w="120" w:type="dxa"/>
              <w:bottom w:w="85" w:type="dxa"/>
              <w:end w:w="120" w:type="dxa"/>
            </w:tcMar>
            <w:shd w:fill="F3F7FA"/>
          </w:tcPr>
          <w:p>
            <w:pPr>
              <w:spacing w:after="0"/>
            </w:pPr>
            <w:r>
              <w:rPr>
                <w:b/>
                <w:color w:val="123B5D"/>
                <w:sz w:val="18"/>
              </w:rPr>
              <w:t>Supervisor</w:t>
            </w:r>
          </w:p>
        </w:tc>
        <w:tc>
          <w:tcPr>
            <w:tcW w:type="dxa" w:w="7200"/>
            <w:tcMar>
              <w:top w:w="85" w:type="dxa"/>
              <w:start w:w="120" w:type="dxa"/>
              <w:bottom w:w="85" w:type="dxa"/>
              <w:end w:w="120" w:type="dxa"/>
            </w:tcMar>
          </w:tcPr>
          <w:p>
            <w:pPr>
              <w:spacing w:after="0"/>
            </w:pPr>
            <w:r>
              <w:rPr>
                <w:b w:val="0"/>
                <w:color w:val="1E2B36"/>
                <w:sz w:val="18"/>
              </w:rPr>
              <w:t>Dr. Ruwan Ranaweera</w:t>
            </w:r>
          </w:p>
        </w:tc>
      </w:tr>
      <w:tr>
        <w:tc>
          <w:tcPr>
            <w:tcW w:type="dxa" w:w="2160"/>
            <w:tcMar>
              <w:top w:w="85" w:type="dxa"/>
              <w:start w:w="120" w:type="dxa"/>
              <w:bottom w:w="85" w:type="dxa"/>
              <w:end w:w="120" w:type="dxa"/>
            </w:tcMar>
            <w:shd w:fill="F3F7FA"/>
          </w:tcPr>
          <w:p>
            <w:pPr>
              <w:spacing w:after="0"/>
            </w:pPr>
            <w:r>
              <w:rPr>
                <w:b/>
                <w:color w:val="123B5D"/>
                <w:sz w:val="18"/>
              </w:rPr>
              <w:t>Institution</w:t>
            </w:r>
          </w:p>
        </w:tc>
        <w:tc>
          <w:tcPr>
            <w:tcW w:type="dxa" w:w="7200"/>
            <w:tcMar>
              <w:top w:w="85" w:type="dxa"/>
              <w:start w:w="120" w:type="dxa"/>
              <w:bottom w:w="85" w:type="dxa"/>
              <w:end w:w="120" w:type="dxa"/>
            </w:tcMar>
          </w:tcPr>
          <w:p>
            <w:pPr>
              <w:spacing w:after="0"/>
            </w:pPr>
            <w:r>
              <w:rPr>
                <w:b w:val="0"/>
                <w:color w:val="1E2B36"/>
                <w:sz w:val="18"/>
              </w:rPr>
              <w:t>Department of Electrical and Electronic Engineering, Faculty of Engineering, University of Peradeniya</w:t>
            </w:r>
          </w:p>
        </w:tc>
      </w:tr>
      <w:tr>
        <w:tc>
          <w:tcPr>
            <w:tcW w:type="dxa" w:w="2160"/>
            <w:tcMar>
              <w:top w:w="85" w:type="dxa"/>
              <w:start w:w="120" w:type="dxa"/>
              <w:bottom w:w="85" w:type="dxa"/>
              <w:end w:w="120" w:type="dxa"/>
            </w:tcMar>
            <w:shd w:fill="F3F7FA"/>
          </w:tcPr>
          <w:p>
            <w:pPr>
              <w:spacing w:after="0"/>
            </w:pPr>
            <w:r>
              <w:rPr>
                <w:b/>
                <w:color w:val="123B5D"/>
                <w:sz w:val="18"/>
              </w:rPr>
              <w:t>Report date</w:t>
            </w:r>
          </w:p>
        </w:tc>
        <w:tc>
          <w:tcPr>
            <w:tcW w:type="dxa" w:w="7200"/>
            <w:tcMar>
              <w:top w:w="85" w:type="dxa"/>
              <w:start w:w="120" w:type="dxa"/>
              <w:bottom w:w="85" w:type="dxa"/>
              <w:end w:w="120" w:type="dxa"/>
            </w:tcMar>
          </w:tcPr>
          <w:p>
            <w:pPr>
              <w:spacing w:after="0"/>
            </w:pPr>
            <w:r>
              <w:rPr>
                <w:b w:val="0"/>
                <w:color w:val="1E2B36"/>
                <w:sz w:val="18"/>
              </w:rPr>
              <w:t>12 July 2026</w:t>
            </w:r>
          </w:p>
        </w:tc>
      </w:tr>
    </w:tbl>
    <w:p>
      <w:r>
        <w:br w:type="page"/>
      </w:r>
    </w:p>
    <w:p>
      <w:pPr>
        <w:pStyle w:val="Heading1"/>
        <w:keepNext/>
      </w:pPr>
      <w:r>
        <w:t>Purpose of this report</w:t>
      </w:r>
    </w:p>
    <w:p>
      <w:pPr>
        <w:pStyle w:val="ExecutiveSummary"/>
      </w:pPr>
      <w:r>
        <w:rPr>
          <w:b w:val="0"/>
        </w:rPr>
        <w:t xml:space="preserve">This document consolidates and explains all substantive work found in the uploaded </w:t>
      </w:r>
      <w:r>
        <w:rPr>
          <w:b/>
        </w:rPr>
        <w:t>WEEK8.zip</w:t>
      </w:r>
      <w:r>
        <w:t>. It is written for supervisor review and shows what was completed, what the current results mean, which claims are safe to make, and what must be done next. The archive contains two connected Week 8 workstreams: (1) preparation of a literature-derived wound-monitoring dataset and exploratory dimensionality-reduction pipeline, and (2) correction and strengthening of a Ceylon Medical Journal structured narrative review.</w:t>
      </w:r>
    </w:p>
    <w:tbl>
      <w:tblPr>
        <w:tblW w:type="auto" w:w="0"/>
        <w:jc w:val="center"/>
        <w:tblLayout w:type="autofit"/>
        <w:tblLook w:firstColumn="1" w:firstRow="1" w:lastColumn="0" w:lastRow="0" w:noHBand="0" w:noVBand="1" w:val="04A0"/>
      </w:tblPr>
      <w:tblGrid>
        <w:gridCol w:w="9866"/>
      </w:tblGrid>
      <w:tr>
        <w:tc>
          <w:tcPr>
            <w:tcW w:type="dxa" w:w="9866"/>
            <w:shd w:fill="FFF4F2"/>
            <w:tcMar>
              <w:top w:w="130" w:type="dxa"/>
              <w:start w:w="150" w:type="dxa"/>
              <w:bottom w:w="130" w:type="dxa"/>
              <w:end w:w="150" w:type="dxa"/>
            </w:tcMar>
            <w:tcBorders>
              <w:top w:val="single" w:sz="12" w:color="C64B4B"/>
              <w:left w:val="single" w:sz="12" w:color="C64B4B"/>
              <w:bottom w:val="single" w:sz="12" w:color="C64B4B"/>
              <w:right w:val="single" w:sz="12" w:color="C64B4B"/>
            </w:tcBorders>
          </w:tcPr>
          <w:p>
            <w:pPr>
              <w:spacing w:after="60"/>
            </w:pPr>
            <w:r>
              <w:rPr>
                <w:b/>
                <w:color w:val="C64B4B"/>
                <w:sz w:val="22"/>
              </w:rPr>
              <w:t>Scope boundary</w:t>
            </w:r>
          </w:p>
          <w:p>
            <w:pPr>
              <w:spacing w:after="0" w:line="259" w:lineRule="auto"/>
            </w:pPr>
            <w:r>
              <w:t>The ZIP does not contain new patient measurements, wound-sensor prototype measurements, wet-laboratory results, or a validated clinical machine-learning model. Every numerical dataset in this report was transcribed or digitised from published literature and must be presented as preliminary method-development evidence.</w:t>
            </w:r>
          </w:p>
        </w:tc>
      </w:tr>
    </w:tbl>
    <w:p>
      <w:pPr>
        <w:pStyle w:val="Heading2"/>
        <w:keepNext/>
      </w:pPr>
      <w:r>
        <w:t>Report contents</w:t>
      </w:r>
    </w:p>
    <w:p>
      <w:pPr>
        <w:pStyle w:val="ListBullet"/>
        <w:spacing w:after="60"/>
      </w:pPr>
      <w:r>
        <w:t>1. Executive summary and Week 8 achievements</w:t>
      </w:r>
    </w:p>
    <w:p>
      <w:pPr>
        <w:pStyle w:val="ListBullet"/>
        <w:spacing w:after="60"/>
      </w:pPr>
      <w:r>
        <w:t>2. Archive inventory and evidence reviewed</w:t>
      </w:r>
    </w:p>
    <w:p>
      <w:pPr>
        <w:pStyle w:val="ListBullet"/>
        <w:spacing w:after="60"/>
      </w:pPr>
      <w:r>
        <w:t>3. Literature-derived dataset construction</w:t>
      </w:r>
    </w:p>
    <w:p>
      <w:pPr>
        <w:pStyle w:val="ListBullet"/>
        <w:spacing w:after="60"/>
      </w:pPr>
      <w:r>
        <w:t>4. Cleaned trajectories and feature engineering</w:t>
      </w:r>
    </w:p>
    <w:p>
      <w:pPr>
        <w:pStyle w:val="ListBullet"/>
        <w:spacing w:after="60"/>
      </w:pPr>
      <w:r>
        <w:t>5. Exploratory PCA, t-SNE, MDS and model-planning work</w:t>
      </w:r>
    </w:p>
    <w:p>
      <w:pPr>
        <w:pStyle w:val="ListBullet"/>
        <w:spacing w:after="60"/>
      </w:pPr>
      <w:r>
        <w:t>6. Ceylon Medical Journal manuscript revision</w:t>
      </w:r>
    </w:p>
    <w:p>
      <w:pPr>
        <w:pStyle w:val="ListBullet"/>
        <w:spacing w:after="60"/>
      </w:pPr>
      <w:r>
        <w:t>7. Integrated Week 8 workflow</w:t>
      </w:r>
    </w:p>
    <w:p>
      <w:pPr>
        <w:pStyle w:val="ListBullet"/>
        <w:spacing w:after="60"/>
      </w:pPr>
      <w:r>
        <w:t>8. Limitations, supervisor decisions and Week 9 action plan</w:t>
      </w:r>
    </w:p>
    <w:p>
      <w:pPr>
        <w:pStyle w:val="ListBullet"/>
        <w:spacing w:after="60"/>
      </w:pPr>
      <w:r>
        <w:t>Appendix: key files and supervisor-ready talking points</w:t>
      </w:r>
    </w:p>
    <w:p>
      <w:r>
        <w:br w:type="page"/>
      </w:r>
    </w:p>
    <w:p>
      <w:pPr>
        <w:pStyle w:val="Heading1"/>
        <w:keepNext/>
      </w:pPr>
      <w:r>
        <w:t>1. Executive summary</w:t>
      </w:r>
    </w:p>
    <w:p>
      <w:pPr>
        <w:pStyle w:val="ExecutiveSummary"/>
      </w:pPr>
      <w:r>
        <w:rPr>
          <w:b/>
        </w:rPr>
        <w:t xml:space="preserve">Week 8 converted a large, unstructured collection of research papers, cropped figures, draft manuscripts and analysis packages into a traceable working evidence base. </w:t>
      </w:r>
      <w:r>
        <w:t>The main achievement was not a final predictive model; it was the construction of a reproducible pipeline that can now be expanded using additional published curves and, later, real sensor measurements after ethics and validation procedures are in place.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shd w:fill="123B5D"/>
            <w:vAlign w:val="center"/>
            <w:tcMar>
              <w:top w:w="90" w:type="dxa"/>
              <w:start w:w="100" w:type="dxa"/>
              <w:bottom w:w="90" w:type="dxa"/>
              <w:end w:w="100" w:type="dxa"/>
            </w:tcMar>
          </w:tcPr>
          <w:p>
            <w:pPr>
              <w:jc w:val="center"/>
            </w:pPr>
            <w:r>
              <w:rPr>
                <w:b/>
                <w:color w:val="FFFFFF"/>
                <w:sz w:val="18"/>
              </w:rPr>
              <w:t>Area</w:t>
            </w:r>
          </w:p>
        </w:tc>
        <w:tc>
          <w:tcPr>
            <w:tcW w:type="dxa" w:w="7344"/>
            <w:shd w:fill="123B5D"/>
            <w:vAlign w:val="center"/>
            <w:tcMar>
              <w:top w:w="90" w:type="dxa"/>
              <w:start w:w="100" w:type="dxa"/>
              <w:bottom w:w="90" w:type="dxa"/>
              <w:end w:w="100" w:type="dxa"/>
            </w:tcMar>
          </w:tcPr>
          <w:p>
            <w:pPr>
              <w:jc w:val="center"/>
            </w:pPr>
            <w:r>
              <w:rPr>
                <w:b/>
                <w:color w:val="FFFFFF"/>
                <w:sz w:val="18"/>
              </w:rPr>
              <w:t>Week 8 result</w:t>
            </w:r>
          </w:p>
        </w:tc>
      </w:tr>
      <w:tr>
        <w:tc>
          <w:tcPr>
            <w:tcW w:type="dxa" w:w="2232"/>
            <w:vAlign w:val="center"/>
            <w:tcMar>
              <w:top w:w="90" w:type="dxa"/>
              <w:start w:w="100" w:type="dxa"/>
              <w:bottom w:w="90" w:type="dxa"/>
              <w:end w:w="100" w:type="dxa"/>
            </w:tcMar>
          </w:tcPr>
          <w:p>
            <w:pPr>
              <w:spacing w:after="0" w:line="240" w:lineRule="auto"/>
            </w:pPr>
            <w:r>
              <w:rPr>
                <w:color w:val="1E2B36"/>
                <w:sz w:val="18"/>
              </w:rPr>
              <w:t>Literature base</w:t>
            </w:r>
          </w:p>
        </w:tc>
        <w:tc>
          <w:tcPr>
            <w:tcW w:type="dxa" w:w="7344"/>
            <w:vAlign w:val="center"/>
            <w:tcMar>
              <w:top w:w="90" w:type="dxa"/>
              <w:start w:w="100" w:type="dxa"/>
              <w:bottom w:w="90" w:type="dxa"/>
              <w:end w:w="100" w:type="dxa"/>
            </w:tcMar>
          </w:tcPr>
          <w:p>
            <w:pPr>
              <w:spacing w:after="0" w:line="240" w:lineRule="auto"/>
            </w:pPr>
            <w:r>
              <w:rPr>
                <w:color w:val="1E2B36"/>
                <w:sz w:val="18"/>
              </w:rPr>
              <w:t>11 papers indexed with topic, target parameters, wound type, sensor type, DOI/URL, priority and notes.</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Figure triage</w:t>
            </w:r>
          </w:p>
        </w:tc>
        <w:tc>
          <w:tcPr>
            <w:tcW w:type="dxa" w:w="7344"/>
            <w:vAlign w:val="center"/>
            <w:tcMar>
              <w:top w:w="90" w:type="dxa"/>
              <w:start w:w="100" w:type="dxa"/>
              <w:bottom w:w="90" w:type="dxa"/>
              <w:end w:w="100" w:type="dxa"/>
            </w:tcMar>
            <w:shd w:fill="F7FAFC"/>
          </w:tcPr>
          <w:p>
            <w:pPr>
              <w:spacing w:after="0" w:line="240" w:lineRule="auto"/>
            </w:pPr>
            <w:r>
              <w:rPr>
                <w:color w:val="1E2B36"/>
                <w:sz w:val="18"/>
              </w:rPr>
              <w:t>53 figures classified: 25 selected for extraction, 7 optional, and 21 excluded as unsuitable for numerical analysis.</w:t>
            </w:r>
          </w:p>
        </w:tc>
      </w:tr>
      <w:tr>
        <w:tc>
          <w:tcPr>
            <w:tcW w:type="dxa" w:w="2232"/>
            <w:vAlign w:val="center"/>
            <w:tcMar>
              <w:top w:w="90" w:type="dxa"/>
              <w:start w:w="100" w:type="dxa"/>
              <w:bottom w:w="90" w:type="dxa"/>
              <w:end w:w="100" w:type="dxa"/>
            </w:tcMar>
          </w:tcPr>
          <w:p>
            <w:pPr>
              <w:spacing w:after="0" w:line="240" w:lineRule="auto"/>
            </w:pPr>
            <w:r>
              <w:rPr>
                <w:color w:val="1E2B36"/>
                <w:sz w:val="18"/>
              </w:rPr>
              <w:t>Data transcription</w:t>
            </w:r>
          </w:p>
        </w:tc>
        <w:tc>
          <w:tcPr>
            <w:tcW w:type="dxa" w:w="7344"/>
            <w:vAlign w:val="center"/>
            <w:tcMar>
              <w:top w:w="90" w:type="dxa"/>
              <w:start w:w="100" w:type="dxa"/>
              <w:bottom w:w="90" w:type="dxa"/>
              <w:end w:w="100" w:type="dxa"/>
            </w:tcMar>
          </w:tcPr>
          <w:p>
            <w:pPr>
              <w:spacing w:after="0" w:line="240" w:lineRule="auto"/>
            </w:pPr>
            <w:r>
              <w:rPr>
                <w:color w:val="1E2B36"/>
                <w:sz w:val="18"/>
              </w:rPr>
              <w:t>Five clear published tables transcribed; 56 raw data rows created.</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Cleaned dataset</w:t>
            </w:r>
          </w:p>
        </w:tc>
        <w:tc>
          <w:tcPr>
            <w:tcW w:type="dxa" w:w="7344"/>
            <w:vAlign w:val="center"/>
            <w:tcMar>
              <w:top w:w="90" w:type="dxa"/>
              <w:start w:w="100" w:type="dxa"/>
              <w:bottom w:w="90" w:type="dxa"/>
              <w:end w:w="100" w:type="dxa"/>
            </w:tcMar>
            <w:shd w:fill="F7FAFC"/>
          </w:tcPr>
          <w:p>
            <w:pPr>
              <w:spacing w:after="0" w:line="240" w:lineRule="auto"/>
            </w:pPr>
            <w:r>
              <w:rPr>
                <w:color w:val="1E2B36"/>
                <w:sz w:val="18"/>
              </w:rPr>
              <w:t>38 tidy time-series rows organised into 8 curve-level samples.</w:t>
            </w:r>
          </w:p>
        </w:tc>
      </w:tr>
      <w:tr>
        <w:tc>
          <w:tcPr>
            <w:tcW w:type="dxa" w:w="2232"/>
            <w:vAlign w:val="center"/>
            <w:tcMar>
              <w:top w:w="90" w:type="dxa"/>
              <w:start w:w="100" w:type="dxa"/>
              <w:bottom w:w="90" w:type="dxa"/>
              <w:end w:w="100" w:type="dxa"/>
            </w:tcMar>
          </w:tcPr>
          <w:p>
            <w:pPr>
              <w:spacing w:after="0" w:line="240" w:lineRule="auto"/>
            </w:pPr>
            <w:r>
              <w:rPr>
                <w:color w:val="1E2B36"/>
                <w:sz w:val="18"/>
              </w:rPr>
              <w:t>Feature engineering</w:t>
            </w:r>
          </w:p>
        </w:tc>
        <w:tc>
          <w:tcPr>
            <w:tcW w:type="dxa" w:w="7344"/>
            <w:vAlign w:val="center"/>
            <w:tcMar>
              <w:top w:w="90" w:type="dxa"/>
              <w:start w:w="100" w:type="dxa"/>
              <w:bottom w:w="90" w:type="dxa"/>
              <w:end w:w="100" w:type="dxa"/>
            </w:tcMar>
          </w:tcPr>
          <w:p>
            <w:pPr>
              <w:spacing w:after="0" w:line="240" w:lineRule="auto"/>
            </w:pPr>
            <w:r>
              <w:rPr>
                <w:color w:val="1E2B36"/>
                <w:sz w:val="18"/>
              </w:rPr>
              <w:t>A 28-column feature table produced; 15 numerical features used for dimensionality reduction.</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Exploratory analysis</w:t>
            </w:r>
          </w:p>
        </w:tc>
        <w:tc>
          <w:tcPr>
            <w:tcW w:type="dxa" w:w="7344"/>
            <w:vAlign w:val="center"/>
            <w:tcMar>
              <w:top w:w="90" w:type="dxa"/>
              <w:start w:w="100" w:type="dxa"/>
              <w:bottom w:w="90" w:type="dxa"/>
              <w:end w:w="100" w:type="dxa"/>
            </w:tcMar>
            <w:shd w:fill="F7FAFC"/>
          </w:tcPr>
          <w:p>
            <w:pPr>
              <w:spacing w:after="0" w:line="240" w:lineRule="auto"/>
            </w:pPr>
            <w:r>
              <w:rPr>
                <w:color w:val="1E2B36"/>
                <w:sz w:val="18"/>
              </w:rPr>
              <w:t>PCA, t-SNE and MDS outputs generated; PCA PC1+PC2 explained approximately 90.8% of variance.</w:t>
            </w:r>
          </w:p>
        </w:tc>
      </w:tr>
      <w:tr>
        <w:tc>
          <w:tcPr>
            <w:tcW w:type="dxa" w:w="2232"/>
            <w:vAlign w:val="center"/>
            <w:tcMar>
              <w:top w:w="90" w:type="dxa"/>
              <w:start w:w="100" w:type="dxa"/>
              <w:bottom w:w="90" w:type="dxa"/>
              <w:end w:w="100" w:type="dxa"/>
            </w:tcMar>
          </w:tcPr>
          <w:p>
            <w:pPr>
              <w:spacing w:after="0" w:line="240" w:lineRule="auto"/>
            </w:pPr>
            <w:r>
              <w:rPr>
                <w:color w:val="1E2B36"/>
                <w:sz w:val="18"/>
              </w:rPr>
              <w:t>Model planning</w:t>
            </w:r>
          </w:p>
        </w:tc>
        <w:tc>
          <w:tcPr>
            <w:tcW w:type="dxa" w:w="7344"/>
            <w:vAlign w:val="center"/>
            <w:tcMar>
              <w:top w:w="90" w:type="dxa"/>
              <w:start w:w="100" w:type="dxa"/>
              <w:bottom w:w="90" w:type="dxa"/>
              <w:end w:w="100" w:type="dxa"/>
            </w:tcMar>
          </w:tcPr>
          <w:p>
            <w:pPr>
              <w:spacing w:after="0" w:line="240" w:lineRule="auto"/>
            </w:pPr>
            <w:r>
              <w:rPr>
                <w:color w:val="1E2B36"/>
                <w:sz w:val="18"/>
              </w:rPr>
              <w:t>Random Forest identified as a future nonlinear baseline, but no current diagnostic accuracy is claimed.</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Journal review</w:t>
            </w:r>
          </w:p>
        </w:tc>
        <w:tc>
          <w:tcPr>
            <w:tcW w:type="dxa" w:w="7344"/>
            <w:vAlign w:val="center"/>
            <w:tcMar>
              <w:top w:w="90" w:type="dxa"/>
              <w:start w:w="100" w:type="dxa"/>
              <w:bottom w:w="90" w:type="dxa"/>
              <w:end w:w="100" w:type="dxa"/>
            </w:tcMar>
            <w:shd w:fill="F7FAFC"/>
          </w:tcPr>
          <w:p>
            <w:pPr>
              <w:spacing w:after="0" w:line="240" w:lineRule="auto"/>
            </w:pPr>
            <w:r>
              <w:rPr>
                <w:color w:val="1E2B36"/>
                <w:sz w:val="18"/>
              </w:rPr>
              <w:t>CMJ manuscript progressed through V1, V2 and V3; V3 contains 21 key references, quantitative biomarker ranges and a formal response to adviser feedback.</w:t>
            </w:r>
          </w:p>
        </w:tc>
      </w:tr>
    </w:tbl>
    <w:p>
      <w:pPr>
        <w:spacing w:after="0"/>
      </w:pPr>
    </w:p>
    <w:p>
      <w:pPr>
        <w:pStyle w:val="Heading2"/>
        <w:keepNext/>
      </w:pPr>
      <w:r>
        <w:t>What the supervisor should understand immediately</w:t>
      </w:r>
    </w:p>
    <w:p>
      <w:pPr>
        <w:pStyle w:val="ListBullet"/>
        <w:spacing w:after="60"/>
      </w:pPr>
      <w:r>
        <w:t>The project now has an organised literature-to-data workflow rather than isolated papers and screenshots.</w:t>
      </w:r>
    </w:p>
    <w:p>
      <w:pPr>
        <w:pStyle w:val="ListBullet"/>
        <w:spacing w:after="60"/>
      </w:pPr>
      <w:r>
        <w:t>The current dataset is sufficient to demonstrate data handling, feature extraction and latent-space visualisation, but it is too small and heterogeneous for a reliable supervised clinical model.</w:t>
      </w:r>
    </w:p>
    <w:p>
      <w:pPr>
        <w:pStyle w:val="ListBullet"/>
        <w:spacing w:after="60"/>
      </w:pPr>
      <w:r>
        <w:t>The analysis consistently groups curves by parameter type; this is encouraging evidence that the features capture trajectory differences, but it is not evidence of diagnostic performance.</w:t>
      </w:r>
    </w:p>
    <w:p>
      <w:pPr>
        <w:pStyle w:val="ListBullet"/>
        <w:spacing w:after="60"/>
      </w:pPr>
      <w:r>
        <w:t>The journal manuscript was corrected to remain a pure structured narrative review and strengthened using quantitative pH, temperature and moisture interpretation.</w:t>
      </w:r>
    </w:p>
    <w:p>
      <w:pPr>
        <w:pStyle w:val="ListBullet"/>
        <w:spacing w:after="60"/>
      </w:pPr>
      <w:r>
        <w:t>The next priority is additional high-quality curve digitisation, followed by a clear separation between literature-derived method development and future hardware/clinical validation data.</w:t>
      </w:r>
    </w:p>
    <w:p>
      <w:pPr>
        <w:spacing w:before="100" w:after="80"/>
        <w:jc w:val="center"/>
      </w:pPr>
      <w:r>
        <w:drawing>
          <wp:inline xmlns:a="http://schemas.openxmlformats.org/drawingml/2006/main" xmlns:pic="http://schemas.openxmlformats.org/drawingml/2006/picture">
            <wp:extent cx="6080760" cy="3405020"/>
            <wp:docPr id="2" name="Picture 2"/>
            <wp:cNvGraphicFramePr>
              <a:graphicFrameLocks noChangeAspect="1"/>
            </wp:cNvGraphicFramePr>
            <a:graphic>
              <a:graphicData uri="http://schemas.openxmlformats.org/drawingml/2006/picture">
                <pic:pic>
                  <pic:nvPicPr>
                    <pic:cNvPr id="0" name="figure2_figure_triage.png"/>
                    <pic:cNvPicPr/>
                  </pic:nvPicPr>
                  <pic:blipFill>
                    <a:blip r:embed="rId12"/>
                    <a:stretch>
                      <a:fillRect/>
                    </a:stretch>
                  </pic:blipFill>
                  <pic:spPr>
                    <a:xfrm>
                      <a:off x="0" y="0"/>
                      <a:ext cx="6080760" cy="3405020"/>
                    </a:xfrm>
                    <a:prstGeom prst="rect"/>
                  </pic:spPr>
                </pic:pic>
              </a:graphicData>
            </a:graphic>
          </wp:inline>
        </w:drawing>
      </w:r>
    </w:p>
    <w:p>
      <w:pPr>
        <w:pStyle w:val="Caption"/>
        <w:jc w:val="center"/>
      </w:pPr>
      <w:r>
        <w:rPr>
          <w:b/>
        </w:rPr>
        <w:t>Figure 1. Systematic classification, priority assignment and quality grading of all 53 figures in the archive.</w:t>
      </w:r>
    </w:p>
    <w:p>
      <w:r>
        <w:br w:type="page"/>
      </w:r>
    </w:p>
    <w:p>
      <w:pPr>
        <w:pStyle w:val="Heading1"/>
        <w:keepNext/>
      </w:pPr>
      <w:r>
        <w:t>2. Archive inventory and evidence reviewed</w:t>
      </w:r>
    </w:p>
    <w:p>
      <w:r>
        <w:rPr>
          <w:b/>
        </w:rPr>
        <w:t xml:space="preserve">The uploaded ZIP contains 190 files with an uncompressed size of approximately 193.8 MB. </w:t>
      </w:r>
      <w:r>
        <w:t>It includes 89 PNG images, 22 CSV files, 16 Word documents, 13 PDFs, 10 nested ZIP packages, two Excel workbooks, Overleaf/LaTeX sources and supporting readme files. Several packages contain duplicated exports of the same dataset or manuscript version, which is useful for traceability but should later be simplified under version control.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44"/>
            <w:shd w:fill="123B5D"/>
            <w:vAlign w:val="center"/>
            <w:tcMar>
              <w:top w:w="90" w:type="dxa"/>
              <w:start w:w="100" w:type="dxa"/>
              <w:bottom w:w="90" w:type="dxa"/>
              <w:end w:w="100" w:type="dxa"/>
            </w:tcMar>
          </w:tcPr>
          <w:p>
            <w:pPr>
              <w:jc w:val="center"/>
            </w:pPr>
            <w:r>
              <w:rPr>
                <w:b/>
                <w:color w:val="FFFFFF"/>
                <w:sz w:val="17"/>
              </w:rPr>
              <w:t>Work package</w:t>
            </w:r>
          </w:p>
        </w:tc>
        <w:tc>
          <w:tcPr>
            <w:tcW w:type="dxa" w:w="3312"/>
            <w:shd w:fill="123B5D"/>
            <w:vAlign w:val="center"/>
            <w:tcMar>
              <w:top w:w="90" w:type="dxa"/>
              <w:start w:w="100" w:type="dxa"/>
              <w:bottom w:w="90" w:type="dxa"/>
              <w:end w:w="100" w:type="dxa"/>
            </w:tcMar>
          </w:tcPr>
          <w:p>
            <w:pPr>
              <w:jc w:val="center"/>
            </w:pPr>
            <w:r>
              <w:rPr>
                <w:b/>
                <w:color w:val="FFFFFF"/>
                <w:sz w:val="17"/>
              </w:rPr>
              <w:t>Main folder/package</w:t>
            </w:r>
          </w:p>
        </w:tc>
        <w:tc>
          <w:tcPr>
            <w:tcW w:type="dxa" w:w="4320"/>
            <w:shd w:fill="123B5D"/>
            <w:vAlign w:val="center"/>
            <w:tcMar>
              <w:top w:w="90" w:type="dxa"/>
              <w:start w:w="100" w:type="dxa"/>
              <w:bottom w:w="90" w:type="dxa"/>
              <w:end w:w="100" w:type="dxa"/>
            </w:tcMar>
          </w:tcPr>
          <w:p>
            <w:pPr>
              <w:jc w:val="center"/>
            </w:pPr>
            <w:r>
              <w:rPr>
                <w:b/>
                <w:color w:val="FFFFFF"/>
                <w:sz w:val="17"/>
              </w:rPr>
              <w:t>Evidence contained</w:t>
            </w:r>
          </w:p>
        </w:tc>
      </w:tr>
      <w:tr>
        <w:tc>
          <w:tcPr>
            <w:tcW w:type="dxa" w:w="1944"/>
            <w:vAlign w:val="center"/>
            <w:tcMar>
              <w:top w:w="90" w:type="dxa"/>
              <w:start w:w="100" w:type="dxa"/>
              <w:bottom w:w="90" w:type="dxa"/>
              <w:end w:w="100" w:type="dxa"/>
            </w:tcMar>
          </w:tcPr>
          <w:p>
            <w:pPr>
              <w:spacing w:after="0" w:line="240" w:lineRule="auto"/>
            </w:pPr>
            <w:r>
              <w:rPr>
                <w:color w:val="1E2B36"/>
                <w:sz w:val="17"/>
              </w:rPr>
              <w:t>Dataset preparation</w:t>
            </w:r>
          </w:p>
        </w:tc>
        <w:tc>
          <w:tcPr>
            <w:tcW w:type="dxa" w:w="3312"/>
            <w:vAlign w:val="center"/>
            <w:tcMar>
              <w:top w:w="90" w:type="dxa"/>
              <w:start w:w="100" w:type="dxa"/>
              <w:bottom w:w="90" w:type="dxa"/>
              <w:end w:w="100" w:type="dxa"/>
            </w:tcMar>
          </w:tcPr>
          <w:p>
            <w:pPr>
              <w:spacing w:after="0" w:line="240" w:lineRule="auto"/>
            </w:pPr>
            <w:r>
              <w:rPr>
                <w:color w:val="1E2B36"/>
                <w:sz w:val="17"/>
              </w:rPr>
              <w:t>DATASET_PREPARED_RENAMED and WoundDataset_Organized</w:t>
            </w:r>
          </w:p>
        </w:tc>
        <w:tc>
          <w:tcPr>
            <w:tcW w:type="dxa" w:w="4320"/>
            <w:vAlign w:val="center"/>
            <w:tcMar>
              <w:top w:w="90" w:type="dxa"/>
              <w:start w:w="100" w:type="dxa"/>
              <w:bottom w:w="90" w:type="dxa"/>
              <w:end w:w="100" w:type="dxa"/>
            </w:tcMar>
          </w:tcPr>
          <w:p>
            <w:pPr>
              <w:spacing w:after="0" w:line="240" w:lineRule="auto"/>
            </w:pPr>
            <w:r>
              <w:rPr>
                <w:color w:val="1E2B36"/>
                <w:sz w:val="17"/>
              </w:rPr>
              <w:t>Paper PDFs, renamed figures, master workbook, raw/cleaned/feature CSVs and instructions.</w:t>
            </w:r>
          </w:p>
        </w:tc>
      </w:tr>
      <w:tr>
        <w:tc>
          <w:tcPr>
            <w:tcW w:type="dxa" w:w="1944"/>
            <w:vAlign w:val="center"/>
            <w:tcMar>
              <w:top w:w="90" w:type="dxa"/>
              <w:start w:w="100" w:type="dxa"/>
              <w:bottom w:w="90" w:type="dxa"/>
              <w:end w:w="100" w:type="dxa"/>
            </w:tcMar>
            <w:shd w:fill="F7FAFC"/>
          </w:tcPr>
          <w:p>
            <w:pPr>
              <w:spacing w:after="0" w:line="240" w:lineRule="auto"/>
            </w:pPr>
            <w:r>
              <w:rPr>
                <w:color w:val="1E2B36"/>
                <w:sz w:val="17"/>
              </w:rPr>
              <w:t>ML pipeline</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FYP_Wound_ML_Analysis_Package</w:t>
            </w:r>
          </w:p>
        </w:tc>
        <w:tc>
          <w:tcPr>
            <w:tcW w:type="dxa" w:w="4320"/>
            <w:vAlign w:val="center"/>
            <w:tcMar>
              <w:top w:w="90" w:type="dxa"/>
              <w:start w:w="100" w:type="dxa"/>
              <w:bottom w:w="90" w:type="dxa"/>
              <w:end w:w="100" w:type="dxa"/>
            </w:tcMar>
            <w:shd w:fill="F7FAFC"/>
          </w:tcPr>
          <w:p>
            <w:pPr>
              <w:spacing w:after="0" w:line="240" w:lineRule="auto"/>
            </w:pPr>
            <w:r>
              <w:rPr>
                <w:color w:val="1E2B36"/>
                <w:sz w:val="17"/>
              </w:rPr>
              <w:t>Dataset summary, plots, embeddings, method report, model-planning files and reusable script.</w:t>
            </w:r>
          </w:p>
        </w:tc>
      </w:tr>
      <w:tr>
        <w:tc>
          <w:tcPr>
            <w:tcW w:type="dxa" w:w="1944"/>
            <w:vAlign w:val="center"/>
            <w:tcMar>
              <w:top w:w="90" w:type="dxa"/>
              <w:start w:w="100" w:type="dxa"/>
              <w:bottom w:w="90" w:type="dxa"/>
              <w:end w:w="100" w:type="dxa"/>
            </w:tcMar>
          </w:tcPr>
          <w:p>
            <w:pPr>
              <w:spacing w:after="0" w:line="240" w:lineRule="auto"/>
            </w:pPr>
            <w:r>
              <w:rPr>
                <w:color w:val="1E2B36"/>
                <w:sz w:val="17"/>
              </w:rPr>
              <w:t>Dimensionality reduction</w:t>
            </w:r>
          </w:p>
        </w:tc>
        <w:tc>
          <w:tcPr>
            <w:tcW w:type="dxa" w:w="3312"/>
            <w:vAlign w:val="center"/>
            <w:tcMar>
              <w:top w:w="90" w:type="dxa"/>
              <w:start w:w="100" w:type="dxa"/>
              <w:bottom w:w="90" w:type="dxa"/>
              <w:end w:w="100" w:type="dxa"/>
            </w:tcMar>
          </w:tcPr>
          <w:p>
            <w:pPr>
              <w:spacing w:after="0" w:line="240" w:lineRule="auto"/>
            </w:pPr>
            <w:r>
              <w:rPr>
                <w:color w:val="1E2B36"/>
                <w:sz w:val="17"/>
              </w:rPr>
              <w:t>Dimensionality_Reduction_PCA_tSNE_UMAP_MDS</w:t>
            </w:r>
          </w:p>
        </w:tc>
        <w:tc>
          <w:tcPr>
            <w:tcW w:type="dxa" w:w="4320"/>
            <w:vAlign w:val="center"/>
            <w:tcMar>
              <w:top w:w="90" w:type="dxa"/>
              <w:start w:w="100" w:type="dxa"/>
              <w:bottom w:w="90" w:type="dxa"/>
              <w:end w:w="100" w:type="dxa"/>
            </w:tcMar>
          </w:tcPr>
          <w:p>
            <w:pPr>
              <w:spacing w:after="0" w:line="240" w:lineRule="auto"/>
            </w:pPr>
            <w:r>
              <w:rPr>
                <w:color w:val="1E2B36"/>
                <w:sz w:val="17"/>
              </w:rPr>
              <w:t>PCA, t-SNE, MDS and UMAP-labelled fallback coordinates, plots and loadings.</w:t>
            </w:r>
          </w:p>
        </w:tc>
      </w:tr>
      <w:tr>
        <w:tc>
          <w:tcPr>
            <w:tcW w:type="dxa" w:w="1944"/>
            <w:vAlign w:val="center"/>
            <w:tcMar>
              <w:top w:w="90" w:type="dxa"/>
              <w:start w:w="100" w:type="dxa"/>
              <w:bottom w:w="90" w:type="dxa"/>
              <w:end w:w="100" w:type="dxa"/>
            </w:tcMar>
            <w:shd w:fill="F7FAFC"/>
          </w:tcPr>
          <w:p>
            <w:pPr>
              <w:spacing w:after="0" w:line="240" w:lineRule="auto"/>
            </w:pPr>
            <w:r>
              <w:rPr>
                <w:color w:val="1E2B36"/>
                <w:sz w:val="17"/>
              </w:rPr>
              <w:t>Latent-space presentation</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Latent_Space_Visualisation_PCA_tSNE_UMAP</w:t>
            </w:r>
          </w:p>
        </w:tc>
        <w:tc>
          <w:tcPr>
            <w:tcW w:type="dxa" w:w="4320"/>
            <w:vAlign w:val="center"/>
            <w:tcMar>
              <w:top w:w="90" w:type="dxa"/>
              <w:start w:w="100" w:type="dxa"/>
              <w:bottom w:w="90" w:type="dxa"/>
              <w:end w:w="100" w:type="dxa"/>
            </w:tcMar>
            <w:shd w:fill="F7FAFC"/>
          </w:tcPr>
          <w:p>
            <w:pPr>
              <w:spacing w:after="0" w:line="240" w:lineRule="auto"/>
            </w:pPr>
            <w:r>
              <w:rPr>
                <w:color w:val="1E2B36"/>
                <w:sz w:val="17"/>
              </w:rPr>
              <w:t>Static comparison, animation frames, GIF, HTML visualisation and combined coordinates.</w:t>
            </w:r>
          </w:p>
        </w:tc>
      </w:tr>
      <w:tr>
        <w:tc>
          <w:tcPr>
            <w:tcW w:type="dxa" w:w="1944"/>
            <w:vAlign w:val="center"/>
            <w:tcMar>
              <w:top w:w="90" w:type="dxa"/>
              <w:start w:w="100" w:type="dxa"/>
              <w:bottom w:w="90" w:type="dxa"/>
              <w:end w:w="100" w:type="dxa"/>
            </w:tcMar>
          </w:tcPr>
          <w:p>
            <w:pPr>
              <w:spacing w:after="0" w:line="240" w:lineRule="auto"/>
            </w:pPr>
            <w:r>
              <w:rPr>
                <w:color w:val="1E2B36"/>
                <w:sz w:val="17"/>
              </w:rPr>
              <w:t>Manifold CSV package</w:t>
            </w:r>
          </w:p>
        </w:tc>
        <w:tc>
          <w:tcPr>
            <w:tcW w:type="dxa" w:w="3312"/>
            <w:vAlign w:val="center"/>
            <w:tcMar>
              <w:top w:w="90" w:type="dxa"/>
              <w:start w:w="100" w:type="dxa"/>
              <w:bottom w:w="90" w:type="dxa"/>
              <w:end w:w="100" w:type="dxa"/>
            </w:tcMar>
          </w:tcPr>
          <w:p>
            <w:pPr>
              <w:spacing w:after="0" w:line="240" w:lineRule="auto"/>
            </w:pPr>
            <w:r>
              <w:rPr>
                <w:color w:val="1E2B36"/>
                <w:sz w:val="17"/>
              </w:rPr>
              <w:t>Manifold_Learning_CSV_Files</w:t>
            </w:r>
          </w:p>
        </w:tc>
        <w:tc>
          <w:tcPr>
            <w:tcW w:type="dxa" w:w="4320"/>
            <w:vAlign w:val="center"/>
            <w:tcMar>
              <w:top w:w="90" w:type="dxa"/>
              <w:start w:w="100" w:type="dxa"/>
              <w:bottom w:w="90" w:type="dxa"/>
              <w:end w:w="100" w:type="dxa"/>
            </w:tcMar>
          </w:tcPr>
          <w:p>
            <w:pPr>
              <w:spacing w:after="0" w:line="240" w:lineRule="auto"/>
            </w:pPr>
            <w:r>
              <w:rPr>
                <w:color w:val="1E2B36"/>
                <w:sz w:val="17"/>
              </w:rPr>
              <w:t>Scaled input, PCA/MDS/Isomap outputs and instructions for generating true UMAP later.</w:t>
            </w:r>
          </w:p>
        </w:tc>
      </w:tr>
      <w:tr>
        <w:tc>
          <w:tcPr>
            <w:tcW w:type="dxa" w:w="1944"/>
            <w:vAlign w:val="center"/>
            <w:tcMar>
              <w:top w:w="90" w:type="dxa"/>
              <w:start w:w="100" w:type="dxa"/>
              <w:bottom w:w="90" w:type="dxa"/>
              <w:end w:w="100" w:type="dxa"/>
            </w:tcMar>
            <w:shd w:fill="F7FAFC"/>
          </w:tcPr>
          <w:p>
            <w:pPr>
              <w:spacing w:after="0" w:line="240" w:lineRule="auto"/>
            </w:pPr>
            <w:r>
              <w:rPr>
                <w:color w:val="1E2B36"/>
                <w:sz w:val="17"/>
              </w:rPr>
              <w:t>CMJ manuscript V1</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CMJ_Submission_Package_With_Authors</w:t>
            </w:r>
          </w:p>
        </w:tc>
        <w:tc>
          <w:tcPr>
            <w:tcW w:type="dxa" w:w="4320"/>
            <w:vAlign w:val="center"/>
            <w:tcMar>
              <w:top w:w="90" w:type="dxa"/>
              <w:start w:w="100" w:type="dxa"/>
              <w:bottom w:w="90" w:type="dxa"/>
              <w:end w:w="100" w:type="dxa"/>
            </w:tcMar>
            <w:shd w:fill="F7FAFC"/>
          </w:tcPr>
          <w:p>
            <w:pPr>
              <w:spacing w:after="0" w:line="240" w:lineRule="auto"/>
            </w:pPr>
            <w:r>
              <w:rPr>
                <w:color w:val="1E2B36"/>
                <w:sz w:val="17"/>
              </w:rPr>
              <w:t>Initial author/anonymised Word package, title page, cover letter, checklist and figure.</w:t>
            </w:r>
          </w:p>
        </w:tc>
      </w:tr>
      <w:tr>
        <w:tc>
          <w:tcPr>
            <w:tcW w:type="dxa" w:w="1944"/>
            <w:vAlign w:val="center"/>
            <w:tcMar>
              <w:top w:w="90" w:type="dxa"/>
              <w:start w:w="100" w:type="dxa"/>
              <w:bottom w:w="90" w:type="dxa"/>
              <w:end w:w="100" w:type="dxa"/>
            </w:tcMar>
          </w:tcPr>
          <w:p>
            <w:pPr>
              <w:spacing w:after="0" w:line="240" w:lineRule="auto"/>
            </w:pPr>
            <w:r>
              <w:rPr>
                <w:color w:val="1E2B36"/>
                <w:sz w:val="17"/>
              </w:rPr>
              <w:t>CMJ manuscript V2</w:t>
            </w:r>
          </w:p>
        </w:tc>
        <w:tc>
          <w:tcPr>
            <w:tcW w:type="dxa" w:w="3312"/>
            <w:vAlign w:val="center"/>
            <w:tcMar>
              <w:top w:w="90" w:type="dxa"/>
              <w:start w:w="100" w:type="dxa"/>
              <w:bottom w:w="90" w:type="dxa"/>
              <w:end w:w="100" w:type="dxa"/>
            </w:tcMar>
          </w:tcPr>
          <w:p>
            <w:pPr>
              <w:spacing w:after="0" w:line="240" w:lineRule="auto"/>
            </w:pPr>
            <w:r>
              <w:rPr>
                <w:color w:val="1E2B36"/>
                <w:sz w:val="17"/>
              </w:rPr>
              <w:t>CMJ_Pure_Review_All_Files</w:t>
            </w:r>
          </w:p>
        </w:tc>
        <w:tc>
          <w:tcPr>
            <w:tcW w:type="dxa" w:w="4320"/>
            <w:vAlign w:val="center"/>
            <w:tcMar>
              <w:top w:w="90" w:type="dxa"/>
              <w:start w:w="100" w:type="dxa"/>
              <w:bottom w:w="90" w:type="dxa"/>
              <w:end w:w="100" w:type="dxa"/>
            </w:tcMar>
          </w:tcPr>
          <w:p>
            <w:pPr>
              <w:spacing w:after="0" w:line="240" w:lineRule="auto"/>
            </w:pPr>
            <w:r>
              <w:rPr>
                <w:color w:val="1E2B36"/>
                <w:sz w:val="17"/>
              </w:rPr>
              <w:t>Corrected pure structured narrative review in Word and Overleaf formats.</w:t>
            </w:r>
          </w:p>
        </w:tc>
      </w:tr>
      <w:tr>
        <w:tc>
          <w:tcPr>
            <w:tcW w:type="dxa" w:w="1944"/>
            <w:vAlign w:val="center"/>
            <w:tcMar>
              <w:top w:w="90" w:type="dxa"/>
              <w:start w:w="100" w:type="dxa"/>
              <w:bottom w:w="90" w:type="dxa"/>
              <w:end w:w="100" w:type="dxa"/>
            </w:tcMar>
            <w:shd w:fill="F7FAFC"/>
          </w:tcPr>
          <w:p>
            <w:pPr>
              <w:spacing w:after="0" w:line="240" w:lineRule="auto"/>
            </w:pPr>
            <w:r>
              <w:rPr>
                <w:color w:val="1E2B36"/>
                <w:sz w:val="17"/>
              </w:rPr>
              <w:t>CMJ manuscript V3</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CMJ_Advisor_Rebuilt_All_Files</w:t>
            </w:r>
          </w:p>
        </w:tc>
        <w:tc>
          <w:tcPr>
            <w:tcW w:type="dxa" w:w="4320"/>
            <w:vAlign w:val="center"/>
            <w:tcMar>
              <w:top w:w="90" w:type="dxa"/>
              <w:start w:w="100" w:type="dxa"/>
              <w:bottom w:w="90" w:type="dxa"/>
              <w:end w:w="100" w:type="dxa"/>
            </w:tcMar>
            <w:shd w:fill="F7FAFC"/>
          </w:tcPr>
          <w:p>
            <w:pPr>
              <w:spacing w:after="0" w:line="240" w:lineRule="auto"/>
            </w:pPr>
            <w:r>
              <w:rPr>
                <w:color w:val="1E2B36"/>
                <w:sz w:val="17"/>
              </w:rPr>
              <w:t>Adviser-rebuilt manuscript, 21-reference evidence set, response document, checklist and proof PDF.</w:t>
            </w:r>
          </w:p>
        </w:tc>
      </w:tr>
    </w:tbl>
    <w:p>
      <w:pPr>
        <w:spacing w:after="0"/>
      </w:pPr>
    </w:p>
    <w:p>
      <w:pPr>
        <w:pStyle w:val="Heading2"/>
        <w:keepNext/>
      </w:pPr>
      <w:r>
        <w:t>Evidence-management improvement achieved</w:t>
      </w:r>
    </w:p>
    <w:p>
      <w:pPr>
        <w:pStyle w:val="ListBullet"/>
        <w:spacing w:after="60"/>
      </w:pPr>
      <w:r>
        <w:t>Every paper was assigned a stable paper ID, such as Zhang_2022, Ryu_2024 and Liu_2024_DFU.</w:t>
      </w:r>
    </w:p>
    <w:p>
      <w:pPr>
        <w:pStyle w:val="ListBullet"/>
        <w:spacing w:after="60"/>
      </w:pPr>
      <w:r>
        <w:t>Every cropped figure was mapped from its original filename to a clear new filename that identifies paper, crop number, parameter and chart type.</w:t>
      </w:r>
    </w:p>
    <w:p>
      <w:pPr>
        <w:pStyle w:val="ListBullet"/>
        <w:spacing w:after="60"/>
      </w:pPr>
      <w:r>
        <w:t>Extraction suitability, priority, quality grade and recommended method were recorded before digitisation.</w:t>
      </w:r>
    </w:p>
    <w:p>
      <w:pPr>
        <w:pStyle w:val="ListBullet"/>
        <w:spacing w:after="60"/>
      </w:pPr>
      <w:r>
        <w:t>The dataset includes separate raw, cleaned and feature-level files so future edits can be traced and reproduced.</w:t>
      </w:r>
    </w:p>
    <w:p>
      <w:pPr>
        <w:pStyle w:val="ListBullet"/>
        <w:spacing w:after="60"/>
      </w:pPr>
      <w:r>
        <w:t>Readme files explicitly warn that the dataset is literature-derived and not collected patient data.</w:t>
      </w:r>
    </w:p>
    <w:p>
      <w:pPr>
        <w:pStyle w:val="Heading1"/>
        <w:keepNext/>
      </w:pPr>
      <w:r>
        <w:t>3. Literature-derived dataset construction</w:t>
      </w:r>
    </w:p>
    <w:p>
      <w:pPr>
        <w:pStyle w:val="Heading2"/>
        <w:keepNext/>
      </w:pPr>
      <w:r>
        <w:t>3.1 Paper indexing</w:t>
      </w:r>
    </w:p>
    <w:p>
      <w:r>
        <w:t>The paper index contains 11 studies selected around wound pH, temperature, wound area, healing, granulation, bacterial response and smart dressing technologies. The strongest numerical sources were prioritised, while review-only and material-characterisation papers were marked as lower priority.</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800"/>
            <w:shd w:fill="123B5D"/>
            <w:vAlign w:val="center"/>
            <w:tcMar>
              <w:top w:w="90" w:type="dxa"/>
              <w:start w:w="100" w:type="dxa"/>
              <w:bottom w:w="90" w:type="dxa"/>
              <w:end w:w="100" w:type="dxa"/>
            </w:tcMar>
          </w:tcPr>
          <w:p>
            <w:pPr>
              <w:jc w:val="center"/>
            </w:pPr>
            <w:r>
              <w:rPr>
                <w:b/>
                <w:color w:val="FFFFFF"/>
                <w:sz w:val="17"/>
              </w:rPr>
              <w:t>Source</w:t>
            </w:r>
          </w:p>
        </w:tc>
        <w:tc>
          <w:tcPr>
            <w:tcW w:type="dxa" w:w="3024"/>
            <w:shd w:fill="123B5D"/>
            <w:vAlign w:val="center"/>
            <w:tcMar>
              <w:top w:w="90" w:type="dxa"/>
              <w:start w:w="100" w:type="dxa"/>
              <w:bottom w:w="90" w:type="dxa"/>
              <w:end w:w="100" w:type="dxa"/>
            </w:tcMar>
          </w:tcPr>
          <w:p>
            <w:pPr>
              <w:jc w:val="center"/>
            </w:pPr>
            <w:r>
              <w:rPr>
                <w:b/>
                <w:color w:val="FFFFFF"/>
                <w:sz w:val="17"/>
              </w:rPr>
              <w:t>Main evidence</w:t>
            </w:r>
          </w:p>
        </w:tc>
        <w:tc>
          <w:tcPr>
            <w:tcW w:type="dxa" w:w="1224"/>
            <w:shd w:fill="123B5D"/>
            <w:vAlign w:val="center"/>
            <w:tcMar>
              <w:top w:w="90" w:type="dxa"/>
              <w:start w:w="100" w:type="dxa"/>
              <w:bottom w:w="90" w:type="dxa"/>
              <w:end w:w="100" w:type="dxa"/>
            </w:tcMar>
          </w:tcPr>
          <w:p>
            <w:pPr>
              <w:jc w:val="center"/>
            </w:pPr>
            <w:r>
              <w:rPr>
                <w:b/>
                <w:color w:val="FFFFFF"/>
                <w:sz w:val="17"/>
              </w:rPr>
              <w:t>Priority</w:t>
            </w:r>
          </w:p>
        </w:tc>
        <w:tc>
          <w:tcPr>
            <w:tcW w:type="dxa" w:w="3672"/>
            <w:shd w:fill="123B5D"/>
            <w:vAlign w:val="center"/>
            <w:tcMar>
              <w:top w:w="90" w:type="dxa"/>
              <w:start w:w="100" w:type="dxa"/>
              <w:bottom w:w="90" w:type="dxa"/>
              <w:end w:w="100" w:type="dxa"/>
            </w:tcMar>
          </w:tcPr>
          <w:p>
            <w:pPr>
              <w:jc w:val="center"/>
            </w:pPr>
            <w:r>
              <w:rPr>
                <w:b/>
                <w:color w:val="FFFFFF"/>
                <w:sz w:val="17"/>
              </w:rPr>
              <w:t>Use in Week 8</w:t>
            </w:r>
          </w:p>
        </w:tc>
      </w:tr>
      <w:tr>
        <w:tc>
          <w:tcPr>
            <w:tcW w:type="dxa" w:w="1800"/>
            <w:vAlign w:val="center"/>
            <w:tcMar>
              <w:top w:w="90" w:type="dxa"/>
              <w:start w:w="100" w:type="dxa"/>
              <w:bottom w:w="90" w:type="dxa"/>
              <w:end w:w="100" w:type="dxa"/>
            </w:tcMar>
          </w:tcPr>
          <w:p>
            <w:pPr>
              <w:spacing w:after="0" w:line="240" w:lineRule="auto"/>
            </w:pPr>
            <w:r>
              <w:rPr>
                <w:color w:val="1E2B36"/>
                <w:sz w:val="17"/>
              </w:rPr>
              <w:t>Zhang 2022</w:t>
            </w:r>
          </w:p>
        </w:tc>
        <w:tc>
          <w:tcPr>
            <w:tcW w:type="dxa" w:w="3024"/>
            <w:vAlign w:val="center"/>
            <w:tcMar>
              <w:top w:w="90" w:type="dxa"/>
              <w:start w:w="100" w:type="dxa"/>
              <w:bottom w:w="90" w:type="dxa"/>
              <w:end w:w="100" w:type="dxa"/>
            </w:tcMar>
          </w:tcPr>
          <w:p>
            <w:pPr>
              <w:spacing w:after="0" w:line="240" w:lineRule="auto"/>
            </w:pPr>
            <w:r>
              <w:rPr>
                <w:color w:val="1E2B36"/>
                <w:sz w:val="17"/>
              </w:rPr>
              <w:t>pH + temperature smart dressing</w:t>
            </w:r>
          </w:p>
        </w:tc>
        <w:tc>
          <w:tcPr>
            <w:tcW w:type="dxa" w:w="1224"/>
            <w:vAlign w:val="center"/>
            <w:tcMar>
              <w:top w:w="90" w:type="dxa"/>
              <w:start w:w="100" w:type="dxa"/>
              <w:bottom w:w="90" w:type="dxa"/>
              <w:end w:w="100" w:type="dxa"/>
            </w:tcMar>
          </w:tcPr>
          <w:p>
            <w:pPr>
              <w:spacing w:after="0" w:line="240" w:lineRule="auto"/>
            </w:pPr>
            <w:r>
              <w:rPr>
                <w:color w:val="1E2B36"/>
                <w:sz w:val="17"/>
              </w:rPr>
              <w:t>Priority 1</w:t>
            </w:r>
          </w:p>
        </w:tc>
        <w:tc>
          <w:tcPr>
            <w:tcW w:type="dxa" w:w="3672"/>
            <w:vAlign w:val="center"/>
            <w:tcMar>
              <w:top w:w="90" w:type="dxa"/>
              <w:start w:w="100" w:type="dxa"/>
              <w:bottom w:w="90" w:type="dxa"/>
              <w:end w:w="100" w:type="dxa"/>
            </w:tcMar>
          </w:tcPr>
          <w:p>
            <w:pPr>
              <w:spacing w:after="0" w:line="240" w:lineRule="auto"/>
            </w:pPr>
            <w:r>
              <w:rPr>
                <w:color w:val="1E2B36"/>
                <w:sz w:val="17"/>
              </w:rPr>
              <w:t>In-vivo infected/uninfected trajectories and pH-voltage calibration.</w:t>
            </w:r>
          </w:p>
        </w:tc>
      </w:tr>
      <w:tr>
        <w:tc>
          <w:tcPr>
            <w:tcW w:type="dxa" w:w="1800"/>
            <w:vAlign w:val="center"/>
            <w:tcMar>
              <w:top w:w="90" w:type="dxa"/>
              <w:start w:w="100" w:type="dxa"/>
              <w:bottom w:w="90" w:type="dxa"/>
              <w:end w:w="100" w:type="dxa"/>
            </w:tcMar>
            <w:shd w:fill="F7FAFC"/>
          </w:tcPr>
          <w:p>
            <w:pPr>
              <w:spacing w:after="0" w:line="240" w:lineRule="auto"/>
            </w:pPr>
            <w:r>
              <w:rPr>
                <w:color w:val="1E2B36"/>
                <w:sz w:val="17"/>
              </w:rPr>
              <w:t>Ryu 2024</w:t>
            </w:r>
          </w:p>
        </w:tc>
        <w:tc>
          <w:tcPr>
            <w:tcW w:type="dxa" w:w="3024"/>
            <w:vAlign w:val="center"/>
            <w:tcMar>
              <w:top w:w="90" w:type="dxa"/>
              <w:start w:w="100" w:type="dxa"/>
              <w:bottom w:w="90" w:type="dxa"/>
              <w:end w:w="100" w:type="dxa"/>
            </w:tcMar>
            <w:shd w:fill="F7FAFC"/>
          </w:tcPr>
          <w:p>
            <w:pPr>
              <w:spacing w:after="0" w:line="240" w:lineRule="auto"/>
            </w:pPr>
            <w:r>
              <w:rPr>
                <w:color w:val="1E2B36"/>
                <w:sz w:val="17"/>
              </w:rPr>
              <w:t>Wireless temperature/thermal transport</w:t>
            </w:r>
          </w:p>
        </w:tc>
        <w:tc>
          <w:tcPr>
            <w:tcW w:type="dxa" w:w="1224"/>
            <w:vAlign w:val="center"/>
            <w:tcMar>
              <w:top w:w="90" w:type="dxa"/>
              <w:start w:w="100" w:type="dxa"/>
              <w:bottom w:w="90" w:type="dxa"/>
              <w:end w:w="100" w:type="dxa"/>
            </w:tcMar>
            <w:shd w:fill="F7FAFC"/>
          </w:tcPr>
          <w:p>
            <w:pPr>
              <w:spacing w:after="0" w:line="240" w:lineRule="auto"/>
            </w:pPr>
            <w:r>
              <w:rPr>
                <w:color w:val="1E2B36"/>
                <w:sz w:val="17"/>
              </w:rPr>
              <w:t>Priority 1</w:t>
            </w:r>
          </w:p>
        </w:tc>
        <w:tc>
          <w:tcPr>
            <w:tcW w:type="dxa" w:w="3672"/>
            <w:vAlign w:val="center"/>
            <w:tcMar>
              <w:top w:w="90" w:type="dxa"/>
              <w:start w:w="100" w:type="dxa"/>
              <w:bottom w:w="90" w:type="dxa"/>
              <w:end w:w="100" w:type="dxa"/>
            </w:tcMar>
            <w:shd w:fill="F7FAFC"/>
          </w:tcPr>
          <w:p>
            <w:pPr>
              <w:spacing w:after="0" w:line="240" w:lineRule="auto"/>
            </w:pPr>
            <w:r>
              <w:rPr>
                <w:color w:val="1E2B36"/>
                <w:sz w:val="17"/>
              </w:rPr>
              <w:t>Multi-sensor temperature and thermal-response curves.</w:t>
            </w:r>
          </w:p>
        </w:tc>
      </w:tr>
      <w:tr>
        <w:tc>
          <w:tcPr>
            <w:tcW w:type="dxa" w:w="1800"/>
            <w:vAlign w:val="center"/>
            <w:tcMar>
              <w:top w:w="90" w:type="dxa"/>
              <w:start w:w="100" w:type="dxa"/>
              <w:bottom w:w="90" w:type="dxa"/>
              <w:end w:w="100" w:type="dxa"/>
            </w:tcMar>
          </w:tcPr>
          <w:p>
            <w:pPr>
              <w:spacing w:after="0" w:line="240" w:lineRule="auto"/>
            </w:pPr>
            <w:r>
              <w:rPr>
                <w:color w:val="1E2B36"/>
                <w:sz w:val="17"/>
              </w:rPr>
              <w:t>Zhang 2021</w:t>
            </w:r>
          </w:p>
        </w:tc>
        <w:tc>
          <w:tcPr>
            <w:tcW w:type="dxa" w:w="3024"/>
            <w:vAlign w:val="center"/>
            <w:tcMar>
              <w:top w:w="90" w:type="dxa"/>
              <w:start w:w="100" w:type="dxa"/>
              <w:bottom w:w="90" w:type="dxa"/>
              <w:end w:w="100" w:type="dxa"/>
            </w:tcMar>
          </w:tcPr>
          <w:p>
            <w:pPr>
              <w:spacing w:after="0" w:line="240" w:lineRule="auto"/>
            </w:pPr>
            <w:r>
              <w:rPr>
                <w:color w:val="1E2B36"/>
                <w:sz w:val="17"/>
              </w:rPr>
              <w:t>Flexible infection-prediction temperature platform</w:t>
            </w:r>
          </w:p>
        </w:tc>
        <w:tc>
          <w:tcPr>
            <w:tcW w:type="dxa" w:w="1224"/>
            <w:vAlign w:val="center"/>
            <w:tcMar>
              <w:top w:w="90" w:type="dxa"/>
              <w:start w:w="100" w:type="dxa"/>
              <w:bottom w:w="90" w:type="dxa"/>
              <w:end w:w="100" w:type="dxa"/>
            </w:tcMar>
          </w:tcPr>
          <w:p>
            <w:pPr>
              <w:spacing w:after="0" w:line="240" w:lineRule="auto"/>
            </w:pPr>
            <w:r>
              <w:rPr>
                <w:color w:val="1E2B36"/>
                <w:sz w:val="17"/>
              </w:rPr>
              <w:t>Priority 1</w:t>
            </w:r>
          </w:p>
        </w:tc>
        <w:tc>
          <w:tcPr>
            <w:tcW w:type="dxa" w:w="3672"/>
            <w:vAlign w:val="center"/>
            <w:tcMar>
              <w:top w:w="90" w:type="dxa"/>
              <w:start w:w="100" w:type="dxa"/>
              <w:bottom w:w="90" w:type="dxa"/>
              <w:end w:w="100" w:type="dxa"/>
            </w:tcMar>
          </w:tcPr>
          <w:p>
            <w:pPr>
              <w:spacing w:after="0" w:line="240" w:lineRule="auto"/>
            </w:pPr>
            <w:r>
              <w:rPr>
                <w:color w:val="1E2B36"/>
                <w:sz w:val="17"/>
              </w:rPr>
              <w:t>Temperature trajectories for different bacterial conditions.</w:t>
            </w:r>
          </w:p>
        </w:tc>
      </w:tr>
      <w:tr>
        <w:tc>
          <w:tcPr>
            <w:tcW w:type="dxa" w:w="1800"/>
            <w:vAlign w:val="center"/>
            <w:tcMar>
              <w:top w:w="90" w:type="dxa"/>
              <w:start w:w="100" w:type="dxa"/>
              <w:bottom w:w="90" w:type="dxa"/>
              <w:end w:w="100" w:type="dxa"/>
            </w:tcMar>
            <w:shd w:fill="F7FAFC"/>
          </w:tcPr>
          <w:p>
            <w:pPr>
              <w:spacing w:after="0" w:line="240" w:lineRule="auto"/>
            </w:pPr>
            <w:r>
              <w:rPr>
                <w:color w:val="1E2B36"/>
                <w:sz w:val="17"/>
              </w:rPr>
              <w:t>Liu 2024 DFU</w:t>
            </w:r>
          </w:p>
        </w:tc>
        <w:tc>
          <w:tcPr>
            <w:tcW w:type="dxa" w:w="3024"/>
            <w:vAlign w:val="center"/>
            <w:tcMar>
              <w:top w:w="90" w:type="dxa"/>
              <w:start w:w="100" w:type="dxa"/>
              <w:bottom w:w="90" w:type="dxa"/>
              <w:end w:w="100" w:type="dxa"/>
            </w:tcMar>
            <w:shd w:fill="F7FAFC"/>
          </w:tcPr>
          <w:p>
            <w:pPr>
              <w:spacing w:after="0" w:line="240" w:lineRule="auto"/>
            </w:pPr>
            <w:r>
              <w:rPr>
                <w:color w:val="1E2B36"/>
                <w:sz w:val="17"/>
              </w:rPr>
              <w:t>Clinical wound temperature monitoring</w:t>
            </w:r>
          </w:p>
        </w:tc>
        <w:tc>
          <w:tcPr>
            <w:tcW w:type="dxa" w:w="1224"/>
            <w:vAlign w:val="center"/>
            <w:tcMar>
              <w:top w:w="90" w:type="dxa"/>
              <w:start w:w="100" w:type="dxa"/>
              <w:bottom w:w="90" w:type="dxa"/>
              <w:end w:w="100" w:type="dxa"/>
            </w:tcMar>
            <w:shd w:fill="F7FAFC"/>
          </w:tcPr>
          <w:p>
            <w:pPr>
              <w:spacing w:after="0" w:line="240" w:lineRule="auto"/>
            </w:pPr>
            <w:r>
              <w:rPr>
                <w:color w:val="1E2B36"/>
                <w:sz w:val="17"/>
              </w:rPr>
              <w:t>Priority 1</w:t>
            </w:r>
          </w:p>
        </w:tc>
        <w:tc>
          <w:tcPr>
            <w:tcW w:type="dxa" w:w="3672"/>
            <w:vAlign w:val="center"/>
            <w:tcMar>
              <w:top w:w="90" w:type="dxa"/>
              <w:start w:w="100" w:type="dxa"/>
              <w:bottom w:w="90" w:type="dxa"/>
              <w:end w:w="100" w:type="dxa"/>
            </w:tcMar>
            <w:shd w:fill="F7FAFC"/>
          </w:tcPr>
          <w:p>
            <w:pPr>
              <w:spacing w:after="0" w:line="240" w:lineRule="auto"/>
            </w:pPr>
            <w:r>
              <w:rPr>
                <w:color w:val="1E2B36"/>
                <w:sz w:val="17"/>
              </w:rPr>
              <w:t>29-patient characteristics and temperature-versus-time tables.</w:t>
            </w:r>
          </w:p>
        </w:tc>
      </w:tr>
      <w:tr>
        <w:tc>
          <w:tcPr>
            <w:tcW w:type="dxa" w:w="1800"/>
            <w:vAlign w:val="center"/>
            <w:tcMar>
              <w:top w:w="90" w:type="dxa"/>
              <w:start w:w="100" w:type="dxa"/>
              <w:bottom w:w="90" w:type="dxa"/>
              <w:end w:w="100" w:type="dxa"/>
            </w:tcMar>
          </w:tcPr>
          <w:p>
            <w:pPr>
              <w:spacing w:after="0" w:line="240" w:lineRule="auto"/>
            </w:pPr>
            <w:r>
              <w:rPr>
                <w:color w:val="1E2B36"/>
                <w:sz w:val="17"/>
              </w:rPr>
              <w:t>Srivastava 2022</w:t>
            </w:r>
          </w:p>
        </w:tc>
        <w:tc>
          <w:tcPr>
            <w:tcW w:type="dxa" w:w="3024"/>
            <w:vAlign w:val="center"/>
            <w:tcMar>
              <w:top w:w="90" w:type="dxa"/>
              <w:start w:w="100" w:type="dxa"/>
              <w:bottom w:w="90" w:type="dxa"/>
              <w:end w:w="100" w:type="dxa"/>
            </w:tcMar>
          </w:tcPr>
          <w:p>
            <w:pPr>
              <w:spacing w:after="0" w:line="240" w:lineRule="auto"/>
            </w:pPr>
            <w:r>
              <w:rPr>
                <w:color w:val="1E2B36"/>
                <w:sz w:val="17"/>
              </w:rPr>
              <w:t>NPWT thermometry and healing</w:t>
            </w:r>
          </w:p>
        </w:tc>
        <w:tc>
          <w:tcPr>
            <w:tcW w:type="dxa" w:w="1224"/>
            <w:vAlign w:val="center"/>
            <w:tcMar>
              <w:top w:w="90" w:type="dxa"/>
              <w:start w:w="100" w:type="dxa"/>
              <w:bottom w:w="90" w:type="dxa"/>
              <w:end w:w="100" w:type="dxa"/>
            </w:tcMar>
          </w:tcPr>
          <w:p>
            <w:pPr>
              <w:spacing w:after="0" w:line="240" w:lineRule="auto"/>
            </w:pPr>
            <w:r>
              <w:rPr>
                <w:color w:val="1E2B36"/>
                <w:sz w:val="17"/>
              </w:rPr>
              <w:t>Priority 1</w:t>
            </w:r>
          </w:p>
        </w:tc>
        <w:tc>
          <w:tcPr>
            <w:tcW w:type="dxa" w:w="3672"/>
            <w:vAlign w:val="center"/>
            <w:tcMar>
              <w:top w:w="90" w:type="dxa"/>
              <w:start w:w="100" w:type="dxa"/>
              <w:bottom w:w="90" w:type="dxa"/>
              <w:end w:w="100" w:type="dxa"/>
            </w:tcMar>
          </w:tcPr>
          <w:p>
            <w:pPr>
              <w:spacing w:after="0" w:line="240" w:lineRule="auto"/>
            </w:pPr>
            <w:r>
              <w:rPr>
                <w:color w:val="1E2B36"/>
                <w:sz w:val="17"/>
              </w:rPr>
              <w:t>Wound size, healing percentage, granulation and temperature tables.</w:t>
            </w:r>
          </w:p>
        </w:tc>
      </w:tr>
      <w:tr>
        <w:tc>
          <w:tcPr>
            <w:tcW w:type="dxa" w:w="1800"/>
            <w:vAlign w:val="center"/>
            <w:tcMar>
              <w:top w:w="90" w:type="dxa"/>
              <w:start w:w="100" w:type="dxa"/>
              <w:bottom w:w="90" w:type="dxa"/>
              <w:end w:w="100" w:type="dxa"/>
            </w:tcMar>
            <w:shd w:fill="F7FAFC"/>
          </w:tcPr>
          <w:p>
            <w:pPr>
              <w:spacing w:after="0" w:line="240" w:lineRule="auto"/>
            </w:pPr>
            <w:r>
              <w:rPr>
                <w:color w:val="1E2B36"/>
                <w:sz w:val="17"/>
              </w:rPr>
              <w:t>McArdle 2023</w:t>
            </w:r>
          </w:p>
        </w:tc>
        <w:tc>
          <w:tcPr>
            <w:tcW w:type="dxa" w:w="3024"/>
            <w:vAlign w:val="center"/>
            <w:tcMar>
              <w:top w:w="90" w:type="dxa"/>
              <w:start w:w="100" w:type="dxa"/>
              <w:bottom w:w="90" w:type="dxa"/>
              <w:end w:w="100" w:type="dxa"/>
            </w:tcMar>
            <w:shd w:fill="F7FAFC"/>
          </w:tcPr>
          <w:p>
            <w:pPr>
              <w:spacing w:after="0" w:line="240" w:lineRule="auto"/>
            </w:pPr>
            <w:r>
              <w:rPr>
                <w:color w:val="1E2B36"/>
                <w:sz w:val="17"/>
              </w:rPr>
              <w:t>pH and bacterial survival</w:t>
            </w:r>
          </w:p>
        </w:tc>
        <w:tc>
          <w:tcPr>
            <w:tcW w:type="dxa" w:w="1224"/>
            <w:vAlign w:val="center"/>
            <w:tcMar>
              <w:top w:w="90" w:type="dxa"/>
              <w:start w:w="100" w:type="dxa"/>
              <w:bottom w:w="90" w:type="dxa"/>
              <w:end w:w="100" w:type="dxa"/>
            </w:tcMar>
            <w:shd w:fill="F7FAFC"/>
          </w:tcPr>
          <w:p>
            <w:pPr>
              <w:spacing w:after="0" w:line="240" w:lineRule="auto"/>
            </w:pPr>
            <w:r>
              <w:rPr>
                <w:color w:val="1E2B36"/>
                <w:sz w:val="17"/>
              </w:rPr>
              <w:t>Priority 1</w:t>
            </w:r>
          </w:p>
        </w:tc>
        <w:tc>
          <w:tcPr>
            <w:tcW w:type="dxa" w:w="3672"/>
            <w:vAlign w:val="center"/>
            <w:tcMar>
              <w:top w:w="90" w:type="dxa"/>
              <w:start w:w="100" w:type="dxa"/>
              <w:bottom w:w="90" w:type="dxa"/>
              <w:end w:w="100" w:type="dxa"/>
            </w:tcMar>
            <w:shd w:fill="F7FAFC"/>
          </w:tcPr>
          <w:p>
            <w:pPr>
              <w:spacing w:after="0" w:line="240" w:lineRule="auto"/>
            </w:pPr>
            <w:r>
              <w:rPr>
                <w:color w:val="1E2B36"/>
                <w:sz w:val="17"/>
              </w:rPr>
              <w:t>Printed pH-versus-bacterial-survival table.</w:t>
            </w:r>
          </w:p>
        </w:tc>
      </w:tr>
      <w:tr>
        <w:tc>
          <w:tcPr>
            <w:tcW w:type="dxa" w:w="1800"/>
            <w:vAlign w:val="center"/>
            <w:tcMar>
              <w:top w:w="90" w:type="dxa"/>
              <w:start w:w="100" w:type="dxa"/>
              <w:bottom w:w="90" w:type="dxa"/>
              <w:end w:w="100" w:type="dxa"/>
            </w:tcMar>
          </w:tcPr>
          <w:p>
            <w:pPr>
              <w:spacing w:after="0" w:line="240" w:lineRule="auto"/>
            </w:pPr>
            <w:r>
              <w:rPr>
                <w:color w:val="1E2B36"/>
                <w:sz w:val="17"/>
              </w:rPr>
              <w:t>Ju 2024 / AlGhezi 2022</w:t>
            </w:r>
          </w:p>
        </w:tc>
        <w:tc>
          <w:tcPr>
            <w:tcW w:type="dxa" w:w="3024"/>
            <w:vAlign w:val="center"/>
            <w:tcMar>
              <w:top w:w="90" w:type="dxa"/>
              <w:start w:w="100" w:type="dxa"/>
              <w:bottom w:w="90" w:type="dxa"/>
              <w:end w:w="100" w:type="dxa"/>
            </w:tcMar>
          </w:tcPr>
          <w:p>
            <w:pPr>
              <w:spacing w:after="0" w:line="240" w:lineRule="auto"/>
            </w:pPr>
            <w:r>
              <w:rPr>
                <w:color w:val="1E2B36"/>
                <w:sz w:val="17"/>
              </w:rPr>
              <w:t>Dressing-related wound healing</w:t>
            </w:r>
          </w:p>
        </w:tc>
        <w:tc>
          <w:tcPr>
            <w:tcW w:type="dxa" w:w="1224"/>
            <w:vAlign w:val="center"/>
            <w:tcMar>
              <w:top w:w="90" w:type="dxa"/>
              <w:start w:w="100" w:type="dxa"/>
              <w:bottom w:w="90" w:type="dxa"/>
              <w:end w:w="100" w:type="dxa"/>
            </w:tcMar>
          </w:tcPr>
          <w:p>
            <w:pPr>
              <w:spacing w:after="0" w:line="240" w:lineRule="auto"/>
            </w:pPr>
            <w:r>
              <w:rPr>
                <w:color w:val="1E2B36"/>
                <w:sz w:val="17"/>
              </w:rPr>
              <w:t>Priority 2</w:t>
            </w:r>
          </w:p>
        </w:tc>
        <w:tc>
          <w:tcPr>
            <w:tcW w:type="dxa" w:w="3672"/>
            <w:vAlign w:val="center"/>
            <w:tcMar>
              <w:top w:w="90" w:type="dxa"/>
              <w:start w:w="100" w:type="dxa"/>
              <w:bottom w:w="90" w:type="dxa"/>
              <w:end w:w="100" w:type="dxa"/>
            </w:tcMar>
          </w:tcPr>
          <w:p>
            <w:pPr>
              <w:spacing w:after="0" w:line="240" w:lineRule="auto"/>
            </w:pPr>
            <w:r>
              <w:rPr>
                <w:color w:val="1E2B36"/>
                <w:sz w:val="17"/>
              </w:rPr>
              <w:t>Useful wound-healing/wound-area curves; much material data excluded.</w:t>
            </w:r>
          </w:p>
        </w:tc>
      </w:tr>
      <w:tr>
        <w:tc>
          <w:tcPr>
            <w:tcW w:type="dxa" w:w="1800"/>
            <w:vAlign w:val="center"/>
            <w:tcMar>
              <w:top w:w="90" w:type="dxa"/>
              <w:start w:w="100" w:type="dxa"/>
              <w:bottom w:w="90" w:type="dxa"/>
              <w:end w:w="100" w:type="dxa"/>
            </w:tcMar>
            <w:shd w:fill="F7FAFC"/>
          </w:tcPr>
          <w:p>
            <w:pPr>
              <w:spacing w:after="0" w:line="240" w:lineRule="auto"/>
            </w:pPr>
            <w:r>
              <w:rPr>
                <w:color w:val="1E2B36"/>
                <w:sz w:val="17"/>
              </w:rPr>
              <w:t>Chen 2023 / Khan 2004</w:t>
            </w:r>
          </w:p>
        </w:tc>
        <w:tc>
          <w:tcPr>
            <w:tcW w:type="dxa" w:w="3024"/>
            <w:vAlign w:val="center"/>
            <w:tcMar>
              <w:top w:w="90" w:type="dxa"/>
              <w:start w:w="100" w:type="dxa"/>
              <w:bottom w:w="90" w:type="dxa"/>
              <w:end w:w="100" w:type="dxa"/>
            </w:tcMar>
            <w:shd w:fill="F7FAFC"/>
          </w:tcPr>
          <w:p>
            <w:pPr>
              <w:spacing w:after="0" w:line="240" w:lineRule="auto"/>
            </w:pPr>
            <w:r>
              <w:rPr>
                <w:color w:val="1E2B36"/>
                <w:sz w:val="17"/>
              </w:rPr>
              <w:t>Review or off-target perfusion evidence</w:t>
            </w:r>
          </w:p>
        </w:tc>
        <w:tc>
          <w:tcPr>
            <w:tcW w:type="dxa" w:w="1224"/>
            <w:vAlign w:val="center"/>
            <w:tcMar>
              <w:top w:w="90" w:type="dxa"/>
              <w:start w:w="100" w:type="dxa"/>
              <w:bottom w:w="90" w:type="dxa"/>
              <w:end w:w="100" w:type="dxa"/>
            </w:tcMar>
            <w:shd w:fill="F7FAFC"/>
          </w:tcPr>
          <w:p>
            <w:pPr>
              <w:spacing w:after="0" w:line="240" w:lineRule="auto"/>
            </w:pPr>
            <w:r>
              <w:rPr>
                <w:color w:val="1E2B36"/>
                <w:sz w:val="17"/>
              </w:rPr>
              <w:t>Priority 3</w:t>
            </w:r>
          </w:p>
        </w:tc>
        <w:tc>
          <w:tcPr>
            <w:tcW w:type="dxa" w:w="3672"/>
            <w:vAlign w:val="center"/>
            <w:tcMar>
              <w:top w:w="90" w:type="dxa"/>
              <w:start w:w="100" w:type="dxa"/>
              <w:bottom w:w="90" w:type="dxa"/>
              <w:end w:w="100" w:type="dxa"/>
            </w:tcMar>
            <w:shd w:fill="F7FAFC"/>
          </w:tcPr>
          <w:p>
            <w:pPr>
              <w:spacing w:after="0" w:line="240" w:lineRule="auto"/>
            </w:pPr>
            <w:r>
              <w:rPr>
                <w:color w:val="1E2B36"/>
                <w:sz w:val="17"/>
              </w:rPr>
              <w:t>Retained for context; largely excluded from the core numerical dataset.</w:t>
            </w:r>
          </w:p>
        </w:tc>
      </w:tr>
    </w:tbl>
    <w:p>
      <w:pPr>
        <w:spacing w:after="0"/>
      </w:pPr>
    </w:p>
    <w:p>
      <w:pPr>
        <w:pStyle w:val="Heading2"/>
        <w:keepNext/>
      </w:pPr>
      <w:r>
        <w:t>3.2 Figure triage and digitisation plan</w:t>
      </w:r>
    </w:p>
    <w:p>
      <w:r>
        <w:t>The 53 figures were not treated equally. The classification step prevents time being spent on images that cannot produce valid time-series or calibration data. The final triage was:</w:t>
      </w:r>
    </w:p>
    <w:p>
      <w:pPr>
        <w:pStyle w:val="ListBullet"/>
        <w:spacing w:after="60"/>
      </w:pPr>
      <w:r>
        <w:t>25 figures marked YES for extraction.</w:t>
      </w:r>
    </w:p>
    <w:p>
      <w:pPr>
        <w:pStyle w:val="ListBullet"/>
        <w:spacing w:after="60"/>
      </w:pPr>
      <w:r>
        <w:t>7 figures marked OPTIONAL because they are useful but not central to pH, temperature or healing trajectories.</w:t>
      </w:r>
    </w:p>
    <w:p>
      <w:pPr>
        <w:pStyle w:val="ListBullet"/>
        <w:spacing w:after="60"/>
      </w:pPr>
      <w:r>
        <w:t>21 figures marked NO because they are SEM, FTIR, XRD, histology, photographs, schematics or otherwise unsuitable for numerical curve extraction.</w:t>
      </w:r>
    </w:p>
    <w:p>
      <w:pPr>
        <w:pStyle w:val="ListBullet"/>
        <w:spacing w:after="60"/>
      </w:pPr>
      <w:r>
        <w:t>20 Priority-1 figures, 9 Priority-2 figures and 24 Priority-3 figures.</w:t>
      </w:r>
    </w:p>
    <w:p>
      <w:pPr>
        <w:pStyle w:val="ListBullet"/>
        <w:spacing w:after="60"/>
      </w:pPr>
      <w:r>
        <w:t>Quality grades: 8 A-grade printed tables; 16 B-grade line graphs; 6 C-grade bar charts; the remaining figures were mixed, colour-map or unsuitable grades.</w:t>
      </w:r>
    </w:p>
    <w:tbl>
      <w:tblPr>
        <w:tblW w:type="auto" w:w="0"/>
        <w:jc w:val="center"/>
        <w:tblLayout w:type="autofit"/>
        <w:tblLook w:firstColumn="1" w:firstRow="1" w:lastColumn="0" w:lastRow="0" w:noHBand="0" w:noVBand="1" w:val="04A0"/>
      </w:tblPr>
      <w:tblGrid>
        <w:gridCol w:w="9866"/>
      </w:tblGrid>
      <w:tr>
        <w:tc>
          <w:tcPr>
            <w:tcW w:type="dxa" w:w="9866"/>
            <w:shd w:fill="F3F7FA"/>
            <w:tcMar>
              <w:top w:w="130" w:type="dxa"/>
              <w:start w:w="150" w:type="dxa"/>
              <w:bottom w:w="130" w:type="dxa"/>
              <w:end w:w="150" w:type="dxa"/>
            </w:tcMar>
            <w:tcBorders>
              <w:top w:val="single" w:sz="12" w:color="2E6F9E"/>
              <w:left w:val="single" w:sz="12" w:color="2E6F9E"/>
              <w:bottom w:val="single" w:sz="12" w:color="2E6F9E"/>
              <w:right w:val="single" w:sz="12" w:color="2E6F9E"/>
            </w:tcBorders>
          </w:tcPr>
          <w:p>
            <w:pPr>
              <w:spacing w:after="60"/>
            </w:pPr>
            <w:r>
              <w:rPr>
                <w:b/>
                <w:color w:val="2E6F9E"/>
                <w:sz w:val="22"/>
              </w:rPr>
              <w:t>Priority digitisation order</w:t>
            </w:r>
          </w:p>
          <w:p>
            <w:pPr>
              <w:spacing w:after="0" w:line="259" w:lineRule="auto"/>
            </w:pPr>
            <w:r>
              <w:t>The archive recommends starting with Zhang 2022 pH/temperature infected-versus-uninfected trajectories, Zhang 2022 pH-voltage calibration, Zhang 2021 infection-temperature curves, Ryu 2024 diabetic temperature curves, and the AlGhezi/Ju wound-healing curves.</w:t>
            </w:r>
          </w:p>
        </w:tc>
      </w:tr>
    </w:tbl>
    <w:p>
      <w:pPr>
        <w:pStyle w:val="Heading2"/>
        <w:keepNext/>
      </w:pPr>
      <w:r>
        <w:t>3.3 Data files created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80"/>
            <w:shd w:fill="123B5D"/>
            <w:vAlign w:val="center"/>
            <w:tcMar>
              <w:top w:w="90" w:type="dxa"/>
              <w:start w:w="100" w:type="dxa"/>
              <w:bottom w:w="90" w:type="dxa"/>
              <w:end w:w="100" w:type="dxa"/>
            </w:tcMar>
          </w:tcPr>
          <w:p>
            <w:pPr>
              <w:jc w:val="center"/>
            </w:pPr>
            <w:r>
              <w:rPr>
                <w:b/>
                <w:color w:val="FFFFFF"/>
                <w:sz w:val="18"/>
              </w:rPr>
              <w:t>File</w:t>
            </w:r>
          </w:p>
        </w:tc>
        <w:tc>
          <w:tcPr>
            <w:tcW w:type="dxa" w:w="1800"/>
            <w:shd w:fill="123B5D"/>
            <w:vAlign w:val="center"/>
            <w:tcMar>
              <w:top w:w="90" w:type="dxa"/>
              <w:start w:w="100" w:type="dxa"/>
              <w:bottom w:w="90" w:type="dxa"/>
              <w:end w:w="100" w:type="dxa"/>
            </w:tcMar>
          </w:tcPr>
          <w:p>
            <w:pPr>
              <w:jc w:val="center"/>
            </w:pPr>
            <w:r>
              <w:rPr>
                <w:b/>
                <w:color w:val="FFFFFF"/>
                <w:sz w:val="18"/>
              </w:rPr>
              <w:t>Current size</w:t>
            </w:r>
          </w:p>
        </w:tc>
        <w:tc>
          <w:tcPr>
            <w:tcW w:type="dxa" w:w="4896"/>
            <w:shd w:fill="123B5D"/>
            <w:vAlign w:val="center"/>
            <w:tcMar>
              <w:top w:w="90" w:type="dxa"/>
              <w:start w:w="100" w:type="dxa"/>
              <w:bottom w:w="90" w:type="dxa"/>
              <w:end w:w="100" w:type="dxa"/>
            </w:tcMar>
          </w:tcPr>
          <w:p>
            <w:pPr>
              <w:jc w:val="center"/>
            </w:pPr>
            <w:r>
              <w:rPr>
                <w:b/>
                <w:color w:val="FFFFFF"/>
                <w:sz w:val="18"/>
              </w:rPr>
              <w:t>Purpose</w:t>
            </w:r>
          </w:p>
        </w:tc>
      </w:tr>
      <w:tr>
        <w:tc>
          <w:tcPr>
            <w:tcW w:type="dxa" w:w="2880"/>
            <w:vAlign w:val="center"/>
            <w:tcMar>
              <w:top w:w="90" w:type="dxa"/>
              <w:start w:w="100" w:type="dxa"/>
              <w:bottom w:w="90" w:type="dxa"/>
              <w:end w:w="100" w:type="dxa"/>
            </w:tcMar>
          </w:tcPr>
          <w:p>
            <w:pPr>
              <w:spacing w:after="0" w:line="240" w:lineRule="auto"/>
            </w:pPr>
            <w:r>
              <w:rPr>
                <w:color w:val="1E2B36"/>
                <w:sz w:val="18"/>
              </w:rPr>
              <w:t>01_Paper_Index.csv</w:t>
            </w:r>
          </w:p>
        </w:tc>
        <w:tc>
          <w:tcPr>
            <w:tcW w:type="dxa" w:w="1800"/>
            <w:vAlign w:val="center"/>
            <w:tcMar>
              <w:top w:w="90" w:type="dxa"/>
              <w:start w:w="100" w:type="dxa"/>
              <w:bottom w:w="90" w:type="dxa"/>
              <w:end w:w="100" w:type="dxa"/>
            </w:tcMar>
          </w:tcPr>
          <w:p>
            <w:pPr>
              <w:spacing w:after="0" w:line="240" w:lineRule="auto"/>
            </w:pPr>
            <w:r>
              <w:rPr>
                <w:color w:val="1E2B36"/>
                <w:sz w:val="18"/>
              </w:rPr>
              <w:t>11 rows</w:t>
            </w:r>
          </w:p>
        </w:tc>
        <w:tc>
          <w:tcPr>
            <w:tcW w:type="dxa" w:w="4896"/>
            <w:vAlign w:val="center"/>
            <w:tcMar>
              <w:top w:w="90" w:type="dxa"/>
              <w:start w:w="100" w:type="dxa"/>
              <w:bottom w:w="90" w:type="dxa"/>
              <w:end w:w="100" w:type="dxa"/>
            </w:tcMar>
          </w:tcPr>
          <w:p>
            <w:pPr>
              <w:spacing w:after="0" w:line="240" w:lineRule="auto"/>
            </w:pPr>
            <w:r>
              <w:rPr>
                <w:color w:val="1E2B36"/>
                <w:sz w:val="18"/>
              </w:rPr>
              <w:t>Study-level metadata and scientific relevance.</w:t>
            </w:r>
          </w:p>
        </w:tc>
      </w:tr>
      <w:tr>
        <w:tc>
          <w:tcPr>
            <w:tcW w:type="dxa" w:w="2880"/>
            <w:vAlign w:val="center"/>
            <w:tcMar>
              <w:top w:w="90" w:type="dxa"/>
              <w:start w:w="100" w:type="dxa"/>
              <w:bottom w:w="90" w:type="dxa"/>
              <w:end w:w="100" w:type="dxa"/>
            </w:tcMar>
            <w:shd w:fill="F7FAFC"/>
          </w:tcPr>
          <w:p>
            <w:pPr>
              <w:spacing w:after="0" w:line="240" w:lineRule="auto"/>
            </w:pPr>
            <w:r>
              <w:rPr>
                <w:color w:val="1E2B36"/>
                <w:sz w:val="18"/>
              </w:rPr>
              <w:t>02_Figure_List.csv</w:t>
            </w:r>
          </w:p>
        </w:tc>
        <w:tc>
          <w:tcPr>
            <w:tcW w:type="dxa" w:w="1800"/>
            <w:vAlign w:val="center"/>
            <w:tcMar>
              <w:top w:w="90" w:type="dxa"/>
              <w:start w:w="100" w:type="dxa"/>
              <w:bottom w:w="90" w:type="dxa"/>
              <w:end w:w="100" w:type="dxa"/>
            </w:tcMar>
            <w:shd w:fill="F7FAFC"/>
          </w:tcPr>
          <w:p>
            <w:pPr>
              <w:spacing w:after="0" w:line="240" w:lineRule="auto"/>
            </w:pPr>
            <w:r>
              <w:rPr>
                <w:color w:val="1E2B36"/>
                <w:sz w:val="18"/>
              </w:rPr>
              <w:t>53 rows</w:t>
            </w:r>
          </w:p>
        </w:tc>
        <w:tc>
          <w:tcPr>
            <w:tcW w:type="dxa" w:w="4896"/>
            <w:vAlign w:val="center"/>
            <w:tcMar>
              <w:top w:w="90" w:type="dxa"/>
              <w:start w:w="100" w:type="dxa"/>
              <w:bottom w:w="90" w:type="dxa"/>
              <w:end w:w="100" w:type="dxa"/>
            </w:tcMar>
            <w:shd w:fill="F7FAFC"/>
          </w:tcPr>
          <w:p>
            <w:pPr>
              <w:spacing w:after="0" w:line="240" w:lineRule="auto"/>
            </w:pPr>
            <w:r>
              <w:rPr>
                <w:color w:val="1E2B36"/>
                <w:sz w:val="18"/>
              </w:rPr>
              <w:t>Figure type, axes, parameter, condition, extraction decision, priority and quality.</w:t>
            </w:r>
          </w:p>
        </w:tc>
      </w:tr>
      <w:tr>
        <w:tc>
          <w:tcPr>
            <w:tcW w:type="dxa" w:w="2880"/>
            <w:vAlign w:val="center"/>
            <w:tcMar>
              <w:top w:w="90" w:type="dxa"/>
              <w:start w:w="100" w:type="dxa"/>
              <w:bottom w:w="90" w:type="dxa"/>
              <w:end w:w="100" w:type="dxa"/>
            </w:tcMar>
          </w:tcPr>
          <w:p>
            <w:pPr>
              <w:spacing w:after="0" w:line="240" w:lineRule="auto"/>
            </w:pPr>
            <w:r>
              <w:rPr>
                <w:color w:val="1E2B36"/>
                <w:sz w:val="18"/>
              </w:rPr>
              <w:t>03_Rename_Map.csv</w:t>
            </w:r>
          </w:p>
        </w:tc>
        <w:tc>
          <w:tcPr>
            <w:tcW w:type="dxa" w:w="1800"/>
            <w:vAlign w:val="center"/>
            <w:tcMar>
              <w:top w:w="90" w:type="dxa"/>
              <w:start w:w="100" w:type="dxa"/>
              <w:bottom w:w="90" w:type="dxa"/>
              <w:end w:w="100" w:type="dxa"/>
            </w:tcMar>
          </w:tcPr>
          <w:p>
            <w:pPr>
              <w:spacing w:after="0" w:line="240" w:lineRule="auto"/>
            </w:pPr>
            <w:r>
              <w:rPr>
                <w:color w:val="1E2B36"/>
                <w:sz w:val="18"/>
              </w:rPr>
              <w:t>53 rows</w:t>
            </w:r>
          </w:p>
        </w:tc>
        <w:tc>
          <w:tcPr>
            <w:tcW w:type="dxa" w:w="4896"/>
            <w:vAlign w:val="center"/>
            <w:tcMar>
              <w:top w:w="90" w:type="dxa"/>
              <w:start w:w="100" w:type="dxa"/>
              <w:bottom w:w="90" w:type="dxa"/>
              <w:end w:w="100" w:type="dxa"/>
            </w:tcMar>
          </w:tcPr>
          <w:p>
            <w:pPr>
              <w:spacing w:after="0" w:line="240" w:lineRule="auto"/>
            </w:pPr>
            <w:r>
              <w:rPr>
                <w:color w:val="1E2B36"/>
                <w:sz w:val="18"/>
              </w:rPr>
              <w:t>Traceable mapping from original images to standardised names.</w:t>
            </w:r>
          </w:p>
        </w:tc>
      </w:tr>
      <w:tr>
        <w:tc>
          <w:tcPr>
            <w:tcW w:type="dxa" w:w="2880"/>
            <w:vAlign w:val="center"/>
            <w:tcMar>
              <w:top w:w="90" w:type="dxa"/>
              <w:start w:w="100" w:type="dxa"/>
              <w:bottom w:w="90" w:type="dxa"/>
              <w:end w:w="100" w:type="dxa"/>
            </w:tcMar>
            <w:shd w:fill="F7FAFC"/>
          </w:tcPr>
          <w:p>
            <w:pPr>
              <w:spacing w:after="0" w:line="240" w:lineRule="auto"/>
            </w:pPr>
            <w:r>
              <w:rPr>
                <w:color w:val="1E2B36"/>
                <w:sz w:val="18"/>
              </w:rPr>
              <w:t>04_Raw_Digitized_Data.csv</w:t>
            </w:r>
          </w:p>
        </w:tc>
        <w:tc>
          <w:tcPr>
            <w:tcW w:type="dxa" w:w="1800"/>
            <w:vAlign w:val="center"/>
            <w:tcMar>
              <w:top w:w="90" w:type="dxa"/>
              <w:start w:w="100" w:type="dxa"/>
              <w:bottom w:w="90" w:type="dxa"/>
              <w:end w:w="100" w:type="dxa"/>
            </w:tcMar>
            <w:shd w:fill="F7FAFC"/>
          </w:tcPr>
          <w:p>
            <w:pPr>
              <w:spacing w:after="0" w:line="240" w:lineRule="auto"/>
            </w:pPr>
            <w:r>
              <w:rPr>
                <w:color w:val="1E2B36"/>
                <w:sz w:val="18"/>
              </w:rPr>
              <w:t>56 rows</w:t>
            </w:r>
          </w:p>
        </w:tc>
        <w:tc>
          <w:tcPr>
            <w:tcW w:type="dxa" w:w="4896"/>
            <w:vAlign w:val="center"/>
            <w:tcMar>
              <w:top w:w="90" w:type="dxa"/>
              <w:start w:w="100" w:type="dxa"/>
              <w:bottom w:w="90" w:type="dxa"/>
              <w:end w:w="100" w:type="dxa"/>
            </w:tcMar>
            <w:shd w:fill="F7FAFC"/>
          </w:tcPr>
          <w:p>
            <w:pPr>
              <w:spacing w:after="0" w:line="240" w:lineRule="auto"/>
            </w:pPr>
            <w:r>
              <w:rPr>
                <w:color w:val="1E2B36"/>
                <w:sz w:val="18"/>
              </w:rPr>
              <w:t>Directly transcribed or digitised literature points.</w:t>
            </w:r>
          </w:p>
        </w:tc>
      </w:tr>
      <w:tr>
        <w:tc>
          <w:tcPr>
            <w:tcW w:type="dxa" w:w="2880"/>
            <w:vAlign w:val="center"/>
            <w:tcMar>
              <w:top w:w="90" w:type="dxa"/>
              <w:start w:w="100" w:type="dxa"/>
              <w:bottom w:w="90" w:type="dxa"/>
              <w:end w:w="100" w:type="dxa"/>
            </w:tcMar>
          </w:tcPr>
          <w:p>
            <w:pPr>
              <w:spacing w:after="0" w:line="240" w:lineRule="auto"/>
            </w:pPr>
            <w:r>
              <w:rPr>
                <w:color w:val="1E2B36"/>
                <w:sz w:val="18"/>
              </w:rPr>
              <w:t>05_Cleaned_TimeSeries.csv</w:t>
            </w:r>
          </w:p>
        </w:tc>
        <w:tc>
          <w:tcPr>
            <w:tcW w:type="dxa" w:w="1800"/>
            <w:vAlign w:val="center"/>
            <w:tcMar>
              <w:top w:w="90" w:type="dxa"/>
              <w:start w:w="100" w:type="dxa"/>
              <w:bottom w:w="90" w:type="dxa"/>
              <w:end w:w="100" w:type="dxa"/>
            </w:tcMar>
          </w:tcPr>
          <w:p>
            <w:pPr>
              <w:spacing w:after="0" w:line="240" w:lineRule="auto"/>
            </w:pPr>
            <w:r>
              <w:rPr>
                <w:color w:val="1E2B36"/>
                <w:sz w:val="18"/>
              </w:rPr>
              <w:t>38 rows</w:t>
            </w:r>
          </w:p>
        </w:tc>
        <w:tc>
          <w:tcPr>
            <w:tcW w:type="dxa" w:w="4896"/>
            <w:vAlign w:val="center"/>
            <w:tcMar>
              <w:top w:w="90" w:type="dxa"/>
              <w:start w:w="100" w:type="dxa"/>
              <w:bottom w:w="90" w:type="dxa"/>
              <w:end w:w="100" w:type="dxa"/>
            </w:tcMar>
          </w:tcPr>
          <w:p>
            <w:pPr>
              <w:spacing w:after="0" w:line="240" w:lineRule="auto"/>
            </w:pPr>
            <w:r>
              <w:rPr>
                <w:color w:val="1E2B36"/>
                <w:sz w:val="18"/>
              </w:rPr>
              <w:t>Tidy one-row-per-point curves with sample IDs S001–S008.</w:t>
            </w:r>
          </w:p>
        </w:tc>
      </w:tr>
      <w:tr>
        <w:tc>
          <w:tcPr>
            <w:tcW w:type="dxa" w:w="2880"/>
            <w:vAlign w:val="center"/>
            <w:tcMar>
              <w:top w:w="90" w:type="dxa"/>
              <w:start w:w="100" w:type="dxa"/>
              <w:bottom w:w="90" w:type="dxa"/>
              <w:end w:w="100" w:type="dxa"/>
            </w:tcMar>
            <w:shd w:fill="F7FAFC"/>
          </w:tcPr>
          <w:p>
            <w:pPr>
              <w:spacing w:after="0" w:line="240" w:lineRule="auto"/>
            </w:pPr>
            <w:r>
              <w:rPr>
                <w:color w:val="1E2B36"/>
                <w:sz w:val="18"/>
              </w:rPr>
              <w:t>06_Feature_Table.csv</w:t>
            </w:r>
          </w:p>
        </w:tc>
        <w:tc>
          <w:tcPr>
            <w:tcW w:type="dxa" w:w="1800"/>
            <w:vAlign w:val="center"/>
            <w:tcMar>
              <w:top w:w="90" w:type="dxa"/>
              <w:start w:w="100" w:type="dxa"/>
              <w:bottom w:w="90" w:type="dxa"/>
              <w:end w:w="100" w:type="dxa"/>
            </w:tcMar>
            <w:shd w:fill="F7FAFC"/>
          </w:tcPr>
          <w:p>
            <w:pPr>
              <w:spacing w:after="0" w:line="240" w:lineRule="auto"/>
            </w:pPr>
            <w:r>
              <w:rPr>
                <w:color w:val="1E2B36"/>
                <w:sz w:val="18"/>
              </w:rPr>
              <w:t>8 rows × 28 columns</w:t>
            </w:r>
          </w:p>
        </w:tc>
        <w:tc>
          <w:tcPr>
            <w:tcW w:type="dxa" w:w="4896"/>
            <w:vAlign w:val="center"/>
            <w:tcMar>
              <w:top w:w="90" w:type="dxa"/>
              <w:start w:w="100" w:type="dxa"/>
              <w:bottom w:w="90" w:type="dxa"/>
              <w:end w:w="100" w:type="dxa"/>
            </w:tcMar>
            <w:shd w:fill="F7FAFC"/>
          </w:tcPr>
          <w:p>
            <w:pPr>
              <w:spacing w:after="0" w:line="240" w:lineRule="auto"/>
            </w:pPr>
            <w:r>
              <w:rPr>
                <w:color w:val="1E2B36"/>
                <w:sz w:val="18"/>
              </w:rPr>
              <w:t>Curve-level metadata and calculated ML features.</w:t>
            </w:r>
          </w:p>
        </w:tc>
      </w:tr>
      <w:tr>
        <w:tc>
          <w:tcPr>
            <w:tcW w:type="dxa" w:w="2880"/>
            <w:vAlign w:val="center"/>
            <w:tcMar>
              <w:top w:w="90" w:type="dxa"/>
              <w:start w:w="100" w:type="dxa"/>
              <w:bottom w:w="90" w:type="dxa"/>
              <w:end w:w="100" w:type="dxa"/>
            </w:tcMar>
          </w:tcPr>
          <w:p>
            <w:pPr>
              <w:spacing w:after="0" w:line="240" w:lineRule="auto"/>
            </w:pPr>
            <w:r>
              <w:rPr>
                <w:color w:val="1E2B36"/>
                <w:sz w:val="18"/>
              </w:rPr>
              <w:t>Master Excel workbook</w:t>
            </w:r>
          </w:p>
        </w:tc>
        <w:tc>
          <w:tcPr>
            <w:tcW w:type="dxa" w:w="1800"/>
            <w:vAlign w:val="center"/>
            <w:tcMar>
              <w:top w:w="90" w:type="dxa"/>
              <w:start w:w="100" w:type="dxa"/>
              <w:bottom w:w="90" w:type="dxa"/>
              <w:end w:w="100" w:type="dxa"/>
            </w:tcMar>
          </w:tcPr>
          <w:p>
            <w:pPr>
              <w:spacing w:after="0" w:line="240" w:lineRule="auto"/>
            </w:pPr>
            <w:r>
              <w:rPr>
                <w:color w:val="1E2B36"/>
                <w:sz w:val="18"/>
              </w:rPr>
              <w:t>8 sheets</w:t>
            </w:r>
          </w:p>
        </w:tc>
        <w:tc>
          <w:tcPr>
            <w:tcW w:type="dxa" w:w="4896"/>
            <w:vAlign w:val="center"/>
            <w:tcMar>
              <w:top w:w="90" w:type="dxa"/>
              <w:start w:w="100" w:type="dxa"/>
              <w:bottom w:w="90" w:type="dxa"/>
              <w:end w:w="100" w:type="dxa"/>
            </w:tcMar>
          </w:tcPr>
          <w:p>
            <w:pPr>
              <w:spacing w:after="0" w:line="240" w:lineRule="auto"/>
            </w:pPr>
            <w:r>
              <w:rPr>
                <w:color w:val="1E2B36"/>
                <w:sz w:val="18"/>
              </w:rPr>
              <w:t>Integrated workbook containing index, figure list, raw data, cleaned data, feature calculations and instructions.</w:t>
            </w:r>
          </w:p>
        </w:tc>
      </w:tr>
    </w:tbl>
    <w:p>
      <w:pPr>
        <w:spacing w:after="0"/>
      </w:pPr>
    </w:p>
    <w:p>
      <w:pPr>
        <w:pStyle w:val="Heading2"/>
        <w:keepNext/>
      </w:pPr>
      <w:r>
        <w:t>3.4 Eight completed curve samples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936"/>
            <w:shd w:fill="123B5D"/>
            <w:vAlign w:val="center"/>
            <w:tcMar>
              <w:top w:w="90" w:type="dxa"/>
              <w:start w:w="100" w:type="dxa"/>
              <w:bottom w:w="90" w:type="dxa"/>
              <w:end w:w="100" w:type="dxa"/>
            </w:tcMar>
          </w:tcPr>
          <w:p>
            <w:pPr>
              <w:jc w:val="center"/>
            </w:pPr>
            <w:r>
              <w:rPr>
                <w:b/>
                <w:color w:val="FFFFFF"/>
                <w:sz w:val="18"/>
              </w:rPr>
              <w:t>Sample</w:t>
            </w:r>
          </w:p>
        </w:tc>
        <w:tc>
          <w:tcPr>
            <w:tcW w:type="dxa" w:w="2088"/>
            <w:shd w:fill="123B5D"/>
            <w:vAlign w:val="center"/>
            <w:tcMar>
              <w:top w:w="90" w:type="dxa"/>
              <w:start w:w="100" w:type="dxa"/>
              <w:bottom w:w="90" w:type="dxa"/>
              <w:end w:w="100" w:type="dxa"/>
            </w:tcMar>
          </w:tcPr>
          <w:p>
            <w:pPr>
              <w:jc w:val="center"/>
            </w:pPr>
            <w:r>
              <w:rPr>
                <w:b/>
                <w:color w:val="FFFFFF"/>
                <w:sz w:val="18"/>
              </w:rPr>
              <w:t>Parameter</w:t>
            </w:r>
          </w:p>
        </w:tc>
        <w:tc>
          <w:tcPr>
            <w:tcW w:type="dxa" w:w="2376"/>
            <w:shd w:fill="123B5D"/>
            <w:vAlign w:val="center"/>
            <w:tcMar>
              <w:top w:w="90" w:type="dxa"/>
              <w:start w:w="100" w:type="dxa"/>
              <w:bottom w:w="90" w:type="dxa"/>
              <w:end w:w="100" w:type="dxa"/>
            </w:tcMar>
          </w:tcPr>
          <w:p>
            <w:pPr>
              <w:jc w:val="center"/>
            </w:pPr>
            <w:r>
              <w:rPr>
                <w:b/>
                <w:color w:val="FFFFFF"/>
                <w:sz w:val="18"/>
              </w:rPr>
              <w:t>Condition/site</w:t>
            </w:r>
          </w:p>
        </w:tc>
        <w:tc>
          <w:tcPr>
            <w:tcW w:type="dxa" w:w="4464"/>
            <w:shd w:fill="123B5D"/>
            <w:vAlign w:val="center"/>
            <w:tcMar>
              <w:top w:w="90" w:type="dxa"/>
              <w:start w:w="100" w:type="dxa"/>
              <w:bottom w:w="90" w:type="dxa"/>
              <w:end w:w="100" w:type="dxa"/>
            </w:tcMar>
          </w:tcPr>
          <w:p>
            <w:pPr>
              <w:jc w:val="center"/>
            </w:pPr>
            <w:r>
              <w:rPr>
                <w:b/>
                <w:color w:val="FFFFFF"/>
                <w:sz w:val="18"/>
              </w:rPr>
              <w:t>Literature-derived trajectory</w:t>
            </w:r>
          </w:p>
        </w:tc>
      </w:tr>
      <w:tr>
        <w:tc>
          <w:tcPr>
            <w:tcW w:type="dxa" w:w="936"/>
            <w:vAlign w:val="center"/>
            <w:tcMar>
              <w:top w:w="90" w:type="dxa"/>
              <w:start w:w="100" w:type="dxa"/>
              <w:bottom w:w="90" w:type="dxa"/>
              <w:end w:w="100" w:type="dxa"/>
            </w:tcMar>
          </w:tcPr>
          <w:p>
            <w:pPr>
              <w:spacing w:after="0" w:line="240" w:lineRule="auto"/>
            </w:pPr>
            <w:r>
              <w:rPr>
                <w:color w:val="1E2B36"/>
                <w:sz w:val="18"/>
              </w:rPr>
              <w:t>S001</w:t>
            </w:r>
          </w:p>
        </w:tc>
        <w:tc>
          <w:tcPr>
            <w:tcW w:type="dxa" w:w="2088"/>
            <w:vAlign w:val="center"/>
            <w:tcMar>
              <w:top w:w="90" w:type="dxa"/>
              <w:start w:w="100" w:type="dxa"/>
              <w:bottom w:w="90" w:type="dxa"/>
              <w:end w:w="100" w:type="dxa"/>
            </w:tcMar>
          </w:tcPr>
          <w:p>
            <w:pPr>
              <w:spacing w:after="0" w:line="240" w:lineRule="auto"/>
            </w:pPr>
            <w:r>
              <w:rPr>
                <w:color w:val="1E2B36"/>
                <w:sz w:val="18"/>
              </w:rPr>
              <w:t>Wound area</w:t>
            </w:r>
          </w:p>
        </w:tc>
        <w:tc>
          <w:tcPr>
            <w:tcW w:type="dxa" w:w="2376"/>
            <w:vAlign w:val="center"/>
            <w:tcMar>
              <w:top w:w="90" w:type="dxa"/>
              <w:start w:w="100" w:type="dxa"/>
              <w:bottom w:w="90" w:type="dxa"/>
              <w:end w:w="100" w:type="dxa"/>
            </w:tcMar>
          </w:tcPr>
          <w:p>
            <w:pPr>
              <w:spacing w:after="0" w:line="240" w:lineRule="auto"/>
            </w:pPr>
            <w:r>
              <w:rPr>
                <w:color w:val="1E2B36"/>
                <w:sz w:val="18"/>
              </w:rPr>
              <w:t>NPWT</w:t>
            </w:r>
          </w:p>
        </w:tc>
        <w:tc>
          <w:tcPr>
            <w:tcW w:type="dxa" w:w="4464"/>
            <w:vAlign w:val="center"/>
            <w:tcMar>
              <w:top w:w="90" w:type="dxa"/>
              <w:start w:w="100" w:type="dxa"/>
              <w:bottom w:w="90" w:type="dxa"/>
              <w:end w:w="100" w:type="dxa"/>
            </w:tcMar>
          </w:tcPr>
          <w:p>
            <w:pPr>
              <w:spacing w:after="0" w:line="240" w:lineRule="auto"/>
            </w:pPr>
            <w:r>
              <w:rPr>
                <w:color w:val="1E2B36"/>
                <w:sz w:val="18"/>
              </w:rPr>
              <w:t>20.46 → 4.21 cm² over 21 days</w:t>
            </w:r>
          </w:p>
        </w:tc>
      </w:tr>
      <w:tr>
        <w:tc>
          <w:tcPr>
            <w:tcW w:type="dxa" w:w="936"/>
            <w:vAlign w:val="center"/>
            <w:tcMar>
              <w:top w:w="90" w:type="dxa"/>
              <w:start w:w="100" w:type="dxa"/>
              <w:bottom w:w="90" w:type="dxa"/>
              <w:end w:w="100" w:type="dxa"/>
            </w:tcMar>
            <w:shd w:fill="F7FAFC"/>
          </w:tcPr>
          <w:p>
            <w:pPr>
              <w:spacing w:after="0" w:line="240" w:lineRule="auto"/>
            </w:pPr>
            <w:r>
              <w:rPr>
                <w:color w:val="1E2B36"/>
                <w:sz w:val="18"/>
              </w:rPr>
              <w:t>S002</w:t>
            </w:r>
          </w:p>
        </w:tc>
        <w:tc>
          <w:tcPr>
            <w:tcW w:type="dxa" w:w="2088"/>
            <w:vAlign w:val="center"/>
            <w:tcMar>
              <w:top w:w="90" w:type="dxa"/>
              <w:start w:w="100" w:type="dxa"/>
              <w:bottom w:w="90" w:type="dxa"/>
              <w:end w:w="100" w:type="dxa"/>
            </w:tcMar>
            <w:shd w:fill="F7FAFC"/>
          </w:tcPr>
          <w:p>
            <w:pPr>
              <w:spacing w:after="0" w:line="240" w:lineRule="auto"/>
            </w:pPr>
            <w:r>
              <w:rPr>
                <w:color w:val="1E2B36"/>
                <w:sz w:val="18"/>
              </w:rPr>
              <w:t>Wound area</w:t>
            </w:r>
          </w:p>
        </w:tc>
        <w:tc>
          <w:tcPr>
            <w:tcW w:type="dxa" w:w="2376"/>
            <w:vAlign w:val="center"/>
            <w:tcMar>
              <w:top w:w="90" w:type="dxa"/>
              <w:start w:w="100" w:type="dxa"/>
              <w:bottom w:w="90" w:type="dxa"/>
              <w:end w:w="100" w:type="dxa"/>
            </w:tcMar>
            <w:shd w:fill="F7FAFC"/>
          </w:tcPr>
          <w:p>
            <w:pPr>
              <w:spacing w:after="0" w:line="240" w:lineRule="auto"/>
            </w:pPr>
            <w:r>
              <w:rPr>
                <w:color w:val="1E2B36"/>
                <w:sz w:val="18"/>
              </w:rPr>
              <w:t>Conventional dressing</w:t>
            </w:r>
          </w:p>
        </w:tc>
        <w:tc>
          <w:tcPr>
            <w:tcW w:type="dxa" w:w="4464"/>
            <w:vAlign w:val="center"/>
            <w:tcMar>
              <w:top w:w="90" w:type="dxa"/>
              <w:start w:w="100" w:type="dxa"/>
              <w:bottom w:w="90" w:type="dxa"/>
              <w:end w:w="100" w:type="dxa"/>
            </w:tcMar>
            <w:shd w:fill="F7FAFC"/>
          </w:tcPr>
          <w:p>
            <w:pPr>
              <w:spacing w:after="0" w:line="240" w:lineRule="auto"/>
            </w:pPr>
            <w:r>
              <w:rPr>
                <w:color w:val="1E2B36"/>
                <w:sz w:val="18"/>
              </w:rPr>
              <w:t>19.87 → 10.53 cm² over 21 days</w:t>
            </w:r>
          </w:p>
        </w:tc>
      </w:tr>
      <w:tr>
        <w:tc>
          <w:tcPr>
            <w:tcW w:type="dxa" w:w="936"/>
            <w:vAlign w:val="center"/>
            <w:tcMar>
              <w:top w:w="90" w:type="dxa"/>
              <w:start w:w="100" w:type="dxa"/>
              <w:bottom w:w="90" w:type="dxa"/>
              <w:end w:w="100" w:type="dxa"/>
            </w:tcMar>
          </w:tcPr>
          <w:p>
            <w:pPr>
              <w:spacing w:after="0" w:line="240" w:lineRule="auto"/>
            </w:pPr>
            <w:r>
              <w:rPr>
                <w:color w:val="1E2B36"/>
                <w:sz w:val="18"/>
              </w:rPr>
              <w:t>S003</w:t>
            </w:r>
          </w:p>
        </w:tc>
        <w:tc>
          <w:tcPr>
            <w:tcW w:type="dxa" w:w="2088"/>
            <w:vAlign w:val="center"/>
            <w:tcMar>
              <w:top w:w="90" w:type="dxa"/>
              <w:start w:w="100" w:type="dxa"/>
              <w:bottom w:w="90" w:type="dxa"/>
              <w:end w:w="100" w:type="dxa"/>
            </w:tcMar>
          </w:tcPr>
          <w:p>
            <w:pPr>
              <w:spacing w:after="0" w:line="240" w:lineRule="auto"/>
            </w:pPr>
            <w:r>
              <w:rPr>
                <w:color w:val="1E2B36"/>
                <w:sz w:val="18"/>
              </w:rPr>
              <w:t>Healing percentage</w:t>
            </w:r>
          </w:p>
        </w:tc>
        <w:tc>
          <w:tcPr>
            <w:tcW w:type="dxa" w:w="2376"/>
            <w:vAlign w:val="center"/>
            <w:tcMar>
              <w:top w:w="90" w:type="dxa"/>
              <w:start w:w="100" w:type="dxa"/>
              <w:bottom w:w="90" w:type="dxa"/>
              <w:end w:w="100" w:type="dxa"/>
            </w:tcMar>
          </w:tcPr>
          <w:p>
            <w:pPr>
              <w:spacing w:after="0" w:line="240" w:lineRule="auto"/>
            </w:pPr>
            <w:r>
              <w:rPr>
                <w:color w:val="1E2B36"/>
                <w:sz w:val="18"/>
              </w:rPr>
              <w:t>NPWT</w:t>
            </w:r>
          </w:p>
        </w:tc>
        <w:tc>
          <w:tcPr>
            <w:tcW w:type="dxa" w:w="4464"/>
            <w:vAlign w:val="center"/>
            <w:tcMar>
              <w:top w:w="90" w:type="dxa"/>
              <w:start w:w="100" w:type="dxa"/>
              <w:bottom w:w="90" w:type="dxa"/>
              <w:end w:w="100" w:type="dxa"/>
            </w:tcMar>
          </w:tcPr>
          <w:p>
            <w:pPr>
              <w:spacing w:after="0" w:line="240" w:lineRule="auto"/>
            </w:pPr>
            <w:r>
              <w:rPr>
                <w:color w:val="1E2B36"/>
                <w:sz w:val="18"/>
              </w:rPr>
              <w:t>0 → 79.42% by day 21</w:t>
            </w:r>
          </w:p>
        </w:tc>
      </w:tr>
      <w:tr>
        <w:tc>
          <w:tcPr>
            <w:tcW w:type="dxa" w:w="936"/>
            <w:vAlign w:val="center"/>
            <w:tcMar>
              <w:top w:w="90" w:type="dxa"/>
              <w:start w:w="100" w:type="dxa"/>
              <w:bottom w:w="90" w:type="dxa"/>
              <w:end w:w="100" w:type="dxa"/>
            </w:tcMar>
            <w:shd w:fill="F7FAFC"/>
          </w:tcPr>
          <w:p>
            <w:pPr>
              <w:spacing w:after="0" w:line="240" w:lineRule="auto"/>
            </w:pPr>
            <w:r>
              <w:rPr>
                <w:color w:val="1E2B36"/>
                <w:sz w:val="18"/>
              </w:rPr>
              <w:t>S004</w:t>
            </w:r>
          </w:p>
        </w:tc>
        <w:tc>
          <w:tcPr>
            <w:tcW w:type="dxa" w:w="2088"/>
            <w:vAlign w:val="center"/>
            <w:tcMar>
              <w:top w:w="90" w:type="dxa"/>
              <w:start w:w="100" w:type="dxa"/>
              <w:bottom w:w="90" w:type="dxa"/>
              <w:end w:w="100" w:type="dxa"/>
            </w:tcMar>
            <w:shd w:fill="F7FAFC"/>
          </w:tcPr>
          <w:p>
            <w:pPr>
              <w:spacing w:after="0" w:line="240" w:lineRule="auto"/>
            </w:pPr>
            <w:r>
              <w:rPr>
                <w:color w:val="1E2B36"/>
                <w:sz w:val="18"/>
              </w:rPr>
              <w:t>Healing percentage</w:t>
            </w:r>
          </w:p>
        </w:tc>
        <w:tc>
          <w:tcPr>
            <w:tcW w:type="dxa" w:w="2376"/>
            <w:vAlign w:val="center"/>
            <w:tcMar>
              <w:top w:w="90" w:type="dxa"/>
              <w:start w:w="100" w:type="dxa"/>
              <w:bottom w:w="90" w:type="dxa"/>
              <w:end w:w="100" w:type="dxa"/>
            </w:tcMar>
            <w:shd w:fill="F7FAFC"/>
          </w:tcPr>
          <w:p>
            <w:pPr>
              <w:spacing w:after="0" w:line="240" w:lineRule="auto"/>
            </w:pPr>
            <w:r>
              <w:rPr>
                <w:color w:val="1E2B36"/>
                <w:sz w:val="18"/>
              </w:rPr>
              <w:t>Conventional dressing</w:t>
            </w:r>
          </w:p>
        </w:tc>
        <w:tc>
          <w:tcPr>
            <w:tcW w:type="dxa" w:w="4464"/>
            <w:vAlign w:val="center"/>
            <w:tcMar>
              <w:top w:w="90" w:type="dxa"/>
              <w:start w:w="100" w:type="dxa"/>
              <w:bottom w:w="90" w:type="dxa"/>
              <w:end w:w="100" w:type="dxa"/>
            </w:tcMar>
            <w:shd w:fill="F7FAFC"/>
          </w:tcPr>
          <w:p>
            <w:pPr>
              <w:spacing w:after="0" w:line="240" w:lineRule="auto"/>
            </w:pPr>
            <w:r>
              <w:rPr>
                <w:color w:val="1E2B36"/>
                <w:sz w:val="18"/>
              </w:rPr>
              <w:t>0 → 47.00% by day 21</w:t>
            </w:r>
          </w:p>
        </w:tc>
      </w:tr>
      <w:tr>
        <w:tc>
          <w:tcPr>
            <w:tcW w:type="dxa" w:w="936"/>
            <w:vAlign w:val="center"/>
            <w:tcMar>
              <w:top w:w="90" w:type="dxa"/>
              <w:start w:w="100" w:type="dxa"/>
              <w:bottom w:w="90" w:type="dxa"/>
              <w:end w:w="100" w:type="dxa"/>
            </w:tcMar>
          </w:tcPr>
          <w:p>
            <w:pPr>
              <w:spacing w:after="0" w:line="240" w:lineRule="auto"/>
            </w:pPr>
            <w:r>
              <w:rPr>
                <w:color w:val="1E2B36"/>
                <w:sz w:val="18"/>
              </w:rPr>
              <w:t>S005</w:t>
            </w:r>
          </w:p>
        </w:tc>
        <w:tc>
          <w:tcPr>
            <w:tcW w:type="dxa" w:w="2088"/>
            <w:vAlign w:val="center"/>
            <w:tcMar>
              <w:top w:w="90" w:type="dxa"/>
              <w:start w:w="100" w:type="dxa"/>
              <w:bottom w:w="90" w:type="dxa"/>
              <w:end w:w="100" w:type="dxa"/>
            </w:tcMar>
          </w:tcPr>
          <w:p>
            <w:pPr>
              <w:spacing w:after="0" w:line="240" w:lineRule="auto"/>
            </w:pPr>
            <w:r>
              <w:rPr>
                <w:color w:val="1E2B36"/>
                <w:sz w:val="18"/>
              </w:rPr>
              <w:t>Granulation tissue</w:t>
            </w:r>
          </w:p>
        </w:tc>
        <w:tc>
          <w:tcPr>
            <w:tcW w:type="dxa" w:w="2376"/>
            <w:vAlign w:val="center"/>
            <w:tcMar>
              <w:top w:w="90" w:type="dxa"/>
              <w:start w:w="100" w:type="dxa"/>
              <w:bottom w:w="90" w:type="dxa"/>
              <w:end w:w="100" w:type="dxa"/>
            </w:tcMar>
          </w:tcPr>
          <w:p>
            <w:pPr>
              <w:spacing w:after="0" w:line="240" w:lineRule="auto"/>
            </w:pPr>
            <w:r>
              <w:rPr>
                <w:color w:val="1E2B36"/>
                <w:sz w:val="18"/>
              </w:rPr>
              <w:t>NPWT</w:t>
            </w:r>
          </w:p>
        </w:tc>
        <w:tc>
          <w:tcPr>
            <w:tcW w:type="dxa" w:w="4464"/>
            <w:vAlign w:val="center"/>
            <w:tcMar>
              <w:top w:w="90" w:type="dxa"/>
              <w:start w:w="100" w:type="dxa"/>
              <w:bottom w:w="90" w:type="dxa"/>
              <w:end w:w="100" w:type="dxa"/>
            </w:tcMar>
          </w:tcPr>
          <w:p>
            <w:pPr>
              <w:spacing w:after="0" w:line="240" w:lineRule="auto"/>
            </w:pPr>
            <w:r>
              <w:rPr>
                <w:color w:val="1E2B36"/>
                <w:sz w:val="18"/>
              </w:rPr>
              <w:t>1.39 → 4.47 cm²</w:t>
            </w:r>
          </w:p>
        </w:tc>
      </w:tr>
      <w:tr>
        <w:tc>
          <w:tcPr>
            <w:tcW w:type="dxa" w:w="936"/>
            <w:vAlign w:val="center"/>
            <w:tcMar>
              <w:top w:w="90" w:type="dxa"/>
              <w:start w:w="100" w:type="dxa"/>
              <w:bottom w:w="90" w:type="dxa"/>
              <w:end w:w="100" w:type="dxa"/>
            </w:tcMar>
            <w:shd w:fill="F7FAFC"/>
          </w:tcPr>
          <w:p>
            <w:pPr>
              <w:spacing w:after="0" w:line="240" w:lineRule="auto"/>
            </w:pPr>
            <w:r>
              <w:rPr>
                <w:color w:val="1E2B36"/>
                <w:sz w:val="18"/>
              </w:rPr>
              <w:t>S006</w:t>
            </w:r>
          </w:p>
        </w:tc>
        <w:tc>
          <w:tcPr>
            <w:tcW w:type="dxa" w:w="2088"/>
            <w:vAlign w:val="center"/>
            <w:tcMar>
              <w:top w:w="90" w:type="dxa"/>
              <w:start w:w="100" w:type="dxa"/>
              <w:bottom w:w="90" w:type="dxa"/>
              <w:end w:w="100" w:type="dxa"/>
            </w:tcMar>
            <w:shd w:fill="F7FAFC"/>
          </w:tcPr>
          <w:p>
            <w:pPr>
              <w:spacing w:after="0" w:line="240" w:lineRule="auto"/>
            </w:pPr>
            <w:r>
              <w:rPr>
                <w:color w:val="1E2B36"/>
                <w:sz w:val="18"/>
              </w:rPr>
              <w:t>Granulation tissue</w:t>
            </w:r>
          </w:p>
        </w:tc>
        <w:tc>
          <w:tcPr>
            <w:tcW w:type="dxa" w:w="2376"/>
            <w:vAlign w:val="center"/>
            <w:tcMar>
              <w:top w:w="90" w:type="dxa"/>
              <w:start w:w="100" w:type="dxa"/>
              <w:bottom w:w="90" w:type="dxa"/>
              <w:end w:w="100" w:type="dxa"/>
            </w:tcMar>
            <w:shd w:fill="F7FAFC"/>
          </w:tcPr>
          <w:p>
            <w:pPr>
              <w:spacing w:after="0" w:line="240" w:lineRule="auto"/>
            </w:pPr>
            <w:r>
              <w:rPr>
                <w:color w:val="1E2B36"/>
                <w:sz w:val="18"/>
              </w:rPr>
              <w:t>Conventional dressing</w:t>
            </w:r>
          </w:p>
        </w:tc>
        <w:tc>
          <w:tcPr>
            <w:tcW w:type="dxa" w:w="4464"/>
            <w:vAlign w:val="center"/>
            <w:tcMar>
              <w:top w:w="90" w:type="dxa"/>
              <w:start w:w="100" w:type="dxa"/>
              <w:bottom w:w="90" w:type="dxa"/>
              <w:end w:w="100" w:type="dxa"/>
            </w:tcMar>
            <w:shd w:fill="F7FAFC"/>
          </w:tcPr>
          <w:p>
            <w:pPr>
              <w:spacing w:after="0" w:line="240" w:lineRule="auto"/>
            </w:pPr>
            <w:r>
              <w:rPr>
                <w:color w:val="1E2B36"/>
                <w:sz w:val="18"/>
              </w:rPr>
              <w:t>1.40 → 3.43 cm²</w:t>
            </w:r>
          </w:p>
        </w:tc>
      </w:tr>
      <w:tr>
        <w:tc>
          <w:tcPr>
            <w:tcW w:type="dxa" w:w="936"/>
            <w:vAlign w:val="center"/>
            <w:tcMar>
              <w:top w:w="90" w:type="dxa"/>
              <w:start w:w="100" w:type="dxa"/>
              <w:bottom w:w="90" w:type="dxa"/>
              <w:end w:w="100" w:type="dxa"/>
            </w:tcMar>
          </w:tcPr>
          <w:p>
            <w:pPr>
              <w:spacing w:after="0" w:line="240" w:lineRule="auto"/>
            </w:pPr>
            <w:r>
              <w:rPr>
                <w:color w:val="1E2B36"/>
                <w:sz w:val="18"/>
              </w:rPr>
              <w:t>S007</w:t>
            </w:r>
          </w:p>
        </w:tc>
        <w:tc>
          <w:tcPr>
            <w:tcW w:type="dxa" w:w="2088"/>
            <w:vAlign w:val="center"/>
            <w:tcMar>
              <w:top w:w="90" w:type="dxa"/>
              <w:start w:w="100" w:type="dxa"/>
              <w:bottom w:w="90" w:type="dxa"/>
              <w:end w:w="100" w:type="dxa"/>
            </w:tcMar>
          </w:tcPr>
          <w:p>
            <w:pPr>
              <w:spacing w:after="0" w:line="240" w:lineRule="auto"/>
            </w:pPr>
            <w:r>
              <w:rPr>
                <w:color w:val="1E2B36"/>
                <w:sz w:val="18"/>
              </w:rPr>
              <w:t>Temperature</w:t>
            </w:r>
          </w:p>
        </w:tc>
        <w:tc>
          <w:tcPr>
            <w:tcW w:type="dxa" w:w="2376"/>
            <w:vAlign w:val="center"/>
            <w:tcMar>
              <w:top w:w="90" w:type="dxa"/>
              <w:start w:w="100" w:type="dxa"/>
              <w:bottom w:w="90" w:type="dxa"/>
              <w:end w:w="100" w:type="dxa"/>
            </w:tcMar>
          </w:tcPr>
          <w:p>
            <w:pPr>
              <w:spacing w:after="0" w:line="240" w:lineRule="auto"/>
            </w:pPr>
            <w:r>
              <w:rPr>
                <w:color w:val="1E2B36"/>
                <w:sz w:val="18"/>
              </w:rPr>
              <w:t>Wound centre</w:t>
            </w:r>
          </w:p>
        </w:tc>
        <w:tc>
          <w:tcPr>
            <w:tcW w:type="dxa" w:w="4464"/>
            <w:vAlign w:val="center"/>
            <w:tcMar>
              <w:top w:w="90" w:type="dxa"/>
              <w:start w:w="100" w:type="dxa"/>
              <w:bottom w:w="90" w:type="dxa"/>
              <w:end w:w="100" w:type="dxa"/>
            </w:tcMar>
          </w:tcPr>
          <w:p>
            <w:pPr>
              <w:spacing w:after="0" w:line="240" w:lineRule="auto"/>
            </w:pPr>
            <w:r>
              <w:rPr>
                <w:color w:val="1E2B36"/>
                <w:sz w:val="18"/>
              </w:rPr>
              <w:t>35.3 → 36.3 °C over the encoded follow-up period</w:t>
            </w:r>
          </w:p>
        </w:tc>
      </w:tr>
      <w:tr>
        <w:tc>
          <w:tcPr>
            <w:tcW w:type="dxa" w:w="936"/>
            <w:vAlign w:val="center"/>
            <w:tcMar>
              <w:top w:w="90" w:type="dxa"/>
              <w:start w:w="100" w:type="dxa"/>
              <w:bottom w:w="90" w:type="dxa"/>
              <w:end w:w="100" w:type="dxa"/>
            </w:tcMar>
            <w:shd w:fill="F7FAFC"/>
          </w:tcPr>
          <w:p>
            <w:pPr>
              <w:spacing w:after="0" w:line="240" w:lineRule="auto"/>
            </w:pPr>
            <w:r>
              <w:rPr>
                <w:color w:val="1E2B36"/>
                <w:sz w:val="18"/>
              </w:rPr>
              <w:t>S008</w:t>
            </w:r>
          </w:p>
        </w:tc>
        <w:tc>
          <w:tcPr>
            <w:tcW w:type="dxa" w:w="2088"/>
            <w:vAlign w:val="center"/>
            <w:tcMar>
              <w:top w:w="90" w:type="dxa"/>
              <w:start w:w="100" w:type="dxa"/>
              <w:bottom w:w="90" w:type="dxa"/>
              <w:end w:w="100" w:type="dxa"/>
            </w:tcMar>
            <w:shd w:fill="F7FAFC"/>
          </w:tcPr>
          <w:p>
            <w:pPr>
              <w:spacing w:after="0" w:line="240" w:lineRule="auto"/>
            </w:pPr>
            <w:r>
              <w:rPr>
                <w:color w:val="1E2B36"/>
                <w:sz w:val="18"/>
              </w:rPr>
              <w:t>Temperature</w:t>
            </w:r>
          </w:p>
        </w:tc>
        <w:tc>
          <w:tcPr>
            <w:tcW w:type="dxa" w:w="2376"/>
            <w:vAlign w:val="center"/>
            <w:tcMar>
              <w:top w:w="90" w:type="dxa"/>
              <w:start w:w="100" w:type="dxa"/>
              <w:bottom w:w="90" w:type="dxa"/>
              <w:end w:w="100" w:type="dxa"/>
            </w:tcMar>
            <w:shd w:fill="F7FAFC"/>
          </w:tcPr>
          <w:p>
            <w:pPr>
              <w:spacing w:after="0" w:line="240" w:lineRule="auto"/>
            </w:pPr>
            <w:r>
              <w:rPr>
                <w:color w:val="1E2B36"/>
                <w:sz w:val="18"/>
              </w:rPr>
              <w:t>Distal tibia</w:t>
            </w:r>
          </w:p>
        </w:tc>
        <w:tc>
          <w:tcPr>
            <w:tcW w:type="dxa" w:w="4464"/>
            <w:vAlign w:val="center"/>
            <w:tcMar>
              <w:top w:w="90" w:type="dxa"/>
              <w:start w:w="100" w:type="dxa"/>
              <w:bottom w:w="90" w:type="dxa"/>
              <w:end w:w="100" w:type="dxa"/>
            </w:tcMar>
            <w:shd w:fill="F7FAFC"/>
          </w:tcPr>
          <w:p>
            <w:pPr>
              <w:spacing w:after="0" w:line="240" w:lineRule="auto"/>
            </w:pPr>
            <w:r>
              <w:rPr>
                <w:color w:val="1E2B36"/>
                <w:sz w:val="18"/>
              </w:rPr>
              <w:t>35.4 → 36.3 °C over the encoded follow-up period</w:t>
            </w:r>
          </w:p>
        </w:tc>
      </w:tr>
    </w:tbl>
    <w:p>
      <w:pPr>
        <w:spacing w:after="0"/>
      </w:pPr>
    </w:p>
    <w:p>
      <w:r>
        <w:rPr>
          <w:b/>
          <w:color w:val="123B5D"/>
        </w:rPr>
        <w:t xml:space="preserve">Preliminary pattern observed: </w:t>
      </w:r>
      <w:r>
        <w:t>within the transcribed Srivastava dataset, the NPWT group shows a larger wound-area reduction and higher healing percentage than conventional dressing by day 21. This is a finding from the cited source data and must not be presented as a new clinical experiment performed by the project team.</w:t>
      </w:r>
    </w:p>
    <w:p>
      <w:pPr>
        <w:spacing w:before="100" w:after="80"/>
        <w:jc w:val="center"/>
      </w:pPr>
      <w:r>
        <w:drawing>
          <wp:inline xmlns:a="http://schemas.openxmlformats.org/drawingml/2006/main" xmlns:pic="http://schemas.openxmlformats.org/drawingml/2006/picture">
            <wp:extent cx="6080760" cy="4116299"/>
            <wp:docPr id="3" name="Picture 3"/>
            <wp:cNvGraphicFramePr>
              <a:graphicFrameLocks noChangeAspect="1"/>
            </wp:cNvGraphicFramePr>
            <a:graphic>
              <a:graphicData uri="http://schemas.openxmlformats.org/drawingml/2006/picture">
                <pic:pic>
                  <pic:nvPicPr>
                    <pic:cNvPr id="0" name="figure3_normalized_trajectories.png"/>
                    <pic:cNvPicPr/>
                  </pic:nvPicPr>
                  <pic:blipFill>
                    <a:blip r:embed="rId13"/>
                    <a:stretch>
                      <a:fillRect/>
                    </a:stretch>
                  </pic:blipFill>
                  <pic:spPr>
                    <a:xfrm>
                      <a:off x="0" y="0"/>
                      <a:ext cx="6080760" cy="4116299"/>
                    </a:xfrm>
                    <a:prstGeom prst="rect"/>
                  </pic:spPr>
                </pic:pic>
              </a:graphicData>
            </a:graphic>
          </wp:inline>
        </w:drawing>
      </w:r>
    </w:p>
    <w:p>
      <w:pPr>
        <w:pStyle w:val="Caption"/>
        <w:jc w:val="center"/>
      </w:pPr>
      <w:r>
        <w:rPr>
          <w:b/>
        </w:rPr>
        <w:t>Figure 2. Normalised shapes of the eight cleaned curves. Normalisation allows comparison of direction and shape across mixed units only.</w:t>
      </w:r>
    </w:p>
    <w:p>
      <w:pPr>
        <w:pStyle w:val="Heading1"/>
        <w:keepNext/>
      </w:pPr>
      <w:r>
        <w:t>4. Feature engineering and exploratory analysis</w:t>
      </w:r>
    </w:p>
    <w:p>
      <w:pPr>
        <w:pStyle w:val="Heading2"/>
        <w:keepNext/>
      </w:pPr>
      <w:r>
        <w:t>4.1 Curve-level feature table</w:t>
      </w:r>
    </w:p>
    <w:p>
      <w:r>
        <w:t>Each cleaned curve was converted into one feature row. This transforms variable-length time-series into a fixed-length matrix suitable for dimensionality reduction and later supervised modelling. The table contains metadata plus calculated descriptors.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16"/>
            <w:shd w:fill="123B5D"/>
            <w:vAlign w:val="center"/>
            <w:tcMar>
              <w:top w:w="90" w:type="dxa"/>
              <w:start w:w="100" w:type="dxa"/>
              <w:bottom w:w="90" w:type="dxa"/>
              <w:end w:w="100" w:type="dxa"/>
            </w:tcMar>
          </w:tcPr>
          <w:p>
            <w:pPr>
              <w:jc w:val="center"/>
            </w:pPr>
            <w:r>
              <w:rPr>
                <w:b/>
                <w:color w:val="FFFFFF"/>
                <w:sz w:val="17"/>
              </w:rPr>
              <w:t>Feature group</w:t>
            </w:r>
          </w:p>
        </w:tc>
        <w:tc>
          <w:tcPr>
            <w:tcW w:type="dxa" w:w="3528"/>
            <w:shd w:fill="123B5D"/>
            <w:vAlign w:val="center"/>
            <w:tcMar>
              <w:top w:w="90" w:type="dxa"/>
              <w:start w:w="100" w:type="dxa"/>
              <w:bottom w:w="90" w:type="dxa"/>
              <w:end w:w="100" w:type="dxa"/>
            </w:tcMar>
          </w:tcPr>
          <w:p>
            <w:pPr>
              <w:jc w:val="center"/>
            </w:pPr>
            <w:r>
              <w:rPr>
                <w:b/>
                <w:color w:val="FFFFFF"/>
                <w:sz w:val="17"/>
              </w:rPr>
              <w:t>Variables</w:t>
            </w:r>
          </w:p>
        </w:tc>
        <w:tc>
          <w:tcPr>
            <w:tcW w:type="dxa" w:w="4248"/>
            <w:shd w:fill="123B5D"/>
            <w:vAlign w:val="center"/>
            <w:tcMar>
              <w:top w:w="90" w:type="dxa"/>
              <w:start w:w="100" w:type="dxa"/>
              <w:bottom w:w="90" w:type="dxa"/>
              <w:end w:w="100" w:type="dxa"/>
            </w:tcMar>
          </w:tcPr>
          <w:p>
            <w:pPr>
              <w:jc w:val="center"/>
            </w:pPr>
            <w:r>
              <w:rPr>
                <w:b/>
                <w:color w:val="FFFFFF"/>
                <w:sz w:val="17"/>
              </w:rPr>
              <w:t>Interpretation</w:t>
            </w:r>
          </w:p>
        </w:tc>
      </w:tr>
      <w:tr>
        <w:tc>
          <w:tcPr>
            <w:tcW w:type="dxa" w:w="2016"/>
            <w:vAlign w:val="center"/>
            <w:tcMar>
              <w:top w:w="90" w:type="dxa"/>
              <w:start w:w="100" w:type="dxa"/>
              <w:bottom w:w="90" w:type="dxa"/>
              <w:end w:w="100" w:type="dxa"/>
            </w:tcMar>
          </w:tcPr>
          <w:p>
            <w:pPr>
              <w:spacing w:after="0" w:line="240" w:lineRule="auto"/>
            </w:pPr>
            <w:r>
              <w:rPr>
                <w:color w:val="1E2B36"/>
                <w:sz w:val="17"/>
              </w:rPr>
              <w:t>Curve structure</w:t>
            </w:r>
          </w:p>
        </w:tc>
        <w:tc>
          <w:tcPr>
            <w:tcW w:type="dxa" w:w="3528"/>
            <w:vAlign w:val="center"/>
            <w:tcMar>
              <w:top w:w="90" w:type="dxa"/>
              <w:start w:w="100" w:type="dxa"/>
              <w:bottom w:w="90" w:type="dxa"/>
              <w:end w:w="100" w:type="dxa"/>
            </w:tcMar>
          </w:tcPr>
          <w:p>
            <w:pPr>
              <w:spacing w:after="0" w:line="240" w:lineRule="auto"/>
            </w:pPr>
            <w:r>
              <w:rPr>
                <w:color w:val="1E2B36"/>
                <w:sz w:val="17"/>
              </w:rPr>
              <w:t>n_points, x_start, x_end, x_span</w:t>
            </w:r>
          </w:p>
        </w:tc>
        <w:tc>
          <w:tcPr>
            <w:tcW w:type="dxa" w:w="4248"/>
            <w:vAlign w:val="center"/>
            <w:tcMar>
              <w:top w:w="90" w:type="dxa"/>
              <w:start w:w="100" w:type="dxa"/>
              <w:bottom w:w="90" w:type="dxa"/>
              <w:end w:w="100" w:type="dxa"/>
            </w:tcMar>
          </w:tcPr>
          <w:p>
            <w:pPr>
              <w:spacing w:after="0" w:line="240" w:lineRule="auto"/>
            </w:pPr>
            <w:r>
              <w:rPr>
                <w:color w:val="1E2B36"/>
                <w:sz w:val="17"/>
              </w:rPr>
              <w:t>How long and how densely the curve was sampled.</w:t>
            </w:r>
          </w:p>
        </w:tc>
      </w:tr>
      <w:tr>
        <w:tc>
          <w:tcPr>
            <w:tcW w:type="dxa" w:w="2016"/>
            <w:vAlign w:val="center"/>
            <w:tcMar>
              <w:top w:w="90" w:type="dxa"/>
              <w:start w:w="100" w:type="dxa"/>
              <w:bottom w:w="90" w:type="dxa"/>
              <w:end w:w="100" w:type="dxa"/>
            </w:tcMar>
            <w:shd w:fill="F7FAFC"/>
          </w:tcPr>
          <w:p>
            <w:pPr>
              <w:spacing w:after="0" w:line="240" w:lineRule="auto"/>
            </w:pPr>
            <w:r>
              <w:rPr>
                <w:color w:val="1E2B36"/>
                <w:sz w:val="17"/>
              </w:rPr>
              <w:t>Starting/ending state</w:t>
            </w:r>
          </w:p>
        </w:tc>
        <w:tc>
          <w:tcPr>
            <w:tcW w:type="dxa" w:w="3528"/>
            <w:vAlign w:val="center"/>
            <w:tcMar>
              <w:top w:w="90" w:type="dxa"/>
              <w:start w:w="100" w:type="dxa"/>
              <w:bottom w:w="90" w:type="dxa"/>
              <w:end w:w="100" w:type="dxa"/>
            </w:tcMar>
            <w:shd w:fill="F7FAFC"/>
          </w:tcPr>
          <w:p>
            <w:pPr>
              <w:spacing w:after="0" w:line="240" w:lineRule="auto"/>
            </w:pPr>
            <w:r>
              <w:rPr>
                <w:color w:val="1E2B36"/>
                <w:sz w:val="17"/>
              </w:rPr>
              <w:t>y_start, y_end</w:t>
            </w:r>
          </w:p>
        </w:tc>
        <w:tc>
          <w:tcPr>
            <w:tcW w:type="dxa" w:w="4248"/>
            <w:vAlign w:val="center"/>
            <w:tcMar>
              <w:top w:w="90" w:type="dxa"/>
              <w:start w:w="100" w:type="dxa"/>
              <w:bottom w:w="90" w:type="dxa"/>
              <w:end w:w="100" w:type="dxa"/>
            </w:tcMar>
            <w:shd w:fill="F7FAFC"/>
          </w:tcPr>
          <w:p>
            <w:pPr>
              <w:spacing w:after="0" w:line="240" w:lineRule="auto"/>
            </w:pPr>
            <w:r>
              <w:rPr>
                <w:color w:val="1E2B36"/>
                <w:sz w:val="17"/>
              </w:rPr>
              <w:t>Initial and final wound-related value.</w:t>
            </w:r>
          </w:p>
        </w:tc>
      </w:tr>
      <w:tr>
        <w:tc>
          <w:tcPr>
            <w:tcW w:type="dxa" w:w="2016"/>
            <w:vAlign w:val="center"/>
            <w:tcMar>
              <w:top w:w="90" w:type="dxa"/>
              <w:start w:w="100" w:type="dxa"/>
              <w:bottom w:w="90" w:type="dxa"/>
              <w:end w:w="100" w:type="dxa"/>
            </w:tcMar>
          </w:tcPr>
          <w:p>
            <w:pPr>
              <w:spacing w:after="0" w:line="240" w:lineRule="auto"/>
            </w:pPr>
            <w:r>
              <w:rPr>
                <w:color w:val="1E2B36"/>
                <w:sz w:val="17"/>
              </w:rPr>
              <w:t>Distribution</w:t>
            </w:r>
          </w:p>
        </w:tc>
        <w:tc>
          <w:tcPr>
            <w:tcW w:type="dxa" w:w="3528"/>
            <w:vAlign w:val="center"/>
            <w:tcMar>
              <w:top w:w="90" w:type="dxa"/>
              <w:start w:w="100" w:type="dxa"/>
              <w:bottom w:w="90" w:type="dxa"/>
              <w:end w:w="100" w:type="dxa"/>
            </w:tcMar>
          </w:tcPr>
          <w:p>
            <w:pPr>
              <w:spacing w:after="0" w:line="240" w:lineRule="auto"/>
            </w:pPr>
            <w:r>
              <w:rPr>
                <w:color w:val="1E2B36"/>
                <w:sz w:val="17"/>
              </w:rPr>
              <w:t>y_min, y_max, y_mean, y_std, y_range</w:t>
            </w:r>
          </w:p>
        </w:tc>
        <w:tc>
          <w:tcPr>
            <w:tcW w:type="dxa" w:w="4248"/>
            <w:vAlign w:val="center"/>
            <w:tcMar>
              <w:top w:w="90" w:type="dxa"/>
              <w:start w:w="100" w:type="dxa"/>
              <w:bottom w:w="90" w:type="dxa"/>
              <w:end w:w="100" w:type="dxa"/>
            </w:tcMar>
          </w:tcPr>
          <w:p>
            <w:pPr>
              <w:spacing w:after="0" w:line="240" w:lineRule="auto"/>
            </w:pPr>
            <w:r>
              <w:rPr>
                <w:color w:val="1E2B36"/>
                <w:sz w:val="17"/>
              </w:rPr>
              <w:t>Magnitude, spread and variability.</w:t>
            </w:r>
          </w:p>
        </w:tc>
      </w:tr>
      <w:tr>
        <w:tc>
          <w:tcPr>
            <w:tcW w:type="dxa" w:w="2016"/>
            <w:vAlign w:val="center"/>
            <w:tcMar>
              <w:top w:w="90" w:type="dxa"/>
              <w:start w:w="100" w:type="dxa"/>
              <w:bottom w:w="90" w:type="dxa"/>
              <w:end w:w="100" w:type="dxa"/>
            </w:tcMar>
            <w:shd w:fill="F7FAFC"/>
          </w:tcPr>
          <w:p>
            <w:pPr>
              <w:spacing w:after="0" w:line="240" w:lineRule="auto"/>
            </w:pPr>
            <w:r>
              <w:rPr>
                <w:color w:val="1E2B36"/>
                <w:sz w:val="17"/>
              </w:rPr>
              <w:t>Change</w:t>
            </w:r>
          </w:p>
        </w:tc>
        <w:tc>
          <w:tcPr>
            <w:tcW w:type="dxa" w:w="3528"/>
            <w:vAlign w:val="center"/>
            <w:tcMar>
              <w:top w:w="90" w:type="dxa"/>
              <w:start w:w="100" w:type="dxa"/>
              <w:bottom w:w="90" w:type="dxa"/>
              <w:end w:w="100" w:type="dxa"/>
            </w:tcMar>
            <w:shd w:fill="F7FAFC"/>
          </w:tcPr>
          <w:p>
            <w:pPr>
              <w:spacing w:after="0" w:line="240" w:lineRule="auto"/>
            </w:pPr>
            <w:r>
              <w:rPr>
                <w:color w:val="1E2B36"/>
                <w:sz w:val="17"/>
              </w:rPr>
              <w:t>total_change, slope</w:t>
            </w:r>
          </w:p>
        </w:tc>
        <w:tc>
          <w:tcPr>
            <w:tcW w:type="dxa" w:w="4248"/>
            <w:vAlign w:val="center"/>
            <w:tcMar>
              <w:top w:w="90" w:type="dxa"/>
              <w:start w:w="100" w:type="dxa"/>
              <w:bottom w:w="90" w:type="dxa"/>
              <w:end w:w="100" w:type="dxa"/>
            </w:tcMar>
            <w:shd w:fill="F7FAFC"/>
          </w:tcPr>
          <w:p>
            <w:pPr>
              <w:spacing w:after="0" w:line="240" w:lineRule="auto"/>
            </w:pPr>
            <w:r>
              <w:rPr>
                <w:color w:val="1E2B36"/>
                <w:sz w:val="17"/>
              </w:rPr>
              <w:t>Direction and speed of change.</w:t>
            </w:r>
          </w:p>
        </w:tc>
      </w:tr>
      <w:tr>
        <w:tc>
          <w:tcPr>
            <w:tcW w:type="dxa" w:w="2016"/>
            <w:vAlign w:val="center"/>
            <w:tcMar>
              <w:top w:w="90" w:type="dxa"/>
              <w:start w:w="100" w:type="dxa"/>
              <w:bottom w:w="90" w:type="dxa"/>
              <w:end w:w="100" w:type="dxa"/>
            </w:tcMar>
          </w:tcPr>
          <w:p>
            <w:pPr>
              <w:spacing w:after="0" w:line="240" w:lineRule="auto"/>
            </w:pPr>
            <w:r>
              <w:rPr>
                <w:color w:val="1E2B36"/>
                <w:sz w:val="17"/>
              </w:rPr>
              <w:t>Integrated response</w:t>
            </w:r>
          </w:p>
        </w:tc>
        <w:tc>
          <w:tcPr>
            <w:tcW w:type="dxa" w:w="3528"/>
            <w:vAlign w:val="center"/>
            <w:tcMar>
              <w:top w:w="90" w:type="dxa"/>
              <w:start w:w="100" w:type="dxa"/>
              <w:bottom w:w="90" w:type="dxa"/>
              <w:end w:w="100" w:type="dxa"/>
            </w:tcMar>
          </w:tcPr>
          <w:p>
            <w:pPr>
              <w:spacing w:after="0" w:line="240" w:lineRule="auto"/>
            </w:pPr>
            <w:r>
              <w:rPr>
                <w:color w:val="1E2B36"/>
                <w:sz w:val="17"/>
              </w:rPr>
              <w:t>AUC</w:t>
            </w:r>
          </w:p>
        </w:tc>
        <w:tc>
          <w:tcPr>
            <w:tcW w:type="dxa" w:w="4248"/>
            <w:vAlign w:val="center"/>
            <w:tcMar>
              <w:top w:w="90" w:type="dxa"/>
              <w:start w:w="100" w:type="dxa"/>
              <w:bottom w:w="90" w:type="dxa"/>
              <w:end w:w="100" w:type="dxa"/>
            </w:tcMar>
          </w:tcPr>
          <w:p>
            <w:pPr>
              <w:spacing w:after="0" w:line="240" w:lineRule="auto"/>
            </w:pPr>
            <w:r>
              <w:rPr>
                <w:color w:val="1E2B36"/>
                <w:sz w:val="17"/>
              </w:rPr>
              <w:t>Overall accumulated response across time.</w:t>
            </w:r>
          </w:p>
        </w:tc>
      </w:tr>
      <w:tr>
        <w:tc>
          <w:tcPr>
            <w:tcW w:type="dxa" w:w="2016"/>
            <w:vAlign w:val="center"/>
            <w:tcMar>
              <w:top w:w="90" w:type="dxa"/>
              <w:start w:w="100" w:type="dxa"/>
              <w:bottom w:w="90" w:type="dxa"/>
              <w:end w:w="100" w:type="dxa"/>
            </w:tcMar>
            <w:shd w:fill="F7FAFC"/>
          </w:tcPr>
          <w:p>
            <w:pPr>
              <w:spacing w:after="0" w:line="240" w:lineRule="auto"/>
            </w:pPr>
            <w:r>
              <w:rPr>
                <w:color w:val="1E2B36"/>
                <w:sz w:val="17"/>
              </w:rPr>
              <w:t>Timing</w:t>
            </w:r>
          </w:p>
        </w:tc>
        <w:tc>
          <w:tcPr>
            <w:tcW w:type="dxa" w:w="3528"/>
            <w:vAlign w:val="center"/>
            <w:tcMar>
              <w:top w:w="90" w:type="dxa"/>
              <w:start w:w="100" w:type="dxa"/>
              <w:bottom w:w="90" w:type="dxa"/>
              <w:end w:w="100" w:type="dxa"/>
            </w:tcMar>
            <w:shd w:fill="F7FAFC"/>
          </w:tcPr>
          <w:p>
            <w:pPr>
              <w:spacing w:after="0" w:line="240" w:lineRule="auto"/>
            </w:pPr>
            <w:r>
              <w:rPr>
                <w:color w:val="1E2B36"/>
                <w:sz w:val="17"/>
              </w:rPr>
              <w:t>time_to_peak and pH-threshold fields</w:t>
            </w:r>
          </w:p>
        </w:tc>
        <w:tc>
          <w:tcPr>
            <w:tcW w:type="dxa" w:w="4248"/>
            <w:vAlign w:val="center"/>
            <w:tcMar>
              <w:top w:w="90" w:type="dxa"/>
              <w:start w:w="100" w:type="dxa"/>
              <w:bottom w:w="90" w:type="dxa"/>
              <w:end w:w="100" w:type="dxa"/>
            </w:tcMar>
            <w:shd w:fill="F7FAFC"/>
          </w:tcPr>
          <w:p>
            <w:pPr>
              <w:spacing w:after="0" w:line="240" w:lineRule="auto"/>
            </w:pPr>
            <w:r>
              <w:rPr>
                <w:color w:val="1E2B36"/>
                <w:sz w:val="17"/>
              </w:rPr>
              <w:t>When important events occur; pH fields are currently empty because no pH curve samples have yet been cleaned.</w:t>
            </w:r>
          </w:p>
        </w:tc>
      </w:tr>
    </w:tbl>
    <w:p>
      <w:pPr>
        <w:spacing w:after="0"/>
      </w:pPr>
    </w:p>
    <w:p>
      <w:pPr>
        <w:pStyle w:val="Heading2"/>
        <w:keepNext/>
      </w:pPr>
      <w:r>
        <w:t>4.2 Dimensionality-reduction work completed</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52"/>
            <w:shd w:fill="123B5D"/>
            <w:vAlign w:val="center"/>
            <w:tcMar>
              <w:top w:w="90" w:type="dxa"/>
              <w:start w:w="100" w:type="dxa"/>
              <w:bottom w:w="90" w:type="dxa"/>
              <w:end w:w="100" w:type="dxa"/>
            </w:tcMar>
          </w:tcPr>
          <w:p>
            <w:pPr>
              <w:jc w:val="center"/>
            </w:pPr>
            <w:r>
              <w:rPr>
                <w:b/>
                <w:color w:val="FFFFFF"/>
                <w:sz w:val="17"/>
              </w:rPr>
              <w:t>Method</w:t>
            </w:r>
          </w:p>
        </w:tc>
        <w:tc>
          <w:tcPr>
            <w:tcW w:type="dxa" w:w="1800"/>
            <w:shd w:fill="123B5D"/>
            <w:vAlign w:val="center"/>
            <w:tcMar>
              <w:top w:w="90" w:type="dxa"/>
              <w:start w:w="100" w:type="dxa"/>
              <w:bottom w:w="90" w:type="dxa"/>
              <w:end w:w="100" w:type="dxa"/>
            </w:tcMar>
          </w:tcPr>
          <w:p>
            <w:pPr>
              <w:jc w:val="center"/>
            </w:pPr>
            <w:r>
              <w:rPr>
                <w:b/>
                <w:color w:val="FFFFFF"/>
                <w:sz w:val="17"/>
              </w:rPr>
              <w:t>Status</w:t>
            </w:r>
          </w:p>
        </w:tc>
        <w:tc>
          <w:tcPr>
            <w:tcW w:type="dxa" w:w="3600"/>
            <w:shd w:fill="123B5D"/>
            <w:vAlign w:val="center"/>
            <w:tcMar>
              <w:top w:w="90" w:type="dxa"/>
              <w:start w:w="100" w:type="dxa"/>
              <w:bottom w:w="90" w:type="dxa"/>
              <w:end w:w="100" w:type="dxa"/>
            </w:tcMar>
          </w:tcPr>
          <w:p>
            <w:pPr>
              <w:jc w:val="center"/>
            </w:pPr>
            <w:r>
              <w:rPr>
                <w:b/>
                <w:color w:val="FFFFFF"/>
                <w:sz w:val="17"/>
              </w:rPr>
              <w:t>Week 8 output</w:t>
            </w:r>
          </w:p>
        </w:tc>
        <w:tc>
          <w:tcPr>
            <w:tcW w:type="dxa" w:w="3312"/>
            <w:shd w:fill="123B5D"/>
            <w:vAlign w:val="center"/>
            <w:tcMar>
              <w:top w:w="90" w:type="dxa"/>
              <w:start w:w="100" w:type="dxa"/>
              <w:bottom w:w="90" w:type="dxa"/>
              <w:end w:w="100" w:type="dxa"/>
            </w:tcMar>
          </w:tcPr>
          <w:p>
            <w:pPr>
              <w:jc w:val="center"/>
            </w:pPr>
            <w:r>
              <w:rPr>
                <w:b/>
                <w:color w:val="FFFFFF"/>
                <w:sz w:val="17"/>
              </w:rPr>
              <w:t>Safe interpretation</w:t>
            </w:r>
          </w:p>
        </w:tc>
      </w:tr>
      <w:tr>
        <w:tc>
          <w:tcPr>
            <w:tcW w:type="dxa" w:w="1152"/>
            <w:vAlign w:val="center"/>
            <w:tcMar>
              <w:top w:w="90" w:type="dxa"/>
              <w:start w:w="100" w:type="dxa"/>
              <w:bottom w:w="90" w:type="dxa"/>
              <w:end w:w="100" w:type="dxa"/>
            </w:tcMar>
          </w:tcPr>
          <w:p>
            <w:pPr>
              <w:spacing w:after="0" w:line="240" w:lineRule="auto"/>
            </w:pPr>
            <w:r>
              <w:rPr>
                <w:color w:val="1E2B36"/>
                <w:sz w:val="17"/>
              </w:rPr>
              <w:t>PCA</w:t>
            </w:r>
          </w:p>
        </w:tc>
        <w:tc>
          <w:tcPr>
            <w:tcW w:type="dxa" w:w="1800"/>
            <w:vAlign w:val="center"/>
            <w:tcMar>
              <w:top w:w="90" w:type="dxa"/>
              <w:start w:w="100" w:type="dxa"/>
              <w:bottom w:w="90" w:type="dxa"/>
              <w:end w:w="100" w:type="dxa"/>
            </w:tcMar>
          </w:tcPr>
          <w:p>
            <w:pPr>
              <w:spacing w:after="0" w:line="240" w:lineRule="auto"/>
            </w:pPr>
            <w:r>
              <w:rPr>
                <w:color w:val="1E2B36"/>
                <w:sz w:val="17"/>
              </w:rPr>
              <w:t>Completed</w:t>
            </w:r>
          </w:p>
        </w:tc>
        <w:tc>
          <w:tcPr>
            <w:tcW w:type="dxa" w:w="3600"/>
            <w:vAlign w:val="center"/>
            <w:tcMar>
              <w:top w:w="90" w:type="dxa"/>
              <w:start w:w="100" w:type="dxa"/>
              <w:bottom w:w="90" w:type="dxa"/>
              <w:end w:w="100" w:type="dxa"/>
            </w:tcMar>
          </w:tcPr>
          <w:p>
            <w:pPr>
              <w:spacing w:after="0" w:line="240" w:lineRule="auto"/>
            </w:pPr>
            <w:r>
              <w:rPr>
                <w:color w:val="1E2B36"/>
                <w:sz w:val="17"/>
              </w:rPr>
              <w:t>Linear overview; PC1=50.5%, PC2=40.3%, total ≈90.8%.</w:t>
            </w:r>
          </w:p>
        </w:tc>
        <w:tc>
          <w:tcPr>
            <w:tcW w:type="dxa" w:w="3312"/>
            <w:vAlign w:val="center"/>
            <w:tcMar>
              <w:top w:w="90" w:type="dxa"/>
              <w:start w:w="100" w:type="dxa"/>
              <w:bottom w:w="90" w:type="dxa"/>
              <w:end w:w="100" w:type="dxa"/>
            </w:tcMar>
          </w:tcPr>
          <w:p>
            <w:pPr>
              <w:spacing w:after="0" w:line="240" w:lineRule="auto"/>
            </w:pPr>
            <w:r>
              <w:rPr>
                <w:color w:val="1E2B36"/>
                <w:sz w:val="17"/>
              </w:rPr>
              <w:t>Best first method for explaining dominant feature variation.</w:t>
            </w:r>
          </w:p>
        </w:tc>
      </w:tr>
      <w:tr>
        <w:tc>
          <w:tcPr>
            <w:tcW w:type="dxa" w:w="1152"/>
            <w:vAlign w:val="center"/>
            <w:tcMar>
              <w:top w:w="90" w:type="dxa"/>
              <w:start w:w="100" w:type="dxa"/>
              <w:bottom w:w="90" w:type="dxa"/>
              <w:end w:w="100" w:type="dxa"/>
            </w:tcMar>
            <w:shd w:fill="F7FAFC"/>
          </w:tcPr>
          <w:p>
            <w:pPr>
              <w:spacing w:after="0" w:line="240" w:lineRule="auto"/>
            </w:pPr>
            <w:r>
              <w:rPr>
                <w:color w:val="1E2B36"/>
                <w:sz w:val="17"/>
              </w:rPr>
              <w:t>t-SNE</w:t>
            </w:r>
          </w:p>
        </w:tc>
        <w:tc>
          <w:tcPr>
            <w:tcW w:type="dxa" w:w="1800"/>
            <w:vAlign w:val="center"/>
            <w:tcMar>
              <w:top w:w="90" w:type="dxa"/>
              <w:start w:w="100" w:type="dxa"/>
              <w:bottom w:w="90" w:type="dxa"/>
              <w:end w:w="100" w:type="dxa"/>
            </w:tcMar>
            <w:shd w:fill="F7FAFC"/>
          </w:tcPr>
          <w:p>
            <w:pPr>
              <w:spacing w:after="0" w:line="240" w:lineRule="auto"/>
            </w:pPr>
            <w:r>
              <w:rPr>
                <w:color w:val="1E2B36"/>
                <w:sz w:val="17"/>
              </w:rPr>
              <w:t>Completed with perplexity 3</w:t>
            </w:r>
          </w:p>
        </w:tc>
        <w:tc>
          <w:tcPr>
            <w:tcW w:type="dxa" w:w="3600"/>
            <w:vAlign w:val="center"/>
            <w:tcMar>
              <w:top w:w="90" w:type="dxa"/>
              <w:start w:w="100" w:type="dxa"/>
              <w:bottom w:w="90" w:type="dxa"/>
              <w:end w:w="100" w:type="dxa"/>
            </w:tcMar>
            <w:shd w:fill="F7FAFC"/>
          </w:tcPr>
          <w:p>
            <w:pPr>
              <w:spacing w:after="0" w:line="240" w:lineRule="auto"/>
            </w:pPr>
            <w:r>
              <w:rPr>
                <w:color w:val="1E2B36"/>
                <w:sz w:val="17"/>
              </w:rPr>
              <w:t>Local-neighbourhood visualisation for eight samples.</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Presentation only; coordinates and global distances are not stable clinical measures.</w:t>
            </w:r>
          </w:p>
        </w:tc>
      </w:tr>
      <w:tr>
        <w:tc>
          <w:tcPr>
            <w:tcW w:type="dxa" w:w="1152"/>
            <w:vAlign w:val="center"/>
            <w:tcMar>
              <w:top w:w="90" w:type="dxa"/>
              <w:start w:w="100" w:type="dxa"/>
              <w:bottom w:w="90" w:type="dxa"/>
              <w:end w:w="100" w:type="dxa"/>
            </w:tcMar>
          </w:tcPr>
          <w:p>
            <w:pPr>
              <w:spacing w:after="0" w:line="240" w:lineRule="auto"/>
            </w:pPr>
            <w:r>
              <w:rPr>
                <w:color w:val="1E2B36"/>
                <w:sz w:val="17"/>
              </w:rPr>
              <w:t>MDS</w:t>
            </w:r>
          </w:p>
        </w:tc>
        <w:tc>
          <w:tcPr>
            <w:tcW w:type="dxa" w:w="1800"/>
            <w:vAlign w:val="center"/>
            <w:tcMar>
              <w:top w:w="90" w:type="dxa"/>
              <w:start w:w="100" w:type="dxa"/>
              <w:bottom w:w="90" w:type="dxa"/>
              <w:end w:w="100" w:type="dxa"/>
            </w:tcMar>
          </w:tcPr>
          <w:p>
            <w:pPr>
              <w:spacing w:after="0" w:line="240" w:lineRule="auto"/>
            </w:pPr>
            <w:r>
              <w:rPr>
                <w:color w:val="1E2B36"/>
                <w:sz w:val="17"/>
              </w:rPr>
              <w:t>Completed</w:t>
            </w:r>
          </w:p>
        </w:tc>
        <w:tc>
          <w:tcPr>
            <w:tcW w:type="dxa" w:w="3600"/>
            <w:vAlign w:val="center"/>
            <w:tcMar>
              <w:top w:w="90" w:type="dxa"/>
              <w:start w:w="100" w:type="dxa"/>
              <w:bottom w:w="90" w:type="dxa"/>
              <w:end w:w="100" w:type="dxa"/>
            </w:tcMar>
          </w:tcPr>
          <w:p>
            <w:pPr>
              <w:spacing w:after="0" w:line="240" w:lineRule="auto"/>
            </w:pPr>
            <w:r>
              <w:rPr>
                <w:color w:val="1E2B36"/>
                <w:sz w:val="17"/>
              </w:rPr>
              <w:t>Distance-based representation of curve-feature similarity.</w:t>
            </w:r>
          </w:p>
        </w:tc>
        <w:tc>
          <w:tcPr>
            <w:tcW w:type="dxa" w:w="3312"/>
            <w:vAlign w:val="center"/>
            <w:tcMar>
              <w:top w:w="90" w:type="dxa"/>
              <w:start w:w="100" w:type="dxa"/>
              <w:bottom w:w="90" w:type="dxa"/>
              <w:end w:w="100" w:type="dxa"/>
            </w:tcMar>
          </w:tcPr>
          <w:p>
            <w:pPr>
              <w:spacing w:after="0" w:line="240" w:lineRule="auto"/>
            </w:pPr>
            <w:r>
              <w:rPr>
                <w:color w:val="1E2B36"/>
                <w:sz w:val="17"/>
              </w:rPr>
              <w:t>Useful to compare relative similarity of trajectories.</w:t>
            </w:r>
          </w:p>
        </w:tc>
      </w:tr>
      <w:tr>
        <w:tc>
          <w:tcPr>
            <w:tcW w:type="dxa" w:w="1152"/>
            <w:vAlign w:val="center"/>
            <w:tcMar>
              <w:top w:w="90" w:type="dxa"/>
              <w:start w:w="100" w:type="dxa"/>
              <w:bottom w:w="90" w:type="dxa"/>
              <w:end w:w="100" w:type="dxa"/>
            </w:tcMar>
            <w:shd w:fill="F7FAFC"/>
          </w:tcPr>
          <w:p>
            <w:pPr>
              <w:spacing w:after="0" w:line="240" w:lineRule="auto"/>
            </w:pPr>
            <w:r>
              <w:rPr>
                <w:color w:val="1E2B36"/>
                <w:sz w:val="17"/>
              </w:rPr>
              <w:t>UMAP</w:t>
            </w:r>
          </w:p>
        </w:tc>
        <w:tc>
          <w:tcPr>
            <w:tcW w:type="dxa" w:w="1800"/>
            <w:vAlign w:val="center"/>
            <w:tcMar>
              <w:top w:w="90" w:type="dxa"/>
              <w:start w:w="100" w:type="dxa"/>
              <w:bottom w:w="90" w:type="dxa"/>
              <w:end w:w="100" w:type="dxa"/>
            </w:tcMar>
            <w:shd w:fill="F7FAFC"/>
          </w:tcPr>
          <w:p>
            <w:pPr>
              <w:spacing w:after="0" w:line="240" w:lineRule="auto"/>
            </w:pPr>
            <w:r>
              <w:rPr>
                <w:color w:val="1E2B36"/>
                <w:sz w:val="17"/>
              </w:rPr>
              <w:t>Not treated as fully completed</w:t>
            </w:r>
          </w:p>
        </w:tc>
        <w:tc>
          <w:tcPr>
            <w:tcW w:type="dxa" w:w="3600"/>
            <w:vAlign w:val="center"/>
            <w:tcMar>
              <w:top w:w="90" w:type="dxa"/>
              <w:start w:w="100" w:type="dxa"/>
              <w:bottom w:w="90" w:type="dxa"/>
              <w:end w:w="100" w:type="dxa"/>
            </w:tcMar>
            <w:shd w:fill="F7FAFC"/>
          </w:tcPr>
          <w:p>
            <w:pPr>
              <w:spacing w:after="0" w:line="240" w:lineRule="auto"/>
            </w:pPr>
            <w:r>
              <w:rPr>
                <w:color w:val="1E2B36"/>
                <w:sz w:val="17"/>
              </w:rPr>
              <w:t>One package uses Spectral Embedding as a small-dataset fallback; another provides instructions for true UMAP.</w:t>
            </w:r>
          </w:p>
        </w:tc>
        <w:tc>
          <w:tcPr>
            <w:tcW w:type="dxa" w:w="3312"/>
            <w:vAlign w:val="center"/>
            <w:tcMar>
              <w:top w:w="90" w:type="dxa"/>
              <w:start w:w="100" w:type="dxa"/>
              <w:bottom w:w="90" w:type="dxa"/>
              <w:end w:w="100" w:type="dxa"/>
            </w:tcMar>
            <w:shd w:fill="F7FAFC"/>
          </w:tcPr>
          <w:p>
            <w:pPr>
              <w:spacing w:after="0" w:line="240" w:lineRule="auto"/>
            </w:pPr>
            <w:r>
              <w:rPr>
                <w:color w:val="1E2B36"/>
                <w:sz w:val="17"/>
              </w:rPr>
              <w:t>Install umap-learn and rerun after the sample set is larger.</w:t>
            </w:r>
          </w:p>
        </w:tc>
      </w:tr>
      <w:tr>
        <w:tc>
          <w:tcPr>
            <w:tcW w:type="dxa" w:w="1152"/>
            <w:vAlign w:val="center"/>
            <w:tcMar>
              <w:top w:w="90" w:type="dxa"/>
              <w:start w:w="100" w:type="dxa"/>
              <w:bottom w:w="90" w:type="dxa"/>
              <w:end w:w="100" w:type="dxa"/>
            </w:tcMar>
          </w:tcPr>
          <w:p>
            <w:pPr>
              <w:spacing w:after="0" w:line="240" w:lineRule="auto"/>
            </w:pPr>
            <w:r>
              <w:rPr>
                <w:color w:val="1E2B36"/>
                <w:sz w:val="17"/>
              </w:rPr>
              <w:t>Isomap</w:t>
            </w:r>
          </w:p>
        </w:tc>
        <w:tc>
          <w:tcPr>
            <w:tcW w:type="dxa" w:w="1800"/>
            <w:vAlign w:val="center"/>
            <w:tcMar>
              <w:top w:w="90" w:type="dxa"/>
              <w:start w:w="100" w:type="dxa"/>
              <w:bottom w:w="90" w:type="dxa"/>
              <w:end w:w="100" w:type="dxa"/>
            </w:tcMar>
          </w:tcPr>
          <w:p>
            <w:pPr>
              <w:spacing w:after="0" w:line="240" w:lineRule="auto"/>
            </w:pPr>
            <w:r>
              <w:rPr>
                <w:color w:val="1E2B36"/>
                <w:sz w:val="17"/>
              </w:rPr>
              <w:t>Available as fallback</w:t>
            </w:r>
          </w:p>
        </w:tc>
        <w:tc>
          <w:tcPr>
            <w:tcW w:type="dxa" w:w="3600"/>
            <w:vAlign w:val="center"/>
            <w:tcMar>
              <w:top w:w="90" w:type="dxa"/>
              <w:start w:w="100" w:type="dxa"/>
              <w:bottom w:w="90" w:type="dxa"/>
              <w:end w:w="100" w:type="dxa"/>
            </w:tcMar>
          </w:tcPr>
          <w:p>
            <w:pPr>
              <w:spacing w:after="0" w:line="240" w:lineRule="auto"/>
            </w:pPr>
            <w:r>
              <w:rPr>
                <w:color w:val="1E2B36"/>
                <w:sz w:val="17"/>
              </w:rPr>
              <w:t>Nonlinear manifold alternative in the analysis package.</w:t>
            </w:r>
          </w:p>
        </w:tc>
        <w:tc>
          <w:tcPr>
            <w:tcW w:type="dxa" w:w="3312"/>
            <w:vAlign w:val="center"/>
            <w:tcMar>
              <w:top w:w="90" w:type="dxa"/>
              <w:start w:w="100" w:type="dxa"/>
              <w:bottom w:w="90" w:type="dxa"/>
              <w:end w:w="100" w:type="dxa"/>
            </w:tcMar>
          </w:tcPr>
          <w:p>
            <w:pPr>
              <w:spacing w:after="0" w:line="240" w:lineRule="auto"/>
            </w:pPr>
            <w:r>
              <w:rPr>
                <w:color w:val="1E2B36"/>
                <w:sz w:val="17"/>
              </w:rPr>
              <w:t>Exploratory only.</w:t>
            </w:r>
          </w:p>
        </w:tc>
      </w:tr>
    </w:tbl>
    <w:p>
      <w:pPr>
        <w:spacing w:after="0"/>
      </w:pPr>
    </w:p>
    <w:p>
      <w:pPr>
        <w:spacing w:before="100" w:after="80"/>
        <w:jc w:val="center"/>
      </w:pPr>
      <w:r>
        <w:drawing>
          <wp:inline xmlns:a="http://schemas.openxmlformats.org/drawingml/2006/main" xmlns:pic="http://schemas.openxmlformats.org/drawingml/2006/picture">
            <wp:extent cx="6126480" cy="2372993"/>
            <wp:docPr id="4" name="Picture 4"/>
            <wp:cNvGraphicFramePr>
              <a:graphicFrameLocks noChangeAspect="1"/>
            </wp:cNvGraphicFramePr>
            <a:graphic>
              <a:graphicData uri="http://schemas.openxmlformats.org/drawingml/2006/picture">
                <pic:pic>
                  <pic:nvPicPr>
                    <pic:cNvPr id="0" name="figure4_latent_space_comparison.png"/>
                    <pic:cNvPicPr/>
                  </pic:nvPicPr>
                  <pic:blipFill>
                    <a:blip r:embed="rId14"/>
                    <a:stretch>
                      <a:fillRect/>
                    </a:stretch>
                  </pic:blipFill>
                  <pic:spPr>
                    <a:xfrm>
                      <a:off x="0" y="0"/>
                      <a:ext cx="6126480" cy="2372993"/>
                    </a:xfrm>
                    <a:prstGeom prst="rect"/>
                  </pic:spPr>
                </pic:pic>
              </a:graphicData>
            </a:graphic>
          </wp:inline>
        </w:drawing>
      </w:r>
    </w:p>
    <w:p>
      <w:pPr>
        <w:pStyle w:val="Caption"/>
        <w:jc w:val="center"/>
      </w:pPr>
      <w:r>
        <w:rPr>
          <w:b/>
        </w:rPr>
        <w:t>Figure 3. PCA, t-SNE and MDS views generated from the eight curve-level samples.</w:t>
      </w:r>
    </w:p>
    <w:p>
      <w:pPr>
        <w:pStyle w:val="Heading2"/>
        <w:keepNext/>
      </w:pPr>
      <w:r>
        <w:t>4.3 Interpretation of the exploratory plots</w:t>
      </w:r>
    </w:p>
    <w:p>
      <w:pPr>
        <w:pStyle w:val="ListBullet"/>
        <w:spacing w:after="60"/>
      </w:pPr>
      <w:r>
        <w:t>Temperature samples S007 and S008 are almost identical in PCA and MDS space, reflecting very similar trajectories and feature values.</w:t>
      </w:r>
    </w:p>
    <w:p>
      <w:pPr>
        <w:pStyle w:val="ListBullet"/>
        <w:spacing w:after="60"/>
      </w:pPr>
      <w:r>
        <w:t>Granulation samples S005 and S006 also remain close, showing that the feature extraction preserves their similarity.</w:t>
      </w:r>
    </w:p>
    <w:p>
      <w:pPr>
        <w:pStyle w:val="ListBullet"/>
        <w:spacing w:after="60"/>
      </w:pPr>
      <w:r>
        <w:t>Healing-percentage samples are separated from wound-area and temperature curves because their ranges, slopes and total changes differ strongly.</w:t>
      </w:r>
    </w:p>
    <w:p>
      <w:pPr>
        <w:pStyle w:val="ListBullet"/>
        <w:spacing w:after="60"/>
      </w:pPr>
      <w:r>
        <w:t>PCA loadings indicate that PC1 is strongly influenced by y standard deviation, y range, total change and slope, while PC2 is influenced by mean/minimum values and curve-span/sample-count terms.</w:t>
      </w:r>
    </w:p>
    <w:p>
      <w:pPr>
        <w:pStyle w:val="ListBullet"/>
        <w:spacing w:after="60"/>
      </w:pPr>
      <w:r>
        <w:t>The apparent four-parameter grouping is technically useful for checking the pipeline, but eight samples are insufficient for a valid clustering or classification claim.</w:t>
      </w:r>
    </w:p>
    <w:p>
      <w:pPr>
        <w:pStyle w:val="Heading2"/>
        <w:keepNext/>
      </w:pPr>
      <w:r>
        <w:t>4.4 Model-planning work</w:t>
      </w:r>
    </w:p>
    <w:p>
      <w:r>
        <w:t>The archive includes demonstration tests for Linear Regression, Ridge, Decision Tree, Random Forest Regressor and RBF-SVR, plus a recommendation to use Random Forest as the first serious nonlinear baseline after the dataset is expanded. The demonstration error values should not be reported as model performance because the target combines heterogeneous parameters and the dataset contains only eight feature rows.</w:t>
      </w:r>
    </w:p>
    <w:tbl>
      <w:tblPr>
        <w:tblW w:type="auto" w:w="0"/>
        <w:jc w:val="center"/>
        <w:tblLayout w:type="autofit"/>
        <w:tblLook w:firstColumn="1" w:firstRow="1" w:lastColumn="0" w:lastRow="0" w:noHBand="0" w:noVBand="1" w:val="04A0"/>
      </w:tblPr>
      <w:tblGrid>
        <w:gridCol w:w="9866"/>
      </w:tblGrid>
      <w:tr>
        <w:tc>
          <w:tcPr>
            <w:tcW w:type="dxa" w:w="9866"/>
            <w:shd w:fill="F4FBF8"/>
            <w:tcMar>
              <w:top w:w="130" w:type="dxa"/>
              <w:start w:w="150" w:type="dxa"/>
              <w:bottom w:w="130" w:type="dxa"/>
              <w:end w:w="150" w:type="dxa"/>
            </w:tcMar>
            <w:tcBorders>
              <w:top w:val="single" w:sz="12" w:color="4E9F6D"/>
              <w:left w:val="single" w:sz="12" w:color="4E9F6D"/>
              <w:bottom w:val="single" w:sz="12" w:color="4E9F6D"/>
              <w:right w:val="single" w:sz="12" w:color="4E9F6D"/>
            </w:tcBorders>
          </w:tcPr>
          <w:p>
            <w:pPr>
              <w:spacing w:after="60"/>
            </w:pPr>
            <w:r>
              <w:rPr>
                <w:b/>
                <w:color w:val="4E9F6D"/>
                <w:sz w:val="22"/>
              </w:rPr>
              <w:t>Recommended future modelling sequence</w:t>
            </w:r>
          </w:p>
          <w:p>
            <w:pPr>
              <w:spacing w:after="0" w:line="259" w:lineRule="auto"/>
            </w:pPr>
            <w:r>
              <w:t>Sensor calibration: linear/polynomial regression. Exploratory structure: PCA first, then true UMAP/t-SNE and MDS. Wound-status classification after sufficient labelled data: Random Forest compared against SVM-RBF and Logistic Regression. Healing/outcome prediction: Random Forest Regressor compared with Ridge/linear baselines.</w:t>
            </w:r>
          </w:p>
        </w:tc>
      </w:tr>
    </w:tbl>
    <w:p>
      <w:pPr>
        <w:pStyle w:val="Heading1"/>
        <w:keepNext/>
      </w:pPr>
      <w:r>
        <w:t>5. Ceylon Medical Journal manuscript revision</w:t>
      </w:r>
    </w:p>
    <w:p>
      <w:r>
        <w:t>The second major Week 8 workstream was the revision of the manuscript on smart wound monitoring. Three versions are preserved in the archive so the development path and the response to feedback are transparent.</w:t>
      </w:r>
    </w:p>
    <w:p>
      <w:pPr>
        <w:spacing w:before="100" w:after="80"/>
        <w:jc w:val="center"/>
      </w:pPr>
      <w:r>
        <w:drawing>
          <wp:inline xmlns:a="http://schemas.openxmlformats.org/drawingml/2006/main" xmlns:pic="http://schemas.openxmlformats.org/drawingml/2006/picture">
            <wp:extent cx="6080760" cy="3438525"/>
            <wp:docPr id="5" name="Picture 5"/>
            <wp:cNvGraphicFramePr>
              <a:graphicFrameLocks noChangeAspect="1"/>
            </wp:cNvGraphicFramePr>
            <a:graphic>
              <a:graphicData uri="http://schemas.openxmlformats.org/drawingml/2006/picture">
                <pic:pic>
                  <pic:nvPicPr>
                    <pic:cNvPr id="0" name="figure5_cmj_revision_evolution.png"/>
                    <pic:cNvPicPr/>
                  </pic:nvPicPr>
                  <pic:blipFill>
                    <a:blip r:embed="rId15"/>
                    <a:stretch>
                      <a:fillRect/>
                    </a:stretch>
                  </pic:blipFill>
                  <pic:spPr>
                    <a:xfrm>
                      <a:off x="0" y="0"/>
                      <a:ext cx="6080760" cy="3438525"/>
                    </a:xfrm>
                    <a:prstGeom prst="rect"/>
                  </pic:spPr>
                </pic:pic>
              </a:graphicData>
            </a:graphic>
          </wp:inline>
        </w:drawing>
      </w:r>
    </w:p>
    <w:p>
      <w:pPr>
        <w:pStyle w:val="Caption"/>
        <w:jc w:val="center"/>
      </w:pPr>
      <w:r>
        <w:rPr>
          <w:b/>
        </w:rPr>
        <w:t>Figure 4. Development of the CMJ manuscript from the initial submission package to the adviser-rebuilt quantitative review.</w:t>
      </w:r>
    </w:p>
    <w:p>
      <w:pPr>
        <w:pStyle w:val="Heading2"/>
        <w:keepNext/>
      </w:pPr>
      <w:r>
        <w:t>5.1 Version-by-version development</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92"/>
            <w:shd w:fill="123B5D"/>
            <w:vAlign w:val="center"/>
            <w:tcMar>
              <w:top w:w="90" w:type="dxa"/>
              <w:start w:w="100" w:type="dxa"/>
              <w:bottom w:w="90" w:type="dxa"/>
              <w:end w:w="100" w:type="dxa"/>
            </w:tcMar>
          </w:tcPr>
          <w:p>
            <w:pPr>
              <w:jc w:val="center"/>
            </w:pPr>
            <w:r>
              <w:rPr>
                <w:b/>
                <w:color w:val="FFFFFF"/>
                <w:sz w:val="18"/>
              </w:rPr>
              <w:t>Version</w:t>
            </w:r>
          </w:p>
        </w:tc>
        <w:tc>
          <w:tcPr>
            <w:tcW w:type="dxa" w:w="7056"/>
            <w:shd w:fill="123B5D"/>
            <w:vAlign w:val="center"/>
            <w:tcMar>
              <w:top w:w="90" w:type="dxa"/>
              <w:start w:w="100" w:type="dxa"/>
              <w:bottom w:w="90" w:type="dxa"/>
              <w:end w:w="100" w:type="dxa"/>
            </w:tcMar>
          </w:tcPr>
          <w:p>
            <w:pPr>
              <w:jc w:val="center"/>
            </w:pPr>
            <w:r>
              <w:rPr>
                <w:b/>
                <w:color w:val="FFFFFF"/>
                <w:sz w:val="18"/>
              </w:rPr>
              <w:t>Main work completed</w:t>
            </w:r>
          </w:p>
        </w:tc>
      </w:tr>
      <w:tr>
        <w:tc>
          <w:tcPr>
            <w:tcW w:type="dxa" w:w="2592"/>
            <w:vAlign w:val="center"/>
            <w:tcMar>
              <w:top w:w="90" w:type="dxa"/>
              <w:start w:w="100" w:type="dxa"/>
              <w:bottom w:w="90" w:type="dxa"/>
              <w:end w:w="100" w:type="dxa"/>
            </w:tcMar>
          </w:tcPr>
          <w:p>
            <w:pPr>
              <w:spacing w:after="0" w:line="240" w:lineRule="auto"/>
            </w:pPr>
            <w:r>
              <w:rPr>
                <w:color w:val="1E2B36"/>
                <w:sz w:val="18"/>
              </w:rPr>
              <w:t>V1 — Initial submission package</w:t>
            </w:r>
          </w:p>
        </w:tc>
        <w:tc>
          <w:tcPr>
            <w:tcW w:type="dxa" w:w="7056"/>
            <w:vAlign w:val="center"/>
            <w:tcMar>
              <w:top w:w="90" w:type="dxa"/>
              <w:start w:w="100" w:type="dxa"/>
              <w:bottom w:w="90" w:type="dxa"/>
              <w:end w:w="100" w:type="dxa"/>
            </w:tcMar>
          </w:tcPr>
          <w:p>
            <w:pPr>
              <w:spacing w:after="0" w:line="240" w:lineRule="auto"/>
            </w:pPr>
            <w:r>
              <w:rPr>
                <w:color w:val="1E2B36"/>
                <w:sz w:val="18"/>
              </w:rPr>
              <w:t>Prepared with-author and anonymised manuscripts, title page, cover letter, comments-to-editor text and compliance checklist. Included three tables and one architecture figure.</w:t>
            </w:r>
          </w:p>
        </w:tc>
      </w:tr>
      <w:tr>
        <w:tc>
          <w:tcPr>
            <w:tcW w:type="dxa" w:w="2592"/>
            <w:vAlign w:val="center"/>
            <w:tcMar>
              <w:top w:w="90" w:type="dxa"/>
              <w:start w:w="100" w:type="dxa"/>
              <w:bottom w:w="90" w:type="dxa"/>
              <w:end w:w="100" w:type="dxa"/>
            </w:tcMar>
            <w:shd w:fill="F7FAFC"/>
          </w:tcPr>
          <w:p>
            <w:pPr>
              <w:spacing w:after="0" w:line="240" w:lineRule="auto"/>
            </w:pPr>
            <w:r>
              <w:rPr>
                <w:color w:val="1E2B36"/>
                <w:sz w:val="18"/>
              </w:rPr>
              <w:t>V2 — Pure review correction</w:t>
            </w:r>
          </w:p>
        </w:tc>
        <w:tc>
          <w:tcPr>
            <w:tcW w:type="dxa" w:w="7056"/>
            <w:vAlign w:val="center"/>
            <w:tcMar>
              <w:top w:w="90" w:type="dxa"/>
              <w:start w:w="100" w:type="dxa"/>
              <w:bottom w:w="90" w:type="dxa"/>
              <w:end w:w="100" w:type="dxa"/>
            </w:tcMar>
            <w:shd w:fill="F7FAFC"/>
          </w:tcPr>
          <w:p>
            <w:pPr>
              <w:spacing w:after="0" w:line="240" w:lineRule="auto"/>
            </w:pPr>
            <w:r>
              <w:rPr>
                <w:color w:val="1E2B36"/>
                <w:sz w:val="18"/>
              </w:rPr>
              <w:t>Corrected the article framing so it does not present unpublished project findings or original clinical claims. Explicitly retained it as a structured narrative literature review and avoided unsupported PRISMA counts.</w:t>
            </w:r>
          </w:p>
        </w:tc>
      </w:tr>
      <w:tr>
        <w:tc>
          <w:tcPr>
            <w:tcW w:type="dxa" w:w="2592"/>
            <w:vAlign w:val="center"/>
            <w:tcMar>
              <w:top w:w="90" w:type="dxa"/>
              <w:start w:w="100" w:type="dxa"/>
              <w:bottom w:w="90" w:type="dxa"/>
              <w:end w:w="100" w:type="dxa"/>
            </w:tcMar>
          </w:tcPr>
          <w:p>
            <w:pPr>
              <w:spacing w:after="0" w:line="240" w:lineRule="auto"/>
            </w:pPr>
            <w:r>
              <w:rPr>
                <w:color w:val="1E2B36"/>
                <w:sz w:val="18"/>
              </w:rPr>
              <w:t>V3 — Adviser-rebuilt version</w:t>
            </w:r>
          </w:p>
        </w:tc>
        <w:tc>
          <w:tcPr>
            <w:tcW w:type="dxa" w:w="7056"/>
            <w:vAlign w:val="center"/>
            <w:tcMar>
              <w:top w:w="90" w:type="dxa"/>
              <w:start w:w="100" w:type="dxa"/>
              <w:bottom w:w="90" w:type="dxa"/>
              <w:end w:w="100" w:type="dxa"/>
            </w:tcMar>
          </w:tcPr>
          <w:p>
            <w:pPr>
              <w:spacing w:after="0" w:line="240" w:lineRule="auto"/>
            </w:pPr>
            <w:r>
              <w:rPr>
                <w:color w:val="1E2B36"/>
                <w:sz w:val="18"/>
              </w:rPr>
              <w:t>Revised title and focus around quantitative interpretation of pH, temperature and moisture biomarkers; expanded to 21 references; added adviser-response and submission-checklist documents; rebuilt evidence-to-interpretation workflow.</w:t>
            </w:r>
          </w:p>
        </w:tc>
      </w:tr>
    </w:tbl>
    <w:p>
      <w:pPr>
        <w:spacing w:after="0"/>
      </w:pPr>
    </w:p>
    <w:p>
      <w:pPr>
        <w:pStyle w:val="Heading2"/>
        <w:keepNext/>
      </w:pPr>
      <w:r>
        <w:t>5.2 Adviser feedback addressed</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80"/>
            <w:shd w:fill="123B5D"/>
            <w:vAlign w:val="center"/>
            <w:tcMar>
              <w:top w:w="90" w:type="dxa"/>
              <w:start w:w="100" w:type="dxa"/>
              <w:bottom w:w="90" w:type="dxa"/>
              <w:end w:w="100" w:type="dxa"/>
            </w:tcMar>
          </w:tcPr>
          <w:p>
            <w:pPr>
              <w:jc w:val="center"/>
            </w:pPr>
            <w:r>
              <w:rPr>
                <w:b/>
                <w:color w:val="FFFFFF"/>
                <w:sz w:val="18"/>
              </w:rPr>
              <w:t>Supervisor/adviser comment</w:t>
            </w:r>
          </w:p>
        </w:tc>
        <w:tc>
          <w:tcPr>
            <w:tcW w:type="dxa" w:w="6768"/>
            <w:shd w:fill="123B5D"/>
            <w:vAlign w:val="center"/>
            <w:tcMar>
              <w:top w:w="90" w:type="dxa"/>
              <w:start w:w="100" w:type="dxa"/>
              <w:bottom w:w="90" w:type="dxa"/>
              <w:end w:w="100" w:type="dxa"/>
            </w:tcMar>
          </w:tcPr>
          <w:p>
            <w:pPr>
              <w:jc w:val="center"/>
            </w:pPr>
            <w:r>
              <w:rPr>
                <w:b/>
                <w:color w:val="FFFFFF"/>
                <w:sz w:val="18"/>
              </w:rPr>
              <w:t>Revision made</w:t>
            </w:r>
          </w:p>
        </w:tc>
      </w:tr>
      <w:tr>
        <w:tc>
          <w:tcPr>
            <w:tcW w:type="dxa" w:w="2880"/>
            <w:vAlign w:val="center"/>
            <w:tcMar>
              <w:top w:w="90" w:type="dxa"/>
              <w:start w:w="100" w:type="dxa"/>
              <w:bottom w:w="90" w:type="dxa"/>
              <w:end w:w="100" w:type="dxa"/>
            </w:tcMar>
          </w:tcPr>
          <w:p>
            <w:pPr>
              <w:spacing w:after="0" w:line="240" w:lineRule="auto"/>
            </w:pPr>
            <w:r>
              <w:rPr>
                <w:color w:val="1E2B36"/>
                <w:sz w:val="18"/>
              </w:rPr>
              <w:t>Need more quantitative analysis</w:t>
            </w:r>
          </w:p>
        </w:tc>
        <w:tc>
          <w:tcPr>
            <w:tcW w:type="dxa" w:w="6768"/>
            <w:vAlign w:val="center"/>
            <w:tcMar>
              <w:top w:w="90" w:type="dxa"/>
              <w:start w:w="100" w:type="dxa"/>
              <w:bottom w:w="90" w:type="dxa"/>
              <w:end w:w="100" w:type="dxa"/>
            </w:tcMar>
          </w:tcPr>
          <w:p>
            <w:pPr>
              <w:spacing w:after="0" w:line="240" w:lineRule="auto"/>
            </w:pPr>
            <w:r>
              <w:rPr>
                <w:color w:val="1E2B36"/>
                <w:sz w:val="18"/>
              </w:rPr>
              <w:t>Added a quantitative biomarker table covering pH, temperature and moisture/exudate interpretation.</w:t>
            </w:r>
          </w:p>
        </w:tc>
      </w:tr>
      <w:tr>
        <w:tc>
          <w:tcPr>
            <w:tcW w:type="dxa" w:w="2880"/>
            <w:vAlign w:val="center"/>
            <w:tcMar>
              <w:top w:w="90" w:type="dxa"/>
              <w:start w:w="100" w:type="dxa"/>
              <w:bottom w:w="90" w:type="dxa"/>
              <w:end w:w="100" w:type="dxa"/>
            </w:tcMar>
            <w:shd w:fill="F7FAFC"/>
          </w:tcPr>
          <w:p>
            <w:pPr>
              <w:spacing w:after="0" w:line="240" w:lineRule="auto"/>
            </w:pPr>
            <w:r>
              <w:rPr>
                <w:color w:val="1E2B36"/>
                <w:sz w:val="18"/>
              </w:rPr>
              <w:t>Need more and newer papers</w:t>
            </w:r>
          </w:p>
        </w:tc>
        <w:tc>
          <w:tcPr>
            <w:tcW w:type="dxa" w:w="6768"/>
            <w:vAlign w:val="center"/>
            <w:tcMar>
              <w:top w:w="90" w:type="dxa"/>
              <w:start w:w="100" w:type="dxa"/>
              <w:bottom w:w="90" w:type="dxa"/>
              <w:end w:w="100" w:type="dxa"/>
            </w:tcMar>
            <w:shd w:fill="F7FAFC"/>
          </w:tcPr>
          <w:p>
            <w:pPr>
              <w:spacing w:after="0" w:line="240" w:lineRule="auto"/>
            </w:pPr>
            <w:r>
              <w:rPr>
                <w:color w:val="1E2B36"/>
                <w:sz w:val="18"/>
              </w:rPr>
              <w:t>Expanded the evidence base to 21 key references, including 11 references from 2023–2025 as recorded in the manuscript.</w:t>
            </w:r>
          </w:p>
        </w:tc>
      </w:tr>
      <w:tr>
        <w:tc>
          <w:tcPr>
            <w:tcW w:type="dxa" w:w="2880"/>
            <w:vAlign w:val="center"/>
            <w:tcMar>
              <w:top w:w="90" w:type="dxa"/>
              <w:start w:w="100" w:type="dxa"/>
              <w:bottom w:w="90" w:type="dxa"/>
              <w:end w:w="100" w:type="dxa"/>
            </w:tcMar>
          </w:tcPr>
          <w:p>
            <w:pPr>
              <w:spacing w:after="0" w:line="240" w:lineRule="auto"/>
            </w:pPr>
            <w:r>
              <w:rPr>
                <w:color w:val="1E2B36"/>
                <w:sz w:val="18"/>
              </w:rPr>
              <w:t>Tables must cite papers</w:t>
            </w:r>
          </w:p>
        </w:tc>
        <w:tc>
          <w:tcPr>
            <w:tcW w:type="dxa" w:w="6768"/>
            <w:vAlign w:val="center"/>
            <w:tcMar>
              <w:top w:w="90" w:type="dxa"/>
              <w:start w:w="100" w:type="dxa"/>
              <w:bottom w:w="90" w:type="dxa"/>
              <w:end w:w="100" w:type="dxa"/>
            </w:tcMar>
          </w:tcPr>
          <w:p>
            <w:pPr>
              <w:spacing w:after="0" w:line="240" w:lineRule="auto"/>
            </w:pPr>
            <w:r>
              <w:rPr>
                <w:color w:val="1E2B36"/>
                <w:sz w:val="18"/>
              </w:rPr>
              <w:t>Citations inserted into every table row.</w:t>
            </w:r>
          </w:p>
        </w:tc>
      </w:tr>
      <w:tr>
        <w:tc>
          <w:tcPr>
            <w:tcW w:type="dxa" w:w="2880"/>
            <w:vAlign w:val="center"/>
            <w:tcMar>
              <w:top w:w="90" w:type="dxa"/>
              <w:start w:w="100" w:type="dxa"/>
              <w:bottom w:w="90" w:type="dxa"/>
              <w:end w:w="100" w:type="dxa"/>
            </w:tcMar>
            <w:shd w:fill="F7FAFC"/>
          </w:tcPr>
          <w:p>
            <w:pPr>
              <w:spacing w:after="0" w:line="240" w:lineRule="auto"/>
            </w:pPr>
            <w:r>
              <w:rPr>
                <w:color w:val="1E2B36"/>
                <w:sz w:val="18"/>
              </w:rPr>
              <w:t>Figure not mentioned in text</w:t>
            </w:r>
          </w:p>
        </w:tc>
        <w:tc>
          <w:tcPr>
            <w:tcW w:type="dxa" w:w="6768"/>
            <w:vAlign w:val="center"/>
            <w:tcMar>
              <w:top w:w="90" w:type="dxa"/>
              <w:start w:w="100" w:type="dxa"/>
              <w:bottom w:w="90" w:type="dxa"/>
              <w:end w:w="100" w:type="dxa"/>
            </w:tcMar>
            <w:shd w:fill="F7FAFC"/>
          </w:tcPr>
          <w:p>
            <w:pPr>
              <w:spacing w:after="0" w:line="240" w:lineRule="auto"/>
            </w:pPr>
            <w:r>
              <w:rPr>
                <w:color w:val="1E2B36"/>
                <w:sz w:val="18"/>
              </w:rPr>
              <w:t>Rebuilt the figure and cited it in the Introduction, Results and Discussion.</w:t>
            </w:r>
          </w:p>
        </w:tc>
      </w:tr>
      <w:tr>
        <w:tc>
          <w:tcPr>
            <w:tcW w:type="dxa" w:w="2880"/>
            <w:vAlign w:val="center"/>
            <w:tcMar>
              <w:top w:w="90" w:type="dxa"/>
              <w:start w:w="100" w:type="dxa"/>
              <w:bottom w:w="90" w:type="dxa"/>
              <w:end w:w="100" w:type="dxa"/>
            </w:tcMar>
          </w:tcPr>
          <w:p>
            <w:pPr>
              <w:spacing w:after="0" w:line="240" w:lineRule="auto"/>
            </w:pPr>
            <w:r>
              <w:rPr>
                <w:color w:val="1E2B36"/>
                <w:sz w:val="18"/>
              </w:rPr>
              <w:t>Technical contribution unclear</w:t>
            </w:r>
          </w:p>
        </w:tc>
        <w:tc>
          <w:tcPr>
            <w:tcW w:type="dxa" w:w="6768"/>
            <w:vAlign w:val="center"/>
            <w:tcMar>
              <w:top w:w="90" w:type="dxa"/>
              <w:start w:w="100" w:type="dxa"/>
              <w:bottom w:w="90" w:type="dxa"/>
              <w:end w:w="100" w:type="dxa"/>
            </w:tcMar>
          </w:tcPr>
          <w:p>
            <w:pPr>
              <w:spacing w:after="0" w:line="240" w:lineRule="auto"/>
            </w:pPr>
            <w:r>
              <w:rPr>
                <w:color w:val="1E2B36"/>
                <w:sz w:val="18"/>
              </w:rPr>
              <w:t>Reframed the review around multimodal, trend-based quantitative interpretation while avoiding unpublished project claims.</w:t>
            </w:r>
          </w:p>
        </w:tc>
      </w:tr>
    </w:tbl>
    <w:p>
      <w:pPr>
        <w:spacing w:after="0"/>
      </w:pPr>
    </w:p>
    <w:p>
      <w:pPr>
        <w:pStyle w:val="Heading2"/>
        <w:keepNext/>
      </w:pPr>
      <w:r>
        <w:t>5.3 Quantitative ranges included in the revised review</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92"/>
            <w:shd w:fill="123B5D"/>
            <w:vAlign w:val="center"/>
            <w:tcMar>
              <w:top w:w="90" w:type="dxa"/>
              <w:start w:w="100" w:type="dxa"/>
              <w:bottom w:w="90" w:type="dxa"/>
              <w:end w:w="100" w:type="dxa"/>
            </w:tcMar>
          </w:tcPr>
          <w:p>
            <w:pPr>
              <w:jc w:val="center"/>
            </w:pPr>
            <w:r>
              <w:rPr>
                <w:b/>
                <w:color w:val="FFFFFF"/>
                <w:sz w:val="18"/>
              </w:rPr>
              <w:t>Range/proxy</w:t>
            </w:r>
          </w:p>
        </w:tc>
        <w:tc>
          <w:tcPr>
            <w:tcW w:type="dxa" w:w="7056"/>
            <w:shd w:fill="123B5D"/>
            <w:vAlign w:val="center"/>
            <w:tcMar>
              <w:top w:w="90" w:type="dxa"/>
              <w:start w:w="100" w:type="dxa"/>
              <w:bottom w:w="90" w:type="dxa"/>
              <w:end w:w="100" w:type="dxa"/>
            </w:tcMar>
          </w:tcPr>
          <w:p>
            <w:pPr>
              <w:jc w:val="center"/>
            </w:pPr>
            <w:r>
              <w:rPr>
                <w:b/>
                <w:color w:val="FFFFFF"/>
                <w:sz w:val="18"/>
              </w:rPr>
              <w:t>Interpretation used in V3</w:t>
            </w:r>
          </w:p>
        </w:tc>
      </w:tr>
      <w:tr>
        <w:tc>
          <w:tcPr>
            <w:tcW w:type="dxa" w:w="2592"/>
            <w:vAlign w:val="center"/>
            <w:tcMar>
              <w:top w:w="90" w:type="dxa"/>
              <w:start w:w="100" w:type="dxa"/>
              <w:bottom w:w="90" w:type="dxa"/>
              <w:end w:w="100" w:type="dxa"/>
            </w:tcMar>
          </w:tcPr>
          <w:p>
            <w:pPr>
              <w:spacing w:after="0" w:line="240" w:lineRule="auto"/>
            </w:pPr>
            <w:r>
              <w:rPr>
                <w:color w:val="1E2B36"/>
                <w:sz w:val="18"/>
              </w:rPr>
              <w:t>pH 4.0–6.5</w:t>
            </w:r>
          </w:p>
        </w:tc>
        <w:tc>
          <w:tcPr>
            <w:tcW w:type="dxa" w:w="7056"/>
            <w:vAlign w:val="center"/>
            <w:tcMar>
              <w:top w:w="90" w:type="dxa"/>
              <w:start w:w="100" w:type="dxa"/>
              <w:bottom w:w="90" w:type="dxa"/>
              <w:end w:w="100" w:type="dxa"/>
            </w:tcMar>
          </w:tcPr>
          <w:p>
            <w:pPr>
              <w:spacing w:after="0" w:line="240" w:lineRule="auto"/>
            </w:pPr>
            <w:r>
              <w:rPr>
                <w:color w:val="1E2B36"/>
                <w:sz w:val="18"/>
              </w:rPr>
              <w:t>Generally described as compatible with intact or healing skin/wound environments.</w:t>
            </w:r>
          </w:p>
        </w:tc>
      </w:tr>
      <w:tr>
        <w:tc>
          <w:tcPr>
            <w:tcW w:type="dxa" w:w="2592"/>
            <w:vAlign w:val="center"/>
            <w:tcMar>
              <w:top w:w="90" w:type="dxa"/>
              <w:start w:w="100" w:type="dxa"/>
              <w:bottom w:w="90" w:type="dxa"/>
              <w:end w:w="100" w:type="dxa"/>
            </w:tcMar>
            <w:shd w:fill="F7FAFC"/>
          </w:tcPr>
          <w:p>
            <w:pPr>
              <w:spacing w:after="0" w:line="240" w:lineRule="auto"/>
            </w:pPr>
            <w:r>
              <w:rPr>
                <w:color w:val="1E2B36"/>
                <w:sz w:val="18"/>
              </w:rPr>
              <w:t>pH 6.5–7.0</w:t>
            </w:r>
          </w:p>
        </w:tc>
        <w:tc>
          <w:tcPr>
            <w:tcW w:type="dxa" w:w="7056"/>
            <w:vAlign w:val="center"/>
            <w:tcMar>
              <w:top w:w="90" w:type="dxa"/>
              <w:start w:w="100" w:type="dxa"/>
              <w:bottom w:w="90" w:type="dxa"/>
              <w:end w:w="100" w:type="dxa"/>
            </w:tcMar>
            <w:shd w:fill="F7FAFC"/>
          </w:tcPr>
          <w:p>
            <w:pPr>
              <w:spacing w:after="0" w:line="240" w:lineRule="auto"/>
            </w:pPr>
            <w:r>
              <w:rPr>
                <w:color w:val="1E2B36"/>
                <w:sz w:val="18"/>
              </w:rPr>
              <w:t>Transition zone requiring trend monitoring and multimodal context.</w:t>
            </w:r>
          </w:p>
        </w:tc>
      </w:tr>
      <w:tr>
        <w:tc>
          <w:tcPr>
            <w:tcW w:type="dxa" w:w="2592"/>
            <w:vAlign w:val="center"/>
            <w:tcMar>
              <w:top w:w="90" w:type="dxa"/>
              <w:start w:w="100" w:type="dxa"/>
              <w:bottom w:w="90" w:type="dxa"/>
              <w:end w:w="100" w:type="dxa"/>
            </w:tcMar>
          </w:tcPr>
          <w:p>
            <w:pPr>
              <w:spacing w:after="0" w:line="240" w:lineRule="auto"/>
            </w:pPr>
            <w:r>
              <w:rPr>
                <w:color w:val="1E2B36"/>
                <w:sz w:val="18"/>
              </w:rPr>
              <w:t>pH 7.0–9.0</w:t>
            </w:r>
          </w:p>
        </w:tc>
        <w:tc>
          <w:tcPr>
            <w:tcW w:type="dxa" w:w="7056"/>
            <w:vAlign w:val="center"/>
            <w:tcMar>
              <w:top w:w="90" w:type="dxa"/>
              <w:start w:w="100" w:type="dxa"/>
              <w:bottom w:w="90" w:type="dxa"/>
              <w:end w:w="100" w:type="dxa"/>
            </w:tcMar>
          </w:tcPr>
          <w:p>
            <w:pPr>
              <w:spacing w:after="0" w:line="240" w:lineRule="auto"/>
            </w:pPr>
            <w:r>
              <w:rPr>
                <w:color w:val="1E2B36"/>
                <w:sz w:val="18"/>
              </w:rPr>
              <w:t>Frequently associated in the reviewed literature with chronicity, bacterial activity or delayed healing.</w:t>
            </w:r>
          </w:p>
        </w:tc>
      </w:tr>
      <w:tr>
        <w:tc>
          <w:tcPr>
            <w:tcW w:type="dxa" w:w="2592"/>
            <w:vAlign w:val="center"/>
            <w:tcMar>
              <w:top w:w="90" w:type="dxa"/>
              <w:start w:w="100" w:type="dxa"/>
              <w:bottom w:w="90" w:type="dxa"/>
              <w:end w:w="100" w:type="dxa"/>
            </w:tcMar>
            <w:shd w:fill="F7FAFC"/>
          </w:tcPr>
          <w:p>
            <w:pPr>
              <w:spacing w:after="0" w:line="240" w:lineRule="auto"/>
            </w:pPr>
            <w:r>
              <w:rPr>
                <w:color w:val="1E2B36"/>
                <w:sz w:val="18"/>
              </w:rPr>
              <w:t>Temperature &lt;33 °C</w:t>
            </w:r>
          </w:p>
        </w:tc>
        <w:tc>
          <w:tcPr>
            <w:tcW w:type="dxa" w:w="7056"/>
            <w:vAlign w:val="center"/>
            <w:tcMar>
              <w:top w:w="90" w:type="dxa"/>
              <w:start w:w="100" w:type="dxa"/>
              <w:bottom w:w="90" w:type="dxa"/>
              <w:end w:w="100" w:type="dxa"/>
            </w:tcMar>
            <w:shd w:fill="F7FAFC"/>
          </w:tcPr>
          <w:p>
            <w:pPr>
              <w:spacing w:after="0" w:line="240" w:lineRule="auto"/>
            </w:pPr>
            <w:r>
              <w:rPr>
                <w:color w:val="1E2B36"/>
                <w:sz w:val="18"/>
              </w:rPr>
              <w:t>May indicate impaired repair or low-perfusion context in the reviewed evidence.</w:t>
            </w:r>
          </w:p>
        </w:tc>
      </w:tr>
      <w:tr>
        <w:tc>
          <w:tcPr>
            <w:tcW w:type="dxa" w:w="2592"/>
            <w:vAlign w:val="center"/>
            <w:tcMar>
              <w:top w:w="90" w:type="dxa"/>
              <w:start w:w="100" w:type="dxa"/>
              <w:bottom w:w="90" w:type="dxa"/>
              <w:end w:w="100" w:type="dxa"/>
            </w:tcMar>
          </w:tcPr>
          <w:p>
            <w:pPr>
              <w:spacing w:after="0" w:line="240" w:lineRule="auto"/>
            </w:pPr>
            <w:r>
              <w:rPr>
                <w:color w:val="1E2B36"/>
                <w:sz w:val="18"/>
              </w:rPr>
              <w:t>Approximately 37.5–38.5 °C</w:t>
            </w:r>
          </w:p>
        </w:tc>
        <w:tc>
          <w:tcPr>
            <w:tcW w:type="dxa" w:w="7056"/>
            <w:vAlign w:val="center"/>
            <w:tcMar>
              <w:top w:w="90" w:type="dxa"/>
              <w:start w:w="100" w:type="dxa"/>
              <w:bottom w:w="90" w:type="dxa"/>
              <w:end w:w="100" w:type="dxa"/>
            </w:tcMar>
          </w:tcPr>
          <w:p>
            <w:pPr>
              <w:spacing w:after="0" w:line="240" w:lineRule="auto"/>
            </w:pPr>
            <w:r>
              <w:rPr>
                <w:color w:val="1E2B36"/>
                <w:sz w:val="18"/>
              </w:rPr>
              <w:t>Examples reported in infection/inflammation models; not a universal standalone diagnostic threshold.</w:t>
            </w:r>
          </w:p>
        </w:tc>
      </w:tr>
      <w:tr>
        <w:tc>
          <w:tcPr>
            <w:tcW w:type="dxa" w:w="2592"/>
            <w:vAlign w:val="center"/>
            <w:tcMar>
              <w:top w:w="90" w:type="dxa"/>
              <w:start w:w="100" w:type="dxa"/>
              <w:bottom w:w="90" w:type="dxa"/>
              <w:end w:w="100" w:type="dxa"/>
            </w:tcMar>
            <w:shd w:fill="F7FAFC"/>
          </w:tcPr>
          <w:p>
            <w:pPr>
              <w:spacing w:after="0" w:line="240" w:lineRule="auto"/>
            </w:pPr>
            <w:r>
              <w:rPr>
                <w:color w:val="1E2B36"/>
                <w:sz w:val="18"/>
              </w:rPr>
              <w:t>Temperature difference ≈2.2 °C</w:t>
            </w:r>
          </w:p>
        </w:tc>
        <w:tc>
          <w:tcPr>
            <w:tcW w:type="dxa" w:w="7056"/>
            <w:vAlign w:val="center"/>
            <w:tcMar>
              <w:top w:w="90" w:type="dxa"/>
              <w:start w:w="100" w:type="dxa"/>
              <w:bottom w:w="90" w:type="dxa"/>
              <w:end w:w="100" w:type="dxa"/>
            </w:tcMar>
            <w:shd w:fill="F7FAFC"/>
          </w:tcPr>
          <w:p>
            <w:pPr>
              <w:spacing w:after="0" w:line="240" w:lineRule="auto"/>
            </w:pPr>
            <w:r>
              <w:rPr>
                <w:color w:val="1E2B36"/>
                <w:sz w:val="18"/>
              </w:rPr>
              <w:t>A warning difference proposed in reviewed literature; trajectory and adjacent-skin comparison remain important.</w:t>
            </w:r>
          </w:p>
        </w:tc>
      </w:tr>
      <w:tr>
        <w:tc>
          <w:tcPr>
            <w:tcW w:type="dxa" w:w="2592"/>
            <w:vAlign w:val="center"/>
            <w:tcMar>
              <w:top w:w="90" w:type="dxa"/>
              <w:start w:w="100" w:type="dxa"/>
              <w:bottom w:w="90" w:type="dxa"/>
              <w:end w:w="100" w:type="dxa"/>
            </w:tcMar>
          </w:tcPr>
          <w:p>
            <w:pPr>
              <w:spacing w:after="0" w:line="240" w:lineRule="auto"/>
            </w:pPr>
            <w:r>
              <w:rPr>
                <w:color w:val="1E2B36"/>
                <w:sz w:val="18"/>
              </w:rPr>
              <w:t>Moisture/exudate</w:t>
            </w:r>
          </w:p>
        </w:tc>
        <w:tc>
          <w:tcPr>
            <w:tcW w:type="dxa" w:w="7056"/>
            <w:vAlign w:val="center"/>
            <w:tcMar>
              <w:top w:w="90" w:type="dxa"/>
              <w:start w:w="100" w:type="dxa"/>
              <w:bottom w:w="90" w:type="dxa"/>
              <w:end w:w="100" w:type="dxa"/>
            </w:tcMar>
          </w:tcPr>
          <w:p>
            <w:pPr>
              <w:spacing w:after="0" w:line="240" w:lineRule="auto"/>
            </w:pPr>
            <w:r>
              <w:rPr>
                <w:color w:val="1E2B36"/>
                <w:sz w:val="18"/>
              </w:rPr>
              <w:t>No universal clinical numeric range; impedance, resistance, capacitance and thermal transport are treated as device-specific proxies.</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F3F7FA"/>
            <w:tcMar>
              <w:top w:w="130" w:type="dxa"/>
              <w:start w:w="150" w:type="dxa"/>
              <w:bottom w:w="130" w:type="dxa"/>
              <w:end w:w="150" w:type="dxa"/>
            </w:tcMar>
            <w:tcBorders>
              <w:top w:val="single" w:sz="12" w:color="7057A6"/>
              <w:left w:val="single" w:sz="12" w:color="7057A6"/>
              <w:bottom w:val="single" w:sz="12" w:color="7057A6"/>
              <w:right w:val="single" w:sz="12" w:color="7057A6"/>
            </w:tcBorders>
          </w:tcPr>
          <w:p>
            <w:pPr>
              <w:spacing w:after="60"/>
            </w:pPr>
            <w:r>
              <w:rPr>
                <w:b/>
                <w:color w:val="7057A6"/>
                <w:sz w:val="22"/>
              </w:rPr>
              <w:t>Clinical interpretation principle</w:t>
            </w:r>
          </w:p>
          <w:p>
            <w:pPr>
              <w:spacing w:after="0" w:line="259" w:lineRule="auto"/>
            </w:pPr>
            <w:r>
              <w:t>The V3 manuscript correctly emphasises that trends and agreement between pH, temperature and moisture are more useful than one isolated measurement. These parameters support clinician review and dressing decisions; they should not be described as autonomous infection diagnosis.</w:t>
            </w:r>
          </w:p>
        </w:tc>
      </w:tr>
    </w:tbl>
    <w:p>
      <w:pPr>
        <w:pStyle w:val="Heading2"/>
        <w:keepNext/>
      </w:pPr>
      <w:r>
        <w:t>5.4 Submission items still requiring confirmation</w:t>
      </w:r>
    </w:p>
    <w:p>
      <w:pPr>
        <w:pStyle w:val="ListBullet"/>
        <w:spacing w:after="60"/>
      </w:pPr>
      <w:r>
        <w:t>Confirm final author spelling, order and affiliations.</w:t>
      </w:r>
    </w:p>
    <w:p>
      <w:pPr>
        <w:pStyle w:val="ListBullet"/>
        <w:spacing w:after="60"/>
      </w:pPr>
      <w:r>
        <w:t>Insert the corresponding author’s postal address, email and telephone number.</w:t>
      </w:r>
    </w:p>
    <w:p>
      <w:pPr>
        <w:pStyle w:val="ListBullet"/>
        <w:spacing w:after="60"/>
      </w:pPr>
      <w:r>
        <w:t>Verify the final main-text word count and article category required by the journal.</w:t>
      </w:r>
    </w:p>
    <w:p>
      <w:pPr>
        <w:pStyle w:val="ListBullet"/>
        <w:spacing w:after="60"/>
      </w:pPr>
      <w:r>
        <w:t>Confirm funding, conflict-of-interest and author-contribution statements.</w:t>
      </w:r>
    </w:p>
    <w:p>
      <w:pPr>
        <w:pStyle w:val="ListBullet"/>
        <w:spacing w:after="60"/>
      </w:pPr>
      <w:r>
        <w:t>Use the anonymised manuscript for blinded review if required by the submission system.</w:t>
      </w:r>
    </w:p>
    <w:p>
      <w:pPr>
        <w:pStyle w:val="ListBullet"/>
        <w:spacing w:after="60"/>
      </w:pPr>
      <w:r>
        <w:t>Do not add a PRISMA numerical flow diagram unless an exact reproducible search-and-screening log is completed.</w:t>
      </w:r>
    </w:p>
    <w:p>
      <w:pPr>
        <w:pStyle w:val="Heading1"/>
        <w:keepNext/>
      </w:pPr>
      <w:r>
        <w:t>6. Integrated Week 8 workflow</w:t>
      </w:r>
    </w:p>
    <w:p>
      <w:r>
        <w:t>The following flowchart shows how the dataset/ML and manuscript workstreams were carried out in parallel and then combined into a supervisor-ready Week 8 deliverable.</w:t>
      </w:r>
    </w:p>
    <w:p>
      <w:pPr>
        <w:spacing w:before="100" w:after="80"/>
        <w:jc w:val="center"/>
      </w:pPr>
      <w:r>
        <w:drawing>
          <wp:inline xmlns:a="http://schemas.openxmlformats.org/drawingml/2006/main" xmlns:pic="http://schemas.openxmlformats.org/drawingml/2006/picture">
            <wp:extent cx="6172200" cy="3445963"/>
            <wp:docPr id="6" name="Picture 6"/>
            <wp:cNvGraphicFramePr>
              <a:graphicFrameLocks noChangeAspect="1"/>
            </wp:cNvGraphicFramePr>
            <a:graphic>
              <a:graphicData uri="http://schemas.openxmlformats.org/drawingml/2006/picture">
                <pic:pic>
                  <pic:nvPicPr>
                    <pic:cNvPr id="0" name="flowchart_week8_end_to_end.png"/>
                    <pic:cNvPicPr/>
                  </pic:nvPicPr>
                  <pic:blipFill>
                    <a:blip r:embed="rId16"/>
                    <a:stretch>
                      <a:fillRect/>
                    </a:stretch>
                  </pic:blipFill>
                  <pic:spPr>
                    <a:xfrm>
                      <a:off x="0" y="0"/>
                      <a:ext cx="6172200" cy="3445963"/>
                    </a:xfrm>
                    <a:prstGeom prst="rect"/>
                  </pic:spPr>
                </pic:pic>
              </a:graphicData>
            </a:graphic>
          </wp:inline>
        </w:drawing>
      </w:r>
    </w:p>
    <w:p>
      <w:pPr>
        <w:pStyle w:val="Caption"/>
        <w:jc w:val="center"/>
      </w:pPr>
      <w:r>
        <w:rPr>
          <w:b/>
        </w:rPr>
        <w:t>Flowchart. End-to-end Week 8 work completed from literature inputs to dataset, exploratory analysis and revised manuscript deliverables.</w:t>
      </w:r>
    </w:p>
    <w:p>
      <w:pPr>
        <w:pStyle w:val="Heading2"/>
        <w:keepNext/>
      </w:pPr>
      <w:r>
        <w:t>Why these two workstreams belong together</w:t>
      </w:r>
    </w:p>
    <w:p>
      <w:pPr>
        <w:pStyle w:val="ListBullet"/>
        <w:spacing w:after="60"/>
      </w:pPr>
      <w:r>
        <w:t>The literature review identifies clinically relevant parameters and sensor principles.</w:t>
      </w:r>
    </w:p>
    <w:p>
      <w:pPr>
        <w:pStyle w:val="ListBullet"/>
        <w:spacing w:after="60"/>
      </w:pPr>
      <w:r>
        <w:t>The data-curation workflow converts published quantitative evidence into a structured learning dataset.</w:t>
      </w:r>
    </w:p>
    <w:p>
      <w:pPr>
        <w:pStyle w:val="ListBullet"/>
        <w:spacing w:after="60"/>
      </w:pPr>
      <w:r>
        <w:t>Feature engineering and dimensionality reduction test whether the extracted trajectories can be represented meaningfully.</w:t>
      </w:r>
    </w:p>
    <w:p>
      <w:pPr>
        <w:pStyle w:val="ListBullet"/>
        <w:spacing w:after="60"/>
      </w:pPr>
      <w:r>
        <w:t>The manuscript provides the clinical and engineering interpretation needed to prevent overclaiming the exploratory analysis.</w:t>
      </w:r>
    </w:p>
    <w:p>
      <w:pPr>
        <w:pStyle w:val="ListBullet"/>
        <w:spacing w:after="60"/>
      </w:pPr>
      <w:r>
        <w:t>Future sensor measurements can later enter the same data architecture, but must be kept separate from literature-derived data and validated independently.</w:t>
      </w:r>
    </w:p>
    <w:p>
      <w:pPr>
        <w:pStyle w:val="Heading1"/>
        <w:keepNext/>
      </w:pPr>
      <w:r>
        <w:t>7. Limitations and quality-control findings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shd w:fill="123B5D"/>
            <w:vAlign w:val="center"/>
            <w:tcMar>
              <w:top w:w="90" w:type="dxa"/>
              <w:start w:w="100" w:type="dxa"/>
              <w:bottom w:w="90" w:type="dxa"/>
              <w:end w:w="100" w:type="dxa"/>
            </w:tcMar>
          </w:tcPr>
          <w:p>
            <w:pPr>
              <w:jc w:val="center"/>
            </w:pPr>
            <w:r>
              <w:rPr>
                <w:b/>
                <w:color w:val="FFFFFF"/>
                <w:sz w:val="18"/>
              </w:rPr>
              <w:t>Limitation</w:t>
            </w:r>
          </w:p>
        </w:tc>
        <w:tc>
          <w:tcPr>
            <w:tcW w:type="dxa" w:w="7416"/>
            <w:shd w:fill="123B5D"/>
            <w:vAlign w:val="center"/>
            <w:tcMar>
              <w:top w:w="90" w:type="dxa"/>
              <w:start w:w="100" w:type="dxa"/>
              <w:bottom w:w="90" w:type="dxa"/>
              <w:end w:w="100" w:type="dxa"/>
            </w:tcMar>
          </w:tcPr>
          <w:p>
            <w:pPr>
              <w:jc w:val="center"/>
            </w:pPr>
            <w:r>
              <w:rPr>
                <w:b/>
                <w:color w:val="FFFFFF"/>
                <w:sz w:val="18"/>
              </w:rPr>
              <w:t>Implication for reporting and next work</w:t>
            </w:r>
          </w:p>
        </w:tc>
      </w:tr>
      <w:tr>
        <w:tc>
          <w:tcPr>
            <w:tcW w:type="dxa" w:w="2232"/>
            <w:vAlign w:val="center"/>
            <w:tcMar>
              <w:top w:w="90" w:type="dxa"/>
              <w:start w:w="100" w:type="dxa"/>
              <w:bottom w:w="90" w:type="dxa"/>
              <w:end w:w="100" w:type="dxa"/>
            </w:tcMar>
          </w:tcPr>
          <w:p>
            <w:pPr>
              <w:spacing w:after="0" w:line="240" w:lineRule="auto"/>
            </w:pPr>
            <w:r>
              <w:rPr>
                <w:color w:val="1E2B36"/>
                <w:sz w:val="18"/>
              </w:rPr>
              <w:t>Small sample size</w:t>
            </w:r>
          </w:p>
        </w:tc>
        <w:tc>
          <w:tcPr>
            <w:tcW w:type="dxa" w:w="7416"/>
            <w:vAlign w:val="center"/>
            <w:tcMar>
              <w:top w:w="90" w:type="dxa"/>
              <w:start w:w="100" w:type="dxa"/>
              <w:bottom w:w="90" w:type="dxa"/>
              <w:end w:w="100" w:type="dxa"/>
            </w:tcMar>
          </w:tcPr>
          <w:p>
            <w:pPr>
              <w:spacing w:after="0" w:line="240" w:lineRule="auto"/>
            </w:pPr>
            <w:r>
              <w:rPr>
                <w:color w:val="1E2B36"/>
                <w:sz w:val="18"/>
              </w:rPr>
              <w:t>Only 8 curve-level feature samples are available. PCA visualisation is possible, but supervised modelling and cluster validation are not reliable.</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Heterogeneous units</w:t>
            </w:r>
          </w:p>
        </w:tc>
        <w:tc>
          <w:tcPr>
            <w:tcW w:type="dxa" w:w="7416"/>
            <w:vAlign w:val="center"/>
            <w:tcMar>
              <w:top w:w="90" w:type="dxa"/>
              <w:start w:w="100" w:type="dxa"/>
              <w:bottom w:w="90" w:type="dxa"/>
              <w:end w:w="100" w:type="dxa"/>
            </w:tcMar>
            <w:shd w:fill="F7FAFC"/>
          </w:tcPr>
          <w:p>
            <w:pPr>
              <w:spacing w:after="0" w:line="240" w:lineRule="auto"/>
            </w:pPr>
            <w:r>
              <w:rPr>
                <w:color w:val="1E2B36"/>
                <w:sz w:val="18"/>
              </w:rPr>
              <w:t>Wound area, healing percentage, granulation and temperature are different clinical quantities. They should not share one unqualified prediction target.</w:t>
            </w:r>
          </w:p>
        </w:tc>
      </w:tr>
      <w:tr>
        <w:tc>
          <w:tcPr>
            <w:tcW w:type="dxa" w:w="2232"/>
            <w:vAlign w:val="center"/>
            <w:tcMar>
              <w:top w:w="90" w:type="dxa"/>
              <w:start w:w="100" w:type="dxa"/>
              <w:bottom w:w="90" w:type="dxa"/>
              <w:end w:w="100" w:type="dxa"/>
            </w:tcMar>
          </w:tcPr>
          <w:p>
            <w:pPr>
              <w:spacing w:after="0" w:line="240" w:lineRule="auto"/>
            </w:pPr>
            <w:r>
              <w:rPr>
                <w:color w:val="1E2B36"/>
                <w:sz w:val="18"/>
              </w:rPr>
              <w:t>Literature-derived observations</w:t>
            </w:r>
          </w:p>
        </w:tc>
        <w:tc>
          <w:tcPr>
            <w:tcW w:type="dxa" w:w="7416"/>
            <w:vAlign w:val="center"/>
            <w:tcMar>
              <w:top w:w="90" w:type="dxa"/>
              <w:start w:w="100" w:type="dxa"/>
              <w:bottom w:w="90" w:type="dxa"/>
              <w:end w:w="100" w:type="dxa"/>
            </w:tcMar>
          </w:tcPr>
          <w:p>
            <w:pPr>
              <w:spacing w:after="0" w:line="240" w:lineRule="auto"/>
            </w:pPr>
            <w:r>
              <w:rPr>
                <w:color w:val="1E2B36"/>
                <w:sz w:val="18"/>
              </w:rPr>
              <w:t>The data are copied or digitised from published studies with different populations, protocols and devices; they are not a single harmonised cohort.</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Digitisation incomplete</w:t>
            </w:r>
          </w:p>
        </w:tc>
        <w:tc>
          <w:tcPr>
            <w:tcW w:type="dxa" w:w="7416"/>
            <w:vAlign w:val="center"/>
            <w:tcMar>
              <w:top w:w="90" w:type="dxa"/>
              <w:start w:w="100" w:type="dxa"/>
              <w:bottom w:w="90" w:type="dxa"/>
              <w:end w:w="100" w:type="dxa"/>
            </w:tcMar>
            <w:shd w:fill="F7FAFC"/>
          </w:tcPr>
          <w:p>
            <w:pPr>
              <w:spacing w:after="0" w:line="240" w:lineRule="auto"/>
            </w:pPr>
            <w:r>
              <w:rPr>
                <w:color w:val="1E2B36"/>
                <w:sz w:val="18"/>
              </w:rPr>
              <w:t>Many Priority-1 pH and temperature line graphs are classified but not yet converted into cleaned time-series samples.</w:t>
            </w:r>
          </w:p>
        </w:tc>
      </w:tr>
      <w:tr>
        <w:tc>
          <w:tcPr>
            <w:tcW w:type="dxa" w:w="2232"/>
            <w:vAlign w:val="center"/>
            <w:tcMar>
              <w:top w:w="90" w:type="dxa"/>
              <w:start w:w="100" w:type="dxa"/>
              <w:bottom w:w="90" w:type="dxa"/>
              <w:end w:w="100" w:type="dxa"/>
            </w:tcMar>
          </w:tcPr>
          <w:p>
            <w:pPr>
              <w:spacing w:after="0" w:line="240" w:lineRule="auto"/>
            </w:pPr>
            <w:r>
              <w:rPr>
                <w:color w:val="1E2B36"/>
                <w:sz w:val="18"/>
              </w:rPr>
              <w:t>UMAP limitation</w:t>
            </w:r>
          </w:p>
        </w:tc>
        <w:tc>
          <w:tcPr>
            <w:tcW w:type="dxa" w:w="7416"/>
            <w:vAlign w:val="center"/>
            <w:tcMar>
              <w:top w:w="90" w:type="dxa"/>
              <w:start w:w="100" w:type="dxa"/>
              <w:bottom w:w="90" w:type="dxa"/>
              <w:end w:w="100" w:type="dxa"/>
            </w:tcMar>
          </w:tcPr>
          <w:p>
            <w:pPr>
              <w:spacing w:after="0" w:line="240" w:lineRule="auto"/>
            </w:pPr>
            <w:r>
              <w:rPr>
                <w:color w:val="1E2B36"/>
                <w:sz w:val="18"/>
              </w:rPr>
              <w:t>A spectral-embedding fallback is labelled as the UMAP view in one package. True UMAP should be rerun using umap-learn after expansion.</w:t>
            </w:r>
          </w:p>
        </w:tc>
      </w:tr>
      <w:tr>
        <w:tc>
          <w:tcPr>
            <w:tcW w:type="dxa" w:w="2232"/>
            <w:vAlign w:val="center"/>
            <w:tcMar>
              <w:top w:w="90" w:type="dxa"/>
              <w:start w:w="100" w:type="dxa"/>
              <w:bottom w:w="90" w:type="dxa"/>
              <w:end w:w="100" w:type="dxa"/>
            </w:tcMar>
            <w:shd w:fill="F7FAFC"/>
          </w:tcPr>
          <w:p>
            <w:pPr>
              <w:spacing w:after="0" w:line="240" w:lineRule="auto"/>
            </w:pPr>
            <w:r>
              <w:rPr>
                <w:color w:val="1E2B36"/>
                <w:sz w:val="18"/>
              </w:rPr>
              <w:t>Potential package duplication</w:t>
            </w:r>
          </w:p>
        </w:tc>
        <w:tc>
          <w:tcPr>
            <w:tcW w:type="dxa" w:w="7416"/>
            <w:vAlign w:val="center"/>
            <w:tcMar>
              <w:top w:w="90" w:type="dxa"/>
              <w:start w:w="100" w:type="dxa"/>
              <w:bottom w:w="90" w:type="dxa"/>
              <w:end w:w="100" w:type="dxa"/>
            </w:tcMar>
            <w:shd w:fill="F7FAFC"/>
          </w:tcPr>
          <w:p>
            <w:pPr>
              <w:spacing w:after="0" w:line="240" w:lineRule="auto"/>
            </w:pPr>
            <w:r>
              <w:rPr>
                <w:color w:val="1E2B36"/>
                <w:sz w:val="18"/>
              </w:rPr>
              <w:t>Multiple ZIPs and repeated output copies increase the risk of editing an outdated version. A single controlled repository should become the source of truth.</w:t>
            </w:r>
          </w:p>
        </w:tc>
      </w:tr>
      <w:tr>
        <w:tc>
          <w:tcPr>
            <w:tcW w:type="dxa" w:w="2232"/>
            <w:vAlign w:val="center"/>
            <w:tcMar>
              <w:top w:w="90" w:type="dxa"/>
              <w:start w:w="100" w:type="dxa"/>
              <w:bottom w:w="90" w:type="dxa"/>
              <w:end w:w="100" w:type="dxa"/>
            </w:tcMar>
          </w:tcPr>
          <w:p>
            <w:pPr>
              <w:spacing w:after="0" w:line="240" w:lineRule="auto"/>
            </w:pPr>
            <w:r>
              <w:rPr>
                <w:color w:val="1E2B36"/>
                <w:sz w:val="18"/>
              </w:rPr>
              <w:t>Clinical validity</w:t>
            </w:r>
          </w:p>
        </w:tc>
        <w:tc>
          <w:tcPr>
            <w:tcW w:type="dxa" w:w="7416"/>
            <w:vAlign w:val="center"/>
            <w:tcMar>
              <w:top w:w="90" w:type="dxa"/>
              <w:start w:w="100" w:type="dxa"/>
              <w:bottom w:w="90" w:type="dxa"/>
              <w:end w:w="100" w:type="dxa"/>
            </w:tcMar>
          </w:tcPr>
          <w:p>
            <w:pPr>
              <w:spacing w:after="0" w:line="240" w:lineRule="auto"/>
            </w:pPr>
            <w:r>
              <w:rPr>
                <w:color w:val="1E2B36"/>
                <w:sz w:val="18"/>
              </w:rPr>
              <w:t>No result in the archive proves infection detection accuracy, dressing-change accuracy or patient outcome prediction.</w:t>
            </w:r>
          </w:p>
        </w:tc>
      </w:tr>
    </w:tbl>
    <w:p>
      <w:pPr>
        <w:spacing w:after="0"/>
      </w:pPr>
    </w:p>
    <w:p>
      <w:pPr>
        <w:pStyle w:val="Heading1"/>
        <w:keepNext/>
      </w:pPr>
      <w:r>
        <w:t>8. Recommended Week 9 action plan</w:t>
      </w:r>
    </w:p>
    <w:p>
      <w:pPr>
        <w:pStyle w:val="ListNumber"/>
        <w:spacing w:after="60"/>
      </w:pPr>
      <w:r>
        <w:t>Digitise the highest-value pH and temperature curves first: Zhang 2022 infected/uninfected pH-temperature trajectories and pH-voltage calibration, followed by Zhang 2021 and Ryu 2024 temperature curves.</w:t>
      </w:r>
    </w:p>
    <w:p>
      <w:pPr>
        <w:pStyle w:val="ListNumber"/>
        <w:spacing w:after="60"/>
      </w:pPr>
      <w:r>
        <w:t>Assign new sample IDs S009 onward and preserve raw WebPlotDigitizer exports separately from cleaned curves.</w:t>
      </w:r>
    </w:p>
    <w:p>
      <w:pPr>
        <w:pStyle w:val="ListNumber"/>
        <w:spacing w:after="60"/>
      </w:pPr>
      <w:r>
        <w:t>Increase the feature table to at least 30–50 curve samples before relying on nonlinear manifold visualisations; use a larger target for any supervised classification claim.</w:t>
      </w:r>
    </w:p>
    <w:p>
      <w:pPr>
        <w:pStyle w:val="ListNumber"/>
        <w:spacing w:after="60"/>
      </w:pPr>
      <w:r>
        <w:t>Add parameter-specific features: pH threshold-crossing time, temperature change relative to adjacent skin, wound-area percentage reduction, and sensor-calibration sensitivity/linearity.</w:t>
      </w:r>
    </w:p>
    <w:p>
      <w:pPr>
        <w:pStyle w:val="ListNumber"/>
        <w:spacing w:after="60"/>
      </w:pPr>
      <w:r>
        <w:t>Separate analysis tasks: calibration regression, healing-trajectory regression, and labelled wound-status classification should use different datasets and target variables.</w:t>
      </w:r>
    </w:p>
    <w:p>
      <w:pPr>
        <w:pStyle w:val="ListNumber"/>
        <w:spacing w:after="60"/>
      </w:pPr>
      <w:r>
        <w:t>Rerun PCA, t-SNE, true UMAP and MDS using a single reproducible script with fixed random seeds and saved preprocessing parameters.</w:t>
      </w:r>
    </w:p>
    <w:p>
      <w:pPr>
        <w:pStyle w:val="ListNumber"/>
        <w:spacing w:after="60"/>
      </w:pPr>
      <w:r>
        <w:t>Create a data dictionary and version-controlled master repository; avoid multiple ambiguous “final” ZIP packages.</w:t>
      </w:r>
    </w:p>
    <w:p>
      <w:pPr>
        <w:pStyle w:val="ListNumber"/>
        <w:spacing w:after="60"/>
      </w:pPr>
      <w:r>
        <w:t>Complete the CMJ author details and submission checks only after the supervisor approves the V3 scientific framing and quantitative ranges.</w:t>
      </w:r>
    </w:p>
    <w:p>
      <w:pPr>
        <w:pStyle w:val="Heading2"/>
        <w:keepNext/>
      </w:pPr>
      <w:r>
        <w:t>Supervisor decisions requested</w:t>
      </w:r>
    </w:p>
    <w:tbl>
      <w:tblPr>
        <w:tblStyle w:val="TableGrid"/>
        <w:tblW w:type="auto" w:w="0"/>
        <w:jc w:val="center"/>
        <w:tblLayout w:type="fixed"/>
        <w:tblLook w:firstColumn="1" w:firstRow="1" w:lastColumn="0" w:lastRow="0" w:noHBand="0" w:noVBand="1" w:val="04A0"/>
      </w:tblPr>
      <w:tblGrid>
        <w:gridCol w:w="4933"/>
        <w:gridCol w:w="4933"/>
      </w:tblGrid>
      <w:tr>
        <w:tc>
          <w:tcPr>
            <w:tcW w:type="dxa" w:w="2088"/>
            <w:shd w:fill="123B5D"/>
            <w:vAlign w:val="center"/>
            <w:tcMar>
              <w:top w:w="90" w:type="dxa"/>
              <w:start w:w="100" w:type="dxa"/>
              <w:bottom w:w="90" w:type="dxa"/>
              <w:end w:w="100" w:type="dxa"/>
            </w:tcMar>
          </w:tcPr>
          <w:p>
            <w:pPr>
              <w:jc w:val="center"/>
            </w:pPr>
            <w:r>
              <w:rPr>
                <w:b/>
                <w:color w:val="FFFFFF"/>
                <w:sz w:val="17"/>
              </w:rPr>
              <w:t>Decision area</w:t>
            </w:r>
          </w:p>
        </w:tc>
        <w:tc>
          <w:tcPr>
            <w:tcW w:type="dxa" w:w="7560"/>
            <w:shd w:fill="123B5D"/>
            <w:vAlign w:val="center"/>
            <w:tcMar>
              <w:top w:w="90" w:type="dxa"/>
              <w:start w:w="100" w:type="dxa"/>
              <w:bottom w:w="90" w:type="dxa"/>
              <w:end w:w="100" w:type="dxa"/>
            </w:tcMar>
          </w:tcPr>
          <w:p>
            <w:pPr>
              <w:jc w:val="center"/>
            </w:pPr>
            <w:r>
              <w:rPr>
                <w:b/>
                <w:color w:val="FFFFFF"/>
                <w:sz w:val="17"/>
              </w:rPr>
              <w:t>What is needed from the supervisor</w:t>
            </w:r>
          </w:p>
        </w:tc>
      </w:tr>
      <w:tr>
        <w:tc>
          <w:tcPr>
            <w:tcW w:type="dxa" w:w="2088"/>
            <w:vAlign w:val="center"/>
            <w:tcMar>
              <w:top w:w="90" w:type="dxa"/>
              <w:start w:w="100" w:type="dxa"/>
              <w:bottom w:w="90" w:type="dxa"/>
              <w:end w:w="100" w:type="dxa"/>
            </w:tcMar>
          </w:tcPr>
          <w:p>
            <w:pPr>
              <w:spacing w:after="0" w:line="240" w:lineRule="auto"/>
            </w:pPr>
            <w:r>
              <w:rPr>
                <w:color w:val="1E2B36"/>
                <w:sz w:val="17"/>
              </w:rPr>
              <w:t>Dataset direction</w:t>
            </w:r>
          </w:p>
        </w:tc>
        <w:tc>
          <w:tcPr>
            <w:tcW w:type="dxa" w:w="7560"/>
            <w:vAlign w:val="center"/>
            <w:tcMar>
              <w:top w:w="90" w:type="dxa"/>
              <w:start w:w="100" w:type="dxa"/>
              <w:bottom w:w="90" w:type="dxa"/>
              <w:end w:w="100" w:type="dxa"/>
            </w:tcMar>
          </w:tcPr>
          <w:p>
            <w:pPr>
              <w:spacing w:after="0" w:line="240" w:lineRule="auto"/>
            </w:pPr>
            <w:r>
              <w:rPr>
                <w:color w:val="1E2B36"/>
                <w:sz w:val="17"/>
              </w:rPr>
              <w:t>Approve the literature-derived dataset as a preliminary methods/demo dataset and confirm the next 10 figures to digitise.</w:t>
            </w:r>
          </w:p>
        </w:tc>
      </w:tr>
      <w:tr>
        <w:tc>
          <w:tcPr>
            <w:tcW w:type="dxa" w:w="2088"/>
            <w:vAlign w:val="center"/>
            <w:tcMar>
              <w:top w:w="90" w:type="dxa"/>
              <w:start w:w="100" w:type="dxa"/>
              <w:bottom w:w="90" w:type="dxa"/>
              <w:end w:w="100" w:type="dxa"/>
            </w:tcMar>
            <w:shd w:fill="F7FAFC"/>
          </w:tcPr>
          <w:p>
            <w:pPr>
              <w:spacing w:after="0" w:line="240" w:lineRule="auto"/>
            </w:pPr>
            <w:r>
              <w:rPr>
                <w:color w:val="1E2B36"/>
                <w:sz w:val="17"/>
              </w:rPr>
              <w:t>Primary ML task</w:t>
            </w:r>
          </w:p>
        </w:tc>
        <w:tc>
          <w:tcPr>
            <w:tcW w:type="dxa" w:w="7560"/>
            <w:vAlign w:val="center"/>
            <w:tcMar>
              <w:top w:w="90" w:type="dxa"/>
              <w:start w:w="100" w:type="dxa"/>
              <w:bottom w:w="90" w:type="dxa"/>
              <w:end w:w="100" w:type="dxa"/>
            </w:tcMar>
            <w:shd w:fill="F7FAFC"/>
          </w:tcPr>
          <w:p>
            <w:pPr>
              <w:spacing w:after="0" w:line="240" w:lineRule="auto"/>
            </w:pPr>
            <w:r>
              <w:rPr>
                <w:color w:val="1E2B36"/>
                <w:sz w:val="17"/>
              </w:rPr>
              <w:t>Choose the first target: sensor calibration, healing prediction, or wound-status classification.</w:t>
            </w:r>
          </w:p>
        </w:tc>
      </w:tr>
      <w:tr>
        <w:tc>
          <w:tcPr>
            <w:tcW w:type="dxa" w:w="2088"/>
            <w:vAlign w:val="center"/>
            <w:tcMar>
              <w:top w:w="90" w:type="dxa"/>
              <w:start w:w="100" w:type="dxa"/>
              <w:bottom w:w="90" w:type="dxa"/>
              <w:end w:w="100" w:type="dxa"/>
            </w:tcMar>
          </w:tcPr>
          <w:p>
            <w:pPr>
              <w:spacing w:after="0" w:line="240" w:lineRule="auto"/>
            </w:pPr>
            <w:r>
              <w:rPr>
                <w:color w:val="1E2B36"/>
                <w:sz w:val="17"/>
              </w:rPr>
              <w:t>Sample target</w:t>
            </w:r>
          </w:p>
        </w:tc>
        <w:tc>
          <w:tcPr>
            <w:tcW w:type="dxa" w:w="7560"/>
            <w:vAlign w:val="center"/>
            <w:tcMar>
              <w:top w:w="90" w:type="dxa"/>
              <w:start w:w="100" w:type="dxa"/>
              <w:bottom w:w="90" w:type="dxa"/>
              <w:end w:w="100" w:type="dxa"/>
            </w:tcMar>
          </w:tcPr>
          <w:p>
            <w:pPr>
              <w:spacing w:after="0" w:line="240" w:lineRule="auto"/>
            </w:pPr>
            <w:r>
              <w:rPr>
                <w:color w:val="1E2B36"/>
                <w:sz w:val="17"/>
              </w:rPr>
              <w:t>Confirm minimum sample target before formal model comparison; recommended immediate milestone is 30–50 curves.</w:t>
            </w:r>
          </w:p>
        </w:tc>
      </w:tr>
      <w:tr>
        <w:tc>
          <w:tcPr>
            <w:tcW w:type="dxa" w:w="2088"/>
            <w:vAlign w:val="center"/>
            <w:tcMar>
              <w:top w:w="90" w:type="dxa"/>
              <w:start w:w="100" w:type="dxa"/>
              <w:bottom w:w="90" w:type="dxa"/>
              <w:end w:w="100" w:type="dxa"/>
            </w:tcMar>
            <w:shd w:fill="F7FAFC"/>
          </w:tcPr>
          <w:p>
            <w:pPr>
              <w:spacing w:after="0" w:line="240" w:lineRule="auto"/>
            </w:pPr>
            <w:r>
              <w:rPr>
                <w:color w:val="1E2B36"/>
                <w:sz w:val="17"/>
              </w:rPr>
              <w:t>Manuscript</w:t>
            </w:r>
          </w:p>
        </w:tc>
        <w:tc>
          <w:tcPr>
            <w:tcW w:type="dxa" w:w="7560"/>
            <w:vAlign w:val="center"/>
            <w:tcMar>
              <w:top w:w="90" w:type="dxa"/>
              <w:start w:w="100" w:type="dxa"/>
              <w:bottom w:w="90" w:type="dxa"/>
              <w:end w:w="100" w:type="dxa"/>
            </w:tcMar>
            <w:shd w:fill="F7FAFC"/>
          </w:tcPr>
          <w:p>
            <w:pPr>
              <w:spacing w:after="0" w:line="240" w:lineRule="auto"/>
            </w:pPr>
            <w:r>
              <w:rPr>
                <w:color w:val="1E2B36"/>
                <w:sz w:val="17"/>
              </w:rPr>
              <w:t>Confirm whether V3 is ready for journal-format polishing or requires one further scientific revision.</w:t>
            </w:r>
          </w:p>
        </w:tc>
      </w:tr>
      <w:tr>
        <w:tc>
          <w:tcPr>
            <w:tcW w:type="dxa" w:w="2088"/>
            <w:vAlign w:val="center"/>
            <w:tcMar>
              <w:top w:w="90" w:type="dxa"/>
              <w:start w:w="100" w:type="dxa"/>
              <w:bottom w:w="90" w:type="dxa"/>
              <w:end w:w="100" w:type="dxa"/>
            </w:tcMar>
          </w:tcPr>
          <w:p>
            <w:pPr>
              <w:spacing w:after="0" w:line="240" w:lineRule="auto"/>
            </w:pPr>
            <w:r>
              <w:rPr>
                <w:color w:val="1E2B36"/>
                <w:sz w:val="17"/>
              </w:rPr>
              <w:t>Project integration</w:t>
            </w:r>
          </w:p>
        </w:tc>
        <w:tc>
          <w:tcPr>
            <w:tcW w:type="dxa" w:w="7560"/>
            <w:vAlign w:val="center"/>
            <w:tcMar>
              <w:top w:w="90" w:type="dxa"/>
              <w:start w:w="100" w:type="dxa"/>
              <w:bottom w:w="90" w:type="dxa"/>
              <w:end w:w="100" w:type="dxa"/>
            </w:tcMar>
          </w:tcPr>
          <w:p>
            <w:pPr>
              <w:spacing w:after="0" w:line="240" w:lineRule="auto"/>
            </w:pPr>
            <w:r>
              <w:rPr>
                <w:color w:val="1E2B36"/>
                <w:sz w:val="17"/>
              </w:rPr>
              <w:t>Confirm when the literature-derived feature pipeline should be linked to real pH/temperature prototype measurements.</w:t>
            </w:r>
          </w:p>
        </w:tc>
      </w:tr>
    </w:tbl>
    <w:p>
      <w:pPr>
        <w:spacing w:after="0"/>
      </w:pPr>
    </w:p>
    <w:p>
      <w:pPr>
        <w:pStyle w:val="Heading1"/>
        <w:keepNext/>
      </w:pPr>
      <w:r>
        <w:t>Appendix A. Key deliverables produced in Week 8</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32"/>
            <w:shd w:fill="123B5D"/>
            <w:vAlign w:val="center"/>
            <w:tcMar>
              <w:top w:w="90" w:type="dxa"/>
              <w:start w:w="100" w:type="dxa"/>
              <w:bottom w:w="90" w:type="dxa"/>
              <w:end w:w="100" w:type="dxa"/>
            </w:tcMar>
          </w:tcPr>
          <w:p>
            <w:pPr>
              <w:jc w:val="center"/>
            </w:pPr>
            <w:r>
              <w:rPr>
                <w:b/>
                <w:color w:val="FFFFFF"/>
                <w:sz w:val="17"/>
              </w:rPr>
              <w:t>Deliverable</w:t>
            </w:r>
          </w:p>
        </w:tc>
        <w:tc>
          <w:tcPr>
            <w:tcW w:type="dxa" w:w="4032"/>
            <w:shd w:fill="123B5D"/>
            <w:vAlign w:val="center"/>
            <w:tcMar>
              <w:top w:w="90" w:type="dxa"/>
              <w:start w:w="100" w:type="dxa"/>
              <w:bottom w:w="90" w:type="dxa"/>
              <w:end w:w="100" w:type="dxa"/>
            </w:tcMar>
          </w:tcPr>
          <w:p>
            <w:pPr>
              <w:jc w:val="center"/>
            </w:pPr>
            <w:r>
              <w:rPr>
                <w:b/>
                <w:color w:val="FFFFFF"/>
                <w:sz w:val="17"/>
              </w:rPr>
              <w:t>Representative file</w:t>
            </w:r>
          </w:p>
        </w:tc>
        <w:tc>
          <w:tcPr>
            <w:tcW w:type="dxa" w:w="3384"/>
            <w:shd w:fill="123B5D"/>
            <w:vAlign w:val="center"/>
            <w:tcMar>
              <w:top w:w="90" w:type="dxa"/>
              <w:start w:w="100" w:type="dxa"/>
              <w:bottom w:w="90" w:type="dxa"/>
              <w:end w:w="100" w:type="dxa"/>
            </w:tcMar>
          </w:tcPr>
          <w:p>
            <w:pPr>
              <w:jc w:val="center"/>
            </w:pPr>
            <w:r>
              <w:rPr>
                <w:b/>
                <w:color w:val="FFFFFF"/>
                <w:sz w:val="17"/>
              </w:rPr>
              <w:t>Purpose</w:t>
            </w:r>
          </w:p>
        </w:tc>
      </w:tr>
      <w:tr>
        <w:tc>
          <w:tcPr>
            <w:tcW w:type="dxa" w:w="2232"/>
            <w:vAlign w:val="center"/>
            <w:tcMar>
              <w:top w:w="90" w:type="dxa"/>
              <w:start w:w="100" w:type="dxa"/>
              <w:bottom w:w="90" w:type="dxa"/>
              <w:end w:w="100" w:type="dxa"/>
            </w:tcMar>
          </w:tcPr>
          <w:p>
            <w:pPr>
              <w:spacing w:after="0" w:line="240" w:lineRule="auto"/>
            </w:pPr>
            <w:r>
              <w:rPr>
                <w:color w:val="1E2B36"/>
                <w:sz w:val="17"/>
              </w:rPr>
              <w:t>Organised dataset workbook</w:t>
            </w:r>
          </w:p>
        </w:tc>
        <w:tc>
          <w:tcPr>
            <w:tcW w:type="dxa" w:w="4032"/>
            <w:vAlign w:val="center"/>
            <w:tcMar>
              <w:top w:w="90" w:type="dxa"/>
              <w:start w:w="100" w:type="dxa"/>
              <w:bottom w:w="90" w:type="dxa"/>
              <w:end w:w="100" w:type="dxa"/>
            </w:tcMar>
          </w:tcPr>
          <w:p>
            <w:pPr>
              <w:spacing w:after="0" w:line="240" w:lineRule="auto"/>
            </w:pPr>
            <w:r>
              <w:rPr>
                <w:color w:val="1E2B36"/>
                <w:sz w:val="17"/>
              </w:rPr>
              <w:t>DATASET_Wound_Monitoring_MASTER.xlsx</w:t>
            </w:r>
          </w:p>
        </w:tc>
        <w:tc>
          <w:tcPr>
            <w:tcW w:type="dxa" w:w="3384"/>
            <w:vAlign w:val="center"/>
            <w:tcMar>
              <w:top w:w="90" w:type="dxa"/>
              <w:start w:w="100" w:type="dxa"/>
              <w:bottom w:w="90" w:type="dxa"/>
              <w:end w:w="100" w:type="dxa"/>
            </w:tcMar>
          </w:tcPr>
          <w:p>
            <w:pPr>
              <w:spacing w:after="0" w:line="240" w:lineRule="auto"/>
            </w:pPr>
            <w:r>
              <w:rPr>
                <w:color w:val="1E2B36"/>
                <w:sz w:val="17"/>
              </w:rPr>
              <w:t>Central 8-sheet data-management workbook.</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Paper index</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01_Paper_Index.csv</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11-study evidence map.</w:t>
            </w:r>
          </w:p>
        </w:tc>
      </w:tr>
      <w:tr>
        <w:tc>
          <w:tcPr>
            <w:tcW w:type="dxa" w:w="2232"/>
            <w:vAlign w:val="center"/>
            <w:tcMar>
              <w:top w:w="90" w:type="dxa"/>
              <w:start w:w="100" w:type="dxa"/>
              <w:bottom w:w="90" w:type="dxa"/>
              <w:end w:w="100" w:type="dxa"/>
            </w:tcMar>
          </w:tcPr>
          <w:p>
            <w:pPr>
              <w:spacing w:after="0" w:line="240" w:lineRule="auto"/>
            </w:pPr>
            <w:r>
              <w:rPr>
                <w:color w:val="1E2B36"/>
                <w:sz w:val="17"/>
              </w:rPr>
              <w:t>Figure extraction plan</w:t>
            </w:r>
          </w:p>
        </w:tc>
        <w:tc>
          <w:tcPr>
            <w:tcW w:type="dxa" w:w="4032"/>
            <w:vAlign w:val="center"/>
            <w:tcMar>
              <w:top w:w="90" w:type="dxa"/>
              <w:start w:w="100" w:type="dxa"/>
              <w:bottom w:w="90" w:type="dxa"/>
              <w:end w:w="100" w:type="dxa"/>
            </w:tcMar>
          </w:tcPr>
          <w:p>
            <w:pPr>
              <w:spacing w:after="0" w:line="240" w:lineRule="auto"/>
            </w:pPr>
            <w:r>
              <w:rPr>
                <w:color w:val="1E2B36"/>
                <w:sz w:val="17"/>
              </w:rPr>
              <w:t>02_Figure_List.csv</w:t>
            </w:r>
          </w:p>
        </w:tc>
        <w:tc>
          <w:tcPr>
            <w:tcW w:type="dxa" w:w="3384"/>
            <w:vAlign w:val="center"/>
            <w:tcMar>
              <w:top w:w="90" w:type="dxa"/>
              <w:start w:w="100" w:type="dxa"/>
              <w:bottom w:w="90" w:type="dxa"/>
              <w:end w:w="100" w:type="dxa"/>
            </w:tcMar>
          </w:tcPr>
          <w:p>
            <w:pPr>
              <w:spacing w:after="0" w:line="240" w:lineRule="auto"/>
            </w:pPr>
            <w:r>
              <w:rPr>
                <w:color w:val="1E2B36"/>
                <w:sz w:val="17"/>
              </w:rPr>
              <w:t>53-figure triage, priority and quality plan.</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Traceable filenames</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03_Rename_Map.csv</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Old-to-new figure naming map.</w:t>
            </w:r>
          </w:p>
        </w:tc>
      </w:tr>
      <w:tr>
        <w:tc>
          <w:tcPr>
            <w:tcW w:type="dxa" w:w="2232"/>
            <w:vAlign w:val="center"/>
            <w:tcMar>
              <w:top w:w="90" w:type="dxa"/>
              <w:start w:w="100" w:type="dxa"/>
              <w:bottom w:w="90" w:type="dxa"/>
              <w:end w:w="100" w:type="dxa"/>
            </w:tcMar>
          </w:tcPr>
          <w:p>
            <w:pPr>
              <w:spacing w:after="0" w:line="240" w:lineRule="auto"/>
            </w:pPr>
            <w:r>
              <w:rPr>
                <w:color w:val="1E2B36"/>
                <w:sz w:val="17"/>
              </w:rPr>
              <w:t>Raw data</w:t>
            </w:r>
          </w:p>
        </w:tc>
        <w:tc>
          <w:tcPr>
            <w:tcW w:type="dxa" w:w="4032"/>
            <w:vAlign w:val="center"/>
            <w:tcMar>
              <w:top w:w="90" w:type="dxa"/>
              <w:start w:w="100" w:type="dxa"/>
              <w:bottom w:w="90" w:type="dxa"/>
              <w:end w:w="100" w:type="dxa"/>
            </w:tcMar>
          </w:tcPr>
          <w:p>
            <w:pPr>
              <w:spacing w:after="0" w:line="240" w:lineRule="auto"/>
            </w:pPr>
            <w:r>
              <w:rPr>
                <w:color w:val="1E2B36"/>
                <w:sz w:val="17"/>
              </w:rPr>
              <w:t>04_Raw_Digitized_Data.csv</w:t>
            </w:r>
          </w:p>
        </w:tc>
        <w:tc>
          <w:tcPr>
            <w:tcW w:type="dxa" w:w="3384"/>
            <w:vAlign w:val="center"/>
            <w:tcMar>
              <w:top w:w="90" w:type="dxa"/>
              <w:start w:w="100" w:type="dxa"/>
              <w:bottom w:w="90" w:type="dxa"/>
              <w:end w:w="100" w:type="dxa"/>
            </w:tcMar>
          </w:tcPr>
          <w:p>
            <w:pPr>
              <w:spacing w:after="0" w:line="240" w:lineRule="auto"/>
            </w:pPr>
            <w:r>
              <w:rPr>
                <w:color w:val="1E2B36"/>
                <w:sz w:val="17"/>
              </w:rPr>
              <w:t>56 transcribed/digitised points.</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Cleaned data</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05_Cleaned_TimeSeries.csv</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38 tidy time-series points.</w:t>
            </w:r>
          </w:p>
        </w:tc>
      </w:tr>
      <w:tr>
        <w:tc>
          <w:tcPr>
            <w:tcW w:type="dxa" w:w="2232"/>
            <w:vAlign w:val="center"/>
            <w:tcMar>
              <w:top w:w="90" w:type="dxa"/>
              <w:start w:w="100" w:type="dxa"/>
              <w:bottom w:w="90" w:type="dxa"/>
              <w:end w:w="100" w:type="dxa"/>
            </w:tcMar>
          </w:tcPr>
          <w:p>
            <w:pPr>
              <w:spacing w:after="0" w:line="240" w:lineRule="auto"/>
            </w:pPr>
            <w:r>
              <w:rPr>
                <w:color w:val="1E2B36"/>
                <w:sz w:val="17"/>
              </w:rPr>
              <w:t>Feature matrix</w:t>
            </w:r>
          </w:p>
        </w:tc>
        <w:tc>
          <w:tcPr>
            <w:tcW w:type="dxa" w:w="4032"/>
            <w:vAlign w:val="center"/>
            <w:tcMar>
              <w:top w:w="90" w:type="dxa"/>
              <w:start w:w="100" w:type="dxa"/>
              <w:bottom w:w="90" w:type="dxa"/>
              <w:end w:w="100" w:type="dxa"/>
            </w:tcMar>
          </w:tcPr>
          <w:p>
            <w:pPr>
              <w:spacing w:after="0" w:line="240" w:lineRule="auto"/>
            </w:pPr>
            <w:r>
              <w:rPr>
                <w:color w:val="1E2B36"/>
                <w:sz w:val="17"/>
              </w:rPr>
              <w:t>06_Feature_Table.csv</w:t>
            </w:r>
          </w:p>
        </w:tc>
        <w:tc>
          <w:tcPr>
            <w:tcW w:type="dxa" w:w="3384"/>
            <w:vAlign w:val="center"/>
            <w:tcMar>
              <w:top w:w="90" w:type="dxa"/>
              <w:start w:w="100" w:type="dxa"/>
              <w:bottom w:w="90" w:type="dxa"/>
              <w:end w:w="100" w:type="dxa"/>
            </w:tcMar>
          </w:tcPr>
          <w:p>
            <w:pPr>
              <w:spacing w:after="0" w:line="240" w:lineRule="auto"/>
            </w:pPr>
            <w:r>
              <w:rPr>
                <w:color w:val="1E2B36"/>
                <w:sz w:val="17"/>
              </w:rPr>
              <w:t>8 sample rows and calculated features.</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ML method report</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Wound_ML_Method_Report.md</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Analysis order, model recommendation and cautions.</w:t>
            </w:r>
          </w:p>
        </w:tc>
      </w:tr>
      <w:tr>
        <w:tc>
          <w:tcPr>
            <w:tcW w:type="dxa" w:w="2232"/>
            <w:vAlign w:val="center"/>
            <w:tcMar>
              <w:top w:w="90" w:type="dxa"/>
              <w:start w:w="100" w:type="dxa"/>
              <w:bottom w:w="90" w:type="dxa"/>
              <w:end w:w="100" w:type="dxa"/>
            </w:tcMar>
          </w:tcPr>
          <w:p>
            <w:pPr>
              <w:spacing w:after="0" w:line="240" w:lineRule="auto"/>
            </w:pPr>
            <w:r>
              <w:rPr>
                <w:color w:val="1E2B36"/>
                <w:sz w:val="17"/>
              </w:rPr>
              <w:t>Dimensionality outputs</w:t>
            </w:r>
          </w:p>
        </w:tc>
        <w:tc>
          <w:tcPr>
            <w:tcW w:type="dxa" w:w="4032"/>
            <w:vAlign w:val="center"/>
            <w:tcMar>
              <w:top w:w="90" w:type="dxa"/>
              <w:start w:w="100" w:type="dxa"/>
              <w:bottom w:w="90" w:type="dxa"/>
              <w:end w:w="100" w:type="dxa"/>
            </w:tcMar>
          </w:tcPr>
          <w:p>
            <w:pPr>
              <w:spacing w:after="0" w:line="240" w:lineRule="auto"/>
            </w:pPr>
            <w:r>
              <w:rPr>
                <w:color w:val="1E2B36"/>
                <w:sz w:val="17"/>
              </w:rPr>
              <w:t>PCA/t-SNE/MDS CSVs and PNGs</w:t>
            </w:r>
          </w:p>
        </w:tc>
        <w:tc>
          <w:tcPr>
            <w:tcW w:type="dxa" w:w="3384"/>
            <w:vAlign w:val="center"/>
            <w:tcMar>
              <w:top w:w="90" w:type="dxa"/>
              <w:start w:w="100" w:type="dxa"/>
              <w:bottom w:w="90" w:type="dxa"/>
              <w:end w:w="100" w:type="dxa"/>
            </w:tcMar>
          </w:tcPr>
          <w:p>
            <w:pPr>
              <w:spacing w:after="0" w:line="240" w:lineRule="auto"/>
            </w:pPr>
            <w:r>
              <w:rPr>
                <w:color w:val="1E2B36"/>
                <w:sz w:val="17"/>
              </w:rPr>
              <w:t>Exploratory latent-space evidence.</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V3 manuscript</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CMJ_Wound_Smart_Sensors_Advisor_Rebuilt_With_Authors.docx</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Current quantitative structured narrative review.</w:t>
            </w:r>
          </w:p>
        </w:tc>
      </w:tr>
      <w:tr>
        <w:tc>
          <w:tcPr>
            <w:tcW w:type="dxa" w:w="2232"/>
            <w:vAlign w:val="center"/>
            <w:tcMar>
              <w:top w:w="90" w:type="dxa"/>
              <w:start w:w="100" w:type="dxa"/>
              <w:bottom w:w="90" w:type="dxa"/>
              <w:end w:w="100" w:type="dxa"/>
            </w:tcMar>
          </w:tcPr>
          <w:p>
            <w:pPr>
              <w:spacing w:after="0" w:line="240" w:lineRule="auto"/>
            </w:pPr>
            <w:r>
              <w:rPr>
                <w:color w:val="1E2B36"/>
                <w:sz w:val="17"/>
              </w:rPr>
              <w:t>Adviser response</w:t>
            </w:r>
          </w:p>
        </w:tc>
        <w:tc>
          <w:tcPr>
            <w:tcW w:type="dxa" w:w="4032"/>
            <w:vAlign w:val="center"/>
            <w:tcMar>
              <w:top w:w="90" w:type="dxa"/>
              <w:start w:w="100" w:type="dxa"/>
              <w:bottom w:w="90" w:type="dxa"/>
              <w:end w:w="100" w:type="dxa"/>
            </w:tcMar>
          </w:tcPr>
          <w:p>
            <w:pPr>
              <w:spacing w:after="0" w:line="240" w:lineRule="auto"/>
            </w:pPr>
            <w:r>
              <w:rPr>
                <w:color w:val="1E2B36"/>
                <w:sz w:val="17"/>
              </w:rPr>
              <w:t>CMJ_Response_to_Adviser_Feedback.docx</w:t>
            </w:r>
          </w:p>
        </w:tc>
        <w:tc>
          <w:tcPr>
            <w:tcW w:type="dxa" w:w="3384"/>
            <w:vAlign w:val="center"/>
            <w:tcMar>
              <w:top w:w="90" w:type="dxa"/>
              <w:start w:w="100" w:type="dxa"/>
              <w:bottom w:w="90" w:type="dxa"/>
              <w:end w:w="100" w:type="dxa"/>
            </w:tcMar>
          </w:tcPr>
          <w:p>
            <w:pPr>
              <w:spacing w:after="0" w:line="240" w:lineRule="auto"/>
            </w:pPr>
            <w:r>
              <w:rPr>
                <w:color w:val="1E2B36"/>
                <w:sz w:val="17"/>
              </w:rPr>
              <w:t>Five feedback items and completed revisions.</w:t>
            </w:r>
          </w:p>
        </w:tc>
      </w:tr>
      <w:tr>
        <w:tc>
          <w:tcPr>
            <w:tcW w:type="dxa" w:w="2232"/>
            <w:vAlign w:val="center"/>
            <w:tcMar>
              <w:top w:w="90" w:type="dxa"/>
              <w:start w:w="100" w:type="dxa"/>
              <w:bottom w:w="90" w:type="dxa"/>
              <w:end w:w="100" w:type="dxa"/>
            </w:tcMar>
            <w:shd w:fill="F7FAFC"/>
          </w:tcPr>
          <w:p>
            <w:pPr>
              <w:spacing w:after="0" w:line="240" w:lineRule="auto"/>
            </w:pPr>
            <w:r>
              <w:rPr>
                <w:color w:val="1E2B36"/>
                <w:sz w:val="17"/>
              </w:rPr>
              <w:t>Submission checklist</w:t>
            </w:r>
          </w:p>
        </w:tc>
        <w:tc>
          <w:tcPr>
            <w:tcW w:type="dxa" w:w="4032"/>
            <w:vAlign w:val="center"/>
            <w:tcMar>
              <w:top w:w="90" w:type="dxa"/>
              <w:start w:w="100" w:type="dxa"/>
              <w:bottom w:w="90" w:type="dxa"/>
              <w:end w:w="100" w:type="dxa"/>
            </w:tcMar>
            <w:shd w:fill="F7FAFC"/>
          </w:tcPr>
          <w:p>
            <w:pPr>
              <w:spacing w:after="0" w:line="240" w:lineRule="auto"/>
            </w:pPr>
            <w:r>
              <w:rPr>
                <w:color w:val="1E2B36"/>
                <w:sz w:val="17"/>
              </w:rPr>
              <w:t>CMJ_Submission_Checklist_Advisor_Rebuilt.docx</w:t>
            </w:r>
          </w:p>
        </w:tc>
        <w:tc>
          <w:tcPr>
            <w:tcW w:type="dxa" w:w="3384"/>
            <w:vAlign w:val="center"/>
            <w:tcMar>
              <w:top w:w="90" w:type="dxa"/>
              <w:start w:w="100" w:type="dxa"/>
              <w:bottom w:w="90" w:type="dxa"/>
              <w:end w:w="100" w:type="dxa"/>
            </w:tcMar>
            <w:shd w:fill="F7FAFC"/>
          </w:tcPr>
          <w:p>
            <w:pPr>
              <w:spacing w:after="0" w:line="240" w:lineRule="auto"/>
            </w:pPr>
            <w:r>
              <w:rPr>
                <w:color w:val="1E2B36"/>
                <w:sz w:val="17"/>
              </w:rPr>
              <w:t>Remaining submission actions and compliance.</w:t>
            </w:r>
          </w:p>
        </w:tc>
      </w:tr>
    </w:tbl>
    <w:p>
      <w:pPr>
        <w:spacing w:after="0"/>
      </w:pPr>
    </w:p>
    <w:p>
      <w:pPr>
        <w:pStyle w:val="Heading1"/>
        <w:keepNext/>
      </w:pPr>
      <w:r>
        <w:t>Appendix B. Five-minute supervisor presentation script</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440"/>
            <w:shd w:fill="123B5D"/>
            <w:vAlign w:val="center"/>
            <w:tcMar>
              <w:top w:w="90" w:type="dxa"/>
              <w:start w:w="100" w:type="dxa"/>
              <w:bottom w:w="90" w:type="dxa"/>
              <w:end w:w="100" w:type="dxa"/>
            </w:tcMar>
          </w:tcPr>
          <w:p>
            <w:pPr>
              <w:jc w:val="center"/>
            </w:pPr>
            <w:r>
              <w:rPr>
                <w:b/>
                <w:color w:val="FFFFFF"/>
                <w:sz w:val="18"/>
              </w:rPr>
              <w:t>Stage</w:t>
            </w:r>
          </w:p>
        </w:tc>
        <w:tc>
          <w:tcPr>
            <w:tcW w:type="dxa" w:w="8208"/>
            <w:shd w:fill="123B5D"/>
            <w:vAlign w:val="center"/>
            <w:tcMar>
              <w:top w:w="90" w:type="dxa"/>
              <w:start w:w="100" w:type="dxa"/>
              <w:bottom w:w="90" w:type="dxa"/>
              <w:end w:w="100" w:type="dxa"/>
            </w:tcMar>
          </w:tcPr>
          <w:p>
            <w:pPr>
              <w:jc w:val="center"/>
            </w:pPr>
            <w:r>
              <w:rPr>
                <w:b/>
                <w:color w:val="FFFFFF"/>
                <w:sz w:val="18"/>
              </w:rPr>
              <w:t>Suggested wording</w:t>
            </w:r>
          </w:p>
        </w:tc>
      </w:tr>
      <w:tr>
        <w:tc>
          <w:tcPr>
            <w:tcW w:type="dxa" w:w="1440"/>
            <w:vAlign w:val="center"/>
            <w:tcMar>
              <w:top w:w="90" w:type="dxa"/>
              <w:start w:w="100" w:type="dxa"/>
              <w:bottom w:w="90" w:type="dxa"/>
              <w:end w:w="100" w:type="dxa"/>
            </w:tcMar>
          </w:tcPr>
          <w:p>
            <w:pPr>
              <w:spacing w:after="0" w:line="240" w:lineRule="auto"/>
            </w:pPr>
            <w:r>
              <w:rPr>
                <w:color w:val="1E2B36"/>
                <w:sz w:val="18"/>
              </w:rPr>
              <w:t>Opening</w:t>
            </w:r>
          </w:p>
        </w:tc>
        <w:tc>
          <w:tcPr>
            <w:tcW w:type="dxa" w:w="8208"/>
            <w:vAlign w:val="center"/>
            <w:tcMar>
              <w:top w:w="90" w:type="dxa"/>
              <w:start w:w="100" w:type="dxa"/>
              <w:bottom w:w="90" w:type="dxa"/>
              <w:end w:w="100" w:type="dxa"/>
            </w:tcMar>
          </w:tcPr>
          <w:p>
            <w:pPr>
              <w:spacing w:after="0" w:line="240" w:lineRule="auto"/>
            </w:pPr>
            <w:r>
              <w:rPr>
                <w:color w:val="1E2B36"/>
                <w:sz w:val="18"/>
              </w:rPr>
              <w:t>During Week 8, we organised the published wound-monitoring evidence into a traceable dataset and corrected the review manuscript in response to adviser feedback.</w:t>
            </w:r>
          </w:p>
        </w:tc>
      </w:tr>
      <w:tr>
        <w:tc>
          <w:tcPr>
            <w:tcW w:type="dxa" w:w="1440"/>
            <w:vAlign w:val="center"/>
            <w:tcMar>
              <w:top w:w="90" w:type="dxa"/>
              <w:start w:w="100" w:type="dxa"/>
              <w:bottom w:w="90" w:type="dxa"/>
              <w:end w:w="100" w:type="dxa"/>
            </w:tcMar>
            <w:shd w:fill="F7FAFC"/>
          </w:tcPr>
          <w:p>
            <w:pPr>
              <w:spacing w:after="0" w:line="240" w:lineRule="auto"/>
            </w:pPr>
            <w:r>
              <w:rPr>
                <w:color w:val="1E2B36"/>
                <w:sz w:val="18"/>
              </w:rPr>
              <w:t>Dataset</w:t>
            </w:r>
          </w:p>
        </w:tc>
        <w:tc>
          <w:tcPr>
            <w:tcW w:type="dxa" w:w="8208"/>
            <w:vAlign w:val="center"/>
            <w:tcMar>
              <w:top w:w="90" w:type="dxa"/>
              <w:start w:w="100" w:type="dxa"/>
              <w:bottom w:w="90" w:type="dxa"/>
              <w:end w:w="100" w:type="dxa"/>
            </w:tcMar>
            <w:shd w:fill="F7FAFC"/>
          </w:tcPr>
          <w:p>
            <w:pPr>
              <w:spacing w:after="0" w:line="240" w:lineRule="auto"/>
            </w:pPr>
            <w:r>
              <w:rPr>
                <w:color w:val="1E2B36"/>
                <w:sz w:val="18"/>
              </w:rPr>
              <w:t>We indexed 11 papers and classified 53 figures. Twenty-five are suitable for extraction, seven are optional and twenty-one were excluded. Five printed tables were transcribed, producing 56 raw points and 38 cleaned points.</w:t>
            </w:r>
          </w:p>
        </w:tc>
      </w:tr>
      <w:tr>
        <w:tc>
          <w:tcPr>
            <w:tcW w:type="dxa" w:w="1440"/>
            <w:vAlign w:val="center"/>
            <w:tcMar>
              <w:top w:w="90" w:type="dxa"/>
              <w:start w:w="100" w:type="dxa"/>
              <w:bottom w:w="90" w:type="dxa"/>
              <w:end w:w="100" w:type="dxa"/>
            </w:tcMar>
          </w:tcPr>
          <w:p>
            <w:pPr>
              <w:spacing w:after="0" w:line="240" w:lineRule="auto"/>
            </w:pPr>
            <w:r>
              <w:rPr>
                <w:color w:val="1E2B36"/>
                <w:sz w:val="18"/>
              </w:rPr>
              <w:t>Features</w:t>
            </w:r>
          </w:p>
        </w:tc>
        <w:tc>
          <w:tcPr>
            <w:tcW w:type="dxa" w:w="8208"/>
            <w:vAlign w:val="center"/>
            <w:tcMar>
              <w:top w:w="90" w:type="dxa"/>
              <w:start w:w="100" w:type="dxa"/>
              <w:bottom w:w="90" w:type="dxa"/>
              <w:end w:w="100" w:type="dxa"/>
            </w:tcMar>
          </w:tcPr>
          <w:p>
            <w:pPr>
              <w:spacing w:after="0" w:line="240" w:lineRule="auto"/>
            </w:pPr>
            <w:r>
              <w:rPr>
                <w:color w:val="1E2B36"/>
                <w:sz w:val="18"/>
              </w:rPr>
              <w:t>The cleaned data currently form eight curve samples: NPWT and conventional wound area, healing percentage and granulation, plus two temperature trajectories. We calculated 15 numerical features for exploratory analysis.</w:t>
            </w:r>
          </w:p>
        </w:tc>
      </w:tr>
      <w:tr>
        <w:tc>
          <w:tcPr>
            <w:tcW w:type="dxa" w:w="1440"/>
            <w:vAlign w:val="center"/>
            <w:tcMar>
              <w:top w:w="90" w:type="dxa"/>
              <w:start w:w="100" w:type="dxa"/>
              <w:bottom w:w="90" w:type="dxa"/>
              <w:end w:w="100" w:type="dxa"/>
            </w:tcMar>
            <w:shd w:fill="F7FAFC"/>
          </w:tcPr>
          <w:p>
            <w:pPr>
              <w:spacing w:after="0" w:line="240" w:lineRule="auto"/>
            </w:pPr>
            <w:r>
              <w:rPr>
                <w:color w:val="1E2B36"/>
                <w:sz w:val="18"/>
              </w:rPr>
              <w:t>Analysis</w:t>
            </w:r>
          </w:p>
        </w:tc>
        <w:tc>
          <w:tcPr>
            <w:tcW w:type="dxa" w:w="8208"/>
            <w:vAlign w:val="center"/>
            <w:tcMar>
              <w:top w:w="90" w:type="dxa"/>
              <w:start w:w="100" w:type="dxa"/>
              <w:bottom w:w="90" w:type="dxa"/>
              <w:end w:w="100" w:type="dxa"/>
            </w:tcMar>
            <w:shd w:fill="F7FAFC"/>
          </w:tcPr>
          <w:p>
            <w:pPr>
              <w:spacing w:after="0" w:line="240" w:lineRule="auto"/>
            </w:pPr>
            <w:r>
              <w:rPr>
                <w:color w:val="1E2B36"/>
                <w:sz w:val="18"/>
              </w:rPr>
              <w:t>PCA, t-SNE and MDS were generated. PCA explains about 90.8% of variance in two components and separates the parameter types, but the sample size is too small for clinical ML claims.</w:t>
            </w:r>
          </w:p>
        </w:tc>
      </w:tr>
      <w:tr>
        <w:tc>
          <w:tcPr>
            <w:tcW w:type="dxa" w:w="1440"/>
            <w:vAlign w:val="center"/>
            <w:tcMar>
              <w:top w:w="90" w:type="dxa"/>
              <w:start w:w="100" w:type="dxa"/>
              <w:bottom w:w="90" w:type="dxa"/>
              <w:end w:w="100" w:type="dxa"/>
            </w:tcMar>
          </w:tcPr>
          <w:p>
            <w:pPr>
              <w:spacing w:after="0" w:line="240" w:lineRule="auto"/>
            </w:pPr>
            <w:r>
              <w:rPr>
                <w:color w:val="1E2B36"/>
                <w:sz w:val="18"/>
              </w:rPr>
              <w:t>Manuscript</w:t>
            </w:r>
          </w:p>
        </w:tc>
        <w:tc>
          <w:tcPr>
            <w:tcW w:type="dxa" w:w="8208"/>
            <w:vAlign w:val="center"/>
            <w:tcMar>
              <w:top w:w="90" w:type="dxa"/>
              <w:start w:w="100" w:type="dxa"/>
              <w:bottom w:w="90" w:type="dxa"/>
              <w:end w:w="100" w:type="dxa"/>
            </w:tcMar>
          </w:tcPr>
          <w:p>
            <w:pPr>
              <w:spacing w:after="0" w:line="240" w:lineRule="auto"/>
            </w:pPr>
            <w:r>
              <w:rPr>
                <w:color w:val="1E2B36"/>
                <w:sz w:val="18"/>
              </w:rPr>
              <w:t>The CMJ review was corrected from an initial review/design package to a pure narrative review, then rebuilt around quantitative pH, temperature and moisture interpretation. It now contains 21 key references and a response to adviser feedback.</w:t>
            </w:r>
          </w:p>
        </w:tc>
      </w:tr>
      <w:tr>
        <w:tc>
          <w:tcPr>
            <w:tcW w:type="dxa" w:w="1440"/>
            <w:vAlign w:val="center"/>
            <w:tcMar>
              <w:top w:w="90" w:type="dxa"/>
              <w:start w:w="100" w:type="dxa"/>
              <w:bottom w:w="90" w:type="dxa"/>
              <w:end w:w="100" w:type="dxa"/>
            </w:tcMar>
            <w:shd w:fill="F7FAFC"/>
          </w:tcPr>
          <w:p>
            <w:pPr>
              <w:spacing w:after="0" w:line="240" w:lineRule="auto"/>
            </w:pPr>
            <w:r>
              <w:rPr>
                <w:color w:val="1E2B36"/>
                <w:sz w:val="18"/>
              </w:rPr>
              <w:t>Next step</w:t>
            </w:r>
          </w:p>
        </w:tc>
        <w:tc>
          <w:tcPr>
            <w:tcW w:type="dxa" w:w="8208"/>
            <w:vAlign w:val="center"/>
            <w:tcMar>
              <w:top w:w="90" w:type="dxa"/>
              <w:start w:w="100" w:type="dxa"/>
              <w:bottom w:w="90" w:type="dxa"/>
              <w:end w:w="100" w:type="dxa"/>
            </w:tcMar>
            <w:shd w:fill="F7FAFC"/>
          </w:tcPr>
          <w:p>
            <w:pPr>
              <w:spacing w:after="0" w:line="240" w:lineRule="auto"/>
            </w:pPr>
            <w:r>
              <w:rPr>
                <w:color w:val="1E2B36"/>
                <w:sz w:val="18"/>
              </w:rPr>
              <w:t>Our next priority is digitising the key pH and temperature curves, increasing the feature table to 30–50 samples, rerunning the analysis and then linking the same structure to validated prototype sensor data.</w:t>
            </w:r>
          </w:p>
        </w:tc>
      </w:tr>
    </w:tbl>
    <w:p>
      <w:pPr>
        <w:spacing w:after="0"/>
      </w:pPr>
    </w:p>
    <w:p>
      <w:pPr>
        <w:pStyle w:val="Heading1"/>
        <w:keepNext/>
      </w:pPr>
      <w:r>
        <w:t>Appendix C. Final conclusion</w:t>
      </w:r>
    </w:p>
    <w:p>
      <w:pPr>
        <w:pStyle w:val="ExecutiveSummary"/>
      </w:pPr>
      <w:r>
        <w:rPr>
          <w:b/>
          <w:color w:val="123B5D"/>
        </w:rPr>
        <w:t xml:space="preserve">Week 8 successfully established the project’s evidence and data-analysis foundation. </w:t>
      </w:r>
      <w:r>
        <w:t>The archive demonstrates disciplined literature selection, figure triage, traceable data cleaning, initial feature engineering, exploratory dimensionality reduction and a substantial journal-manuscript revision. The strongest next move is not to train more complex models on the current eight samples, but to complete the Priority-1 digitisation plan, standardise task-specific targets and preserve a strict boundary between published literature data and future experimental sensor data.</w:t>
      </w:r>
    </w:p>
    <w:tbl>
      <w:tblPr>
        <w:tblW w:type="auto" w:w="0"/>
        <w:jc w:val="center"/>
        <w:tblLayout w:type="autofit"/>
        <w:tblLook w:firstColumn="1" w:firstRow="1" w:lastColumn="0" w:lastRow="0" w:noHBand="0" w:noVBand="1" w:val="04A0"/>
      </w:tblPr>
      <w:tblGrid>
        <w:gridCol w:w="9866"/>
      </w:tblGrid>
      <w:tr>
        <w:tc>
          <w:tcPr>
            <w:tcW w:type="dxa" w:w="9866"/>
            <w:shd w:fill="F3F7FA"/>
            <w:tcMar>
              <w:top w:w="130" w:type="dxa"/>
              <w:start w:w="150" w:type="dxa"/>
              <w:bottom w:w="130" w:type="dxa"/>
              <w:end w:w="150" w:type="dxa"/>
            </w:tcMar>
            <w:tcBorders>
              <w:top w:val="single" w:sz="12" w:color="123B5D"/>
              <w:left w:val="single" w:sz="12" w:color="123B5D"/>
              <w:bottom w:val="single" w:sz="12" w:color="123B5D"/>
              <w:right w:val="single" w:sz="12" w:color="123B5D"/>
            </w:tcBorders>
          </w:tcPr>
          <w:p>
            <w:pPr>
              <w:spacing w:after="60"/>
            </w:pPr>
            <w:r>
              <w:rPr>
                <w:b/>
                <w:color w:val="123B5D"/>
                <w:sz w:val="22"/>
              </w:rPr>
              <w:t>Report evidence basis</w:t>
            </w:r>
          </w:p>
          <w:p>
            <w:pPr>
              <w:spacing w:after="0" w:line="259" w:lineRule="auto"/>
            </w:pPr>
            <w:r>
              <w:t>Prepared solely from the contents of WEEK8.zip and the project identity recorded in the manuscript package. No external web sources or unsupported experimental claims were added.</w:t>
            </w:r>
          </w:p>
        </w:tc>
      </w:tr>
    </w:tbl>
    <w:sectPr w:rsidR="00FC693F" w:rsidRPr="0006063C" w:rsidSect="00034616">
      <w:headerReference w:type="default" r:id="rId9"/>
      <w:footerReference w:type="default" r:id="rId10"/>
      <w:pgSz w:w="11906" w:h="16838"/>
      <w:pgMar w:top="1020" w:right="1020" w:bottom="964" w:left="102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78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123B5D"/>
      </w:pBdr>
    </w:pPr>
    <w:r>
      <w:rPr>
        <w:b/>
        <w:color w:val="123B5D"/>
        <w:sz w:val="17"/>
      </w:rPr>
      <w:t>SMART WOUND MONITORING FYP  |  WEEK 8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color w:val="1E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6F9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057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8778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877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line="283" w:lineRule="auto" w:after="120"/>
    </w:pPr>
    <w:rPr>
      <w:rFonts w:ascii="Aptos" w:hAnsi="Aptos"/>
      <w:color w:val="1E2B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Smart Wound Monitoring Full Progress Report</dc:title>
  <dc:subject>Literature-derived dataset, exploratory ML and CMJ manuscript revision</dc:subject>
  <dc:creator>H.M.V.V.W. Wickrama and project team</dc:creator>
  <cp:keywords>Week 8; smart wound monitoring; pH; temperature; dataset; PCA; manuscript revision</cp:keywords>
  <dc:description>generated by python-docx</dc:description>
  <cp:lastModifiedBy/>
  <cp:revision>1</cp:revision>
  <dcterms:created xsi:type="dcterms:W3CDTF">2013-12-23T23:15:00Z</dcterms:created>
  <dcterms:modified xsi:type="dcterms:W3CDTF">2013-12-23T23:15:00Z</dcterms:modified>
  <cp:category/>
</cp:coreProperties>
</file>