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454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</w:p>
    <w:p>
      <w:pPr>
        <w:widowControl w:val="0"/>
        <w:spacing w:before="0" w:after="454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66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55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tabs>
          <w:tab w:pos="306" w:val="left"/>
        </w:tabs>
        <w:spacing w:before="0" w:after="66" w:lineRule="exact" w:line="272"/>
        <w:ind w:left="306" w:hanging="306"/>
        <w:jc w:val="left"/>
      </w:pPr>
      <w:r>
        <w:rPr>
          <w:rFonts w:ascii="Arial" w:hAnsi="Arial" w:cs="Arial" w:eastAsia="Arial"/>
          <w:b w:val="0"/>
          <w:i w:val="0"/>
          <w:sz w:val="22"/>
        </w:rPr>
        <w:t>•</w:t>
        <w:tab/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34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68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1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>·</w:t>
      </w:r>
      <w:r>
        <w:rPr>
          <w:rFonts w:ascii="Arial" w:hAnsi="Arial" w:cs="Arial" w:eastAsia="Arial"/>
          <w:b w:val="0"/>
          <w:i w:val="0"/>
          <w:sz w:val="22"/>
        </w:rPr>
        <w:t xml:space="preserve"> 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Proposta alle ARPA regionali, rete TESS-4C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di collaborazione alle ARPA regionali. Rete TESS-4C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