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00"/>
      </w:pPr>
      <w:r>
        <w:rPr>
          <w:rFonts w:ascii="Helvetica Neue" w:hAnsi="Helvetica Neue" w:cs="Helvetica Neue"/>
          <w:sz w:val="36"/>
          <w:sz-cs w:val="36"/>
          <w:spacing w:val="0"/>
          <w:color w:val="2A3140"/>
        </w:rPr>
        <w:t xml:space="preserve">Enunciado:</w:t>
      </w:r>
    </w:p>
    <w:p>
      <w:pPr>
        <w:spacing w:after="300"/>
      </w:pPr>
      <w:r>
        <w:rPr>
          <w:rFonts w:ascii="Helvetica Neue" w:hAnsi="Helvetica Neue" w:cs="Helvetica Neue"/>
          <w:sz w:val="36"/>
          <w:sz-cs w:val="36"/>
          <w:spacing w:val="0"/>
          <w:color w:val="2A3140"/>
        </w:rPr>
        <w:t xml:space="preserve">La </w:t>
      </w:r>
      <w:r>
        <w:rPr>
          <w:rFonts w:ascii="Helvetica Neue" w:hAnsi="Helvetica Neue" w:cs="Helvetica Neue"/>
          <w:sz w:val="36"/>
          <w:sz-cs w:val="36"/>
          <w:spacing w:val="0"/>
          <w:color w:val="2A3140"/>
        </w:rPr>
        <w:t xml:space="preserve">Cooperativa</w:t>
      </w:r>
      <w:r>
        <w:rPr>
          <w:rFonts w:ascii="Helvetica Neue" w:hAnsi="Helvetica Neue" w:cs="Helvetica Neue"/>
          <w:sz w:val="36"/>
          <w:sz-cs w:val="36"/>
          <w:spacing w:val="0"/>
          <w:color w:val="2A3140"/>
        </w:rPr>
        <w:t xml:space="preserve"> Herfor Diez de seguros necesita llevar un control eficiente de sus cobranzas para mejorar la gestión financiera. Como parte de sus operaciones, se realizan cobranzas de primas de seguros a los asegurados. Cada cobranza debe ser registrada y se requiere tener un seguimiento detallado de la misma.</w:t>
      </w:r>
    </w:p>
    <w:p>
      <w:pPr>
        <w:spacing w:after="300"/>
      </w:pPr>
      <w:r>
        <w:rPr>
          <w:rFonts w:ascii="Helvetica Neue" w:hAnsi="Helvetica Neue" w:cs="Helvetica Neue"/>
          <w:sz w:val="36"/>
          <w:sz-cs w:val="36"/>
          <w:spacing w:val="0"/>
          <w:color w:val="2A3140"/>
        </w:rPr>
        <w:t xml:space="preserve">Se han identificado los siguientes elementos clave en el proceso de cobranza:</w:t>
      </w:r>
    </w:p>
    <w:p>
      <w:pPr>
        <w:spacing w:after="300"/>
      </w:pPr>
      <w:r>
        <w:rPr>
          <w:rFonts w:ascii="Helvetica Neue" w:hAnsi="Helvetica Neue" w:cs="Helvetica Neue"/>
          <w:sz w:val="36"/>
          <w:sz-cs w:val="36"/>
          <w:spacing w:val="0"/>
          <w:color w:val="2A3140"/>
        </w:rPr>
        <w:t xml:space="preserve">Cada cobranza se registra con la siguiente información: Fecha de cobranza (Fecha en la que se realiza la cobranza). Monto cobrado (Monto total cobrado al asegurado). Tipo de moneda (Moneda utilizada en la transacción de cobranza). Método de pago (Forma de pago utilizada, que puede ser mediante transferencia, cheque, débito directo o efectivo). Plazo de pago (Período de tiempo en el que se espera recibir el pago, que puede ser inmediato, 30 días, 60 días o 90 días).</w:t>
      </w:r>
    </w:p>
    <w:p>
      <w:pPr>
        <w:spacing w:after="300"/>
      </w:pPr>
      <w:r>
        <w:rPr>
          <w:rFonts w:ascii="Helvetica Neue" w:hAnsi="Helvetica Neue" w:cs="Helvetica Neue"/>
          <w:sz w:val="36"/>
          <w:sz-cs w:val="36"/>
          <w:spacing w:val="0"/>
          <w:color w:val="2A3140"/>
        </w:rPr>
        <w:t xml:space="preserve">Cada cobranza está asociada a un asegurado con la siguiente información: ID del asegurado (Identificador único del asegurado). Nombre del asegurado (Nombre completo del asegurado). Dirección del asegurado: (Dirección de residencia del asegurado). Otros atributos relevantes del asegurado.</w:t>
      </w:r>
    </w:p>
    <w:p>
      <w:pPr>
        <w:spacing w:after="300"/>
      </w:pPr>
      <w:r>
        <w:rPr>
          <w:rFonts w:ascii="Helvetica Neue" w:hAnsi="Helvetica Neue" w:cs="Helvetica Neue"/>
          <w:sz w:val="36"/>
          <w:sz-cs w:val="36"/>
          <w:spacing w:val="0"/>
          <w:color w:val="2A3140"/>
        </w:rPr>
        <w:t xml:space="preserve">Cada cobranza está relacionada con un producto de seguro específico con la siguiente información: Código de producto: (Código único que identifica el producto de seguro). Ramo: (Categoría o rama de seguro al que pertenece el producto). Tipo de seguro: (Tipo de seguro asociado al producto). Otros atributos relevantes del producto.</w:t>
      </w:r>
    </w:p>
    <w:p>
      <w:pPr>
        <w:spacing w:after="300"/>
      </w:pPr>
      <w:r>
        <w:rPr>
          <w:rFonts w:ascii="Helvetica Neue" w:hAnsi="Helvetica Neue" w:cs="Helvetica Neue"/>
          <w:sz w:val="36"/>
          <w:sz-cs w:val="36"/>
          <w:spacing w:val="0"/>
          <w:color w:val="2A3140"/>
        </w:rPr>
        <w:t xml:space="preserve">Cada cobranza está vinculada a una sucursal de la compañía con la siguiente información: ID de sucursal (Identificador único de la sucursal). Nombre de la sucursal (Nombre de la sucursal). Ubicación de la sucursal (Ubicación física de la sucursal). Otros atributos relevantes de la sucursal.</w:t>
      </w:r>
    </w:p>
    <w:p>
      <w:pPr/>
      <w:r>
        <w:rPr>
          <w:rFonts w:ascii="Helvetica Neue" w:hAnsi="Helvetica Neue" w:cs="Helvetica Neue"/>
          <w:sz w:val="36"/>
          <w:sz-cs w:val="36"/>
          <w:spacing w:val="0"/>
          <w:color w:val="2A3140"/>
        </w:rPr>
        <w:t xml:space="preserve"/>
      </w:r>
    </w:p>
    <w:p>
      <w:pPr>
        <w:spacing w:after="300"/>
      </w:pPr>
      <w:r>
        <w:rPr>
          <w:rFonts w:ascii="Helvetica Neue" w:hAnsi="Helvetica Neue" w:cs="Helvetica Neue"/>
          <w:sz w:val="36"/>
          <w:sz-cs w:val="36"/>
          <w:spacing w:val="0"/>
          <w:color w:val="2A3140"/>
        </w:rPr>
        <w:t xml:space="preserve">Con el fin de llevar un control efectivo de las cobranzas, se solicita el diseño de un Data Warehouse basado en un modelo estrella que permita realizar análisis y generar informes sobre las cobranzas de la compañía Herfor de seguros. El objetivo es obtener información sobre los montos cobrados, el método de pago utilizado, el plazo de pago, así como analizar las tendencias de cobranzas por asegurado, producto, sucursal y tipo de moneda.</w:t>
      </w:r>
      <w:r>
        <w:rPr>
          <w:rFonts w:ascii="Helvetica Neue" w:hAnsi="Helvetica Neue" w:cs="Helvetica Neue"/>
          <w:sz w:val="36"/>
          <w:sz-cs w:val="36"/>
          <w:spacing w:val="0"/>
          <w:color w:val="9C9BB0"/>
        </w:rPr>
        <w:t xml:space="preserve"/>
      </w:r>
    </w:p>
    <w:p>
      <w:pPr>
        <w:jc w:val="center"/>
      </w:pPr>
      <w:r>
        <w:rPr>
          <w:rFonts w:ascii="Helvetica Neue" w:hAnsi="Helvetica Neue" w:cs="Helvetica Neue"/>
          <w:sz w:val="36"/>
          <w:sz-cs w:val="36"/>
          <w:spacing w:val="0"/>
          <w:color w:val="9C9BB0"/>
        </w:rPr>
        <w:t xml:space="preserve"/>
      </w:r>
    </w:p>
    <w:p>
      <w:pPr/>
      <w:r>
        <w:rPr>
          <w:rFonts w:ascii="Helvetica Neue" w:hAnsi="Helvetica Neue" w:cs="Helvetica Neue"/>
          <w:sz w:val="36"/>
          <w:sz-cs w:val="36"/>
          <w:spacing w:val="0"/>
          <w:color w:val="272832"/>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CocoaOOXMLWriter/2299.5</generator>
</meta>
</file>