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Guide</w:t>
      </w:r>
    </w:p>
    <w:p>
      <w:r>
        <w:t xml:space="preserve">Visit the </w:t>
      </w:r>
      <w:r>
        <w:rPr>
          <w:b/>
        </w:rPr>
        <w:t>old city</w:t>
      </w:r>
      <w:r>
        <w:t xml:space="preserve"> and enjoy the </w:t>
      </w:r>
      <w:r>
        <w:rPr>
          <w:i/>
        </w:rPr>
        <w:t>local food</w:t>
      </w:r>
      <w:r>
        <w:t xml:space="preserve"> during your stay.</w:t>
      </w:r>
    </w:p>
    <w:p>
      <w:r>
        <w:t>The museum opens at nine in the morning.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Good morning</w:t>
            </w:r>
          </w:p>
        </w:tc>
        <w:tc>
          <w:tcPr>
            <w:tcW w:type="dxa" w:w="4320"/>
          </w:tcPr>
          <w:p>
            <w:r>
              <w:t>Thank you very much</w:t>
            </w:r>
          </w:p>
        </w:tc>
      </w:tr>
      <w:tr>
        <w:tc>
          <w:tcPr>
            <w:tcW w:type="dxa" w:w="4320"/>
          </w:tcPr>
          <w:p>
            <w:r>
              <w:t>Where is the station?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