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9A5A" w14:textId="1244A7D2" w:rsidR="00EF2245" w:rsidRPr="007F04BF" w:rsidRDefault="00A70DD4" w:rsidP="007F04BF">
      <w:pPr>
        <w:spacing w:line="276" w:lineRule="auto"/>
        <w:jc w:val="center"/>
        <w:rPr>
          <w:u w:val="single"/>
        </w:rPr>
      </w:pPr>
      <w:r w:rsidRPr="007F04BF">
        <w:rPr>
          <w:u w:val="single"/>
        </w:rPr>
        <w:t xml:space="preserve">How do different environmental and socioeconomic variables lead to health disparities </w:t>
      </w:r>
      <w:r w:rsidR="009E5D99">
        <w:rPr>
          <w:u w:val="single"/>
        </w:rPr>
        <w:t>across</w:t>
      </w:r>
      <w:r w:rsidRPr="007F04BF">
        <w:rPr>
          <w:u w:val="single"/>
        </w:rPr>
        <w:t xml:space="preserve"> London boroughs?</w:t>
      </w:r>
    </w:p>
    <w:p w14:paraId="76581F4D" w14:textId="2DB5D5DE" w:rsidR="00285BBB" w:rsidRPr="007F04BF" w:rsidRDefault="00285BBB" w:rsidP="007F04BF">
      <w:pPr>
        <w:spacing w:line="276" w:lineRule="auto"/>
        <w:jc w:val="center"/>
        <w:rPr>
          <w:u w:val="single"/>
        </w:rPr>
      </w:pPr>
    </w:p>
    <w:p w14:paraId="3DFDDBBB" w14:textId="77777777" w:rsidR="00531602" w:rsidRPr="00531602" w:rsidRDefault="00531602" w:rsidP="0027705E">
      <w:pPr>
        <w:spacing w:line="276" w:lineRule="auto"/>
        <w:jc w:val="both"/>
      </w:pPr>
      <w:r w:rsidRPr="00531602">
        <w:rPr>
          <w:b/>
          <w:bCs/>
          <w:color w:val="000000"/>
          <w:sz w:val="22"/>
          <w:szCs w:val="22"/>
          <w:u w:val="single"/>
        </w:rPr>
        <w:t>Literature Review</w:t>
      </w:r>
    </w:p>
    <w:p w14:paraId="4EE35E36" w14:textId="77777777" w:rsidR="00531602" w:rsidRPr="00531602" w:rsidRDefault="00531602" w:rsidP="0027705E">
      <w:pPr>
        <w:spacing w:line="276" w:lineRule="auto"/>
        <w:jc w:val="both"/>
      </w:pPr>
      <w:r w:rsidRPr="00531602">
        <w:rPr>
          <w:b/>
          <w:bCs/>
          <w:i/>
          <w:iCs/>
          <w:color w:val="000000"/>
          <w:sz w:val="22"/>
          <w:szCs w:val="22"/>
        </w:rPr>
        <w:t> </w:t>
      </w:r>
    </w:p>
    <w:p w14:paraId="03A23030" w14:textId="77777777" w:rsidR="00531602" w:rsidRPr="00531602" w:rsidRDefault="00531602" w:rsidP="0027705E">
      <w:pPr>
        <w:spacing w:line="276" w:lineRule="auto"/>
      </w:pPr>
    </w:p>
    <w:p w14:paraId="001F4A81" w14:textId="77777777" w:rsidR="00531602" w:rsidRPr="00531602" w:rsidRDefault="00531602" w:rsidP="0027705E">
      <w:pPr>
        <w:spacing w:line="276" w:lineRule="auto"/>
        <w:jc w:val="both"/>
      </w:pPr>
      <w:r w:rsidRPr="00531602">
        <w:rPr>
          <w:i/>
          <w:iCs/>
          <w:color w:val="000000"/>
          <w:sz w:val="22"/>
          <w:szCs w:val="22"/>
        </w:rPr>
        <w:t>Collection Methodology</w:t>
      </w:r>
    </w:p>
    <w:p w14:paraId="4B79D8A8" w14:textId="77777777" w:rsidR="00531602" w:rsidRPr="00531602" w:rsidRDefault="00531602" w:rsidP="0027705E">
      <w:pPr>
        <w:spacing w:line="276" w:lineRule="auto"/>
        <w:jc w:val="both"/>
      </w:pPr>
      <w:r w:rsidRPr="00531602">
        <w:rPr>
          <w:color w:val="000000"/>
          <w:sz w:val="22"/>
          <w:szCs w:val="22"/>
        </w:rPr>
        <w:t> </w:t>
      </w:r>
    </w:p>
    <w:p w14:paraId="1C797BCD" w14:textId="77777777" w:rsidR="00531602" w:rsidRPr="00531602" w:rsidRDefault="00531602" w:rsidP="0027705E">
      <w:pPr>
        <w:spacing w:line="276" w:lineRule="auto"/>
        <w:jc w:val="both"/>
      </w:pPr>
      <w:r w:rsidRPr="00531602">
        <w:rPr>
          <w:color w:val="000000"/>
          <w:sz w:val="22"/>
          <w:szCs w:val="22"/>
        </w:rPr>
        <w:t xml:space="preserve">In order to obtain a comprehensive overview of pre-existing scholarship on the topic, phrases such as ‘London health disparities’, ‘socioeconomic determinants of health’, and ‘environmental impacts on health outcomes’ were used across multiple databases. These included: Google Scholar, PubMed, The Lancet, The BMJ, and UCL Explore. These searches provided qualitative and quantitative research papers on health inequalities across London boroughs, and the links between health status and socioeconomic and environmental variables. To ensure that these sources were of high quality, critical appraisal frameworks from </w:t>
      </w:r>
      <w:r w:rsidRPr="00531602">
        <w:rPr>
          <w:b/>
          <w:bCs/>
          <w:color w:val="FF0000"/>
          <w:sz w:val="22"/>
          <w:szCs w:val="22"/>
        </w:rPr>
        <w:t>CASP (2020)</w:t>
      </w:r>
      <w:r w:rsidRPr="00531602">
        <w:rPr>
          <w:color w:val="FF0000"/>
          <w:sz w:val="22"/>
          <w:szCs w:val="22"/>
        </w:rPr>
        <w:t xml:space="preserve"> </w:t>
      </w:r>
      <w:r w:rsidRPr="00531602">
        <w:rPr>
          <w:color w:val="000000"/>
          <w:sz w:val="22"/>
          <w:szCs w:val="22"/>
        </w:rPr>
        <w:t>were used to evaluate them, by assessing the credibility of their authors, and the reproducibility of results. Grey literature, such as policy recommendations and agendas, was also sourced from government and NGO websites.</w:t>
      </w:r>
    </w:p>
    <w:p w14:paraId="7B8F365E" w14:textId="77777777" w:rsidR="00531602" w:rsidRPr="00531602" w:rsidRDefault="00531602" w:rsidP="0027705E">
      <w:pPr>
        <w:spacing w:after="240" w:line="276" w:lineRule="auto"/>
      </w:pPr>
    </w:p>
    <w:p w14:paraId="4025BE9E" w14:textId="77777777" w:rsidR="00531602" w:rsidRPr="00531602" w:rsidRDefault="00531602" w:rsidP="0027705E">
      <w:pPr>
        <w:spacing w:line="276" w:lineRule="auto"/>
        <w:jc w:val="both"/>
      </w:pPr>
      <w:r w:rsidRPr="00531602">
        <w:rPr>
          <w:i/>
          <w:iCs/>
          <w:color w:val="000000"/>
          <w:sz w:val="22"/>
          <w:szCs w:val="22"/>
        </w:rPr>
        <w:t>Existing Literature</w:t>
      </w:r>
    </w:p>
    <w:p w14:paraId="030E80A7" w14:textId="77777777" w:rsidR="00531602" w:rsidRPr="00531602" w:rsidRDefault="00531602" w:rsidP="0027705E">
      <w:pPr>
        <w:spacing w:line="276" w:lineRule="auto"/>
        <w:jc w:val="both"/>
      </w:pPr>
      <w:r w:rsidRPr="00531602">
        <w:rPr>
          <w:color w:val="000000"/>
          <w:sz w:val="22"/>
          <w:szCs w:val="22"/>
        </w:rPr>
        <w:t> </w:t>
      </w:r>
    </w:p>
    <w:p w14:paraId="5E6A448F" w14:textId="77777777" w:rsidR="00531602" w:rsidRPr="00531602" w:rsidRDefault="00531602" w:rsidP="0027705E">
      <w:pPr>
        <w:spacing w:line="276" w:lineRule="auto"/>
        <w:jc w:val="both"/>
      </w:pPr>
      <w:r w:rsidRPr="00531602">
        <w:rPr>
          <w:b/>
          <w:bCs/>
          <w:color w:val="FF0000"/>
          <w:sz w:val="22"/>
          <w:szCs w:val="22"/>
        </w:rPr>
        <w:t xml:space="preserve">Marmot (2005) </w:t>
      </w:r>
      <w:r w:rsidRPr="00531602">
        <w:rPr>
          <w:color w:val="000000"/>
          <w:sz w:val="22"/>
          <w:szCs w:val="22"/>
        </w:rPr>
        <w:t xml:space="preserve">identifies that socioeconomic status, SES, is a crucial determinant of health outcomes. This notion has been corroborated by numerous studies, and is considered a paradigm in public health scholarship </w:t>
      </w:r>
      <w:r w:rsidRPr="00531602">
        <w:rPr>
          <w:b/>
          <w:bCs/>
          <w:color w:val="000000"/>
          <w:sz w:val="22"/>
          <w:szCs w:val="22"/>
        </w:rPr>
        <w:t>(</w:t>
      </w:r>
      <w:r w:rsidRPr="00531602">
        <w:rPr>
          <w:b/>
          <w:bCs/>
          <w:color w:val="FF0000"/>
          <w:sz w:val="22"/>
          <w:szCs w:val="22"/>
        </w:rPr>
        <w:t>Lallo and Raitano, 2018; Vanroelen, Levecque and Louckx, 2010; Siegrist and Marmot, 2004; Braveman and Gottlieb, 2014; Demakakos et al., 2008</w:t>
      </w:r>
      <w:r w:rsidRPr="00531602">
        <w:rPr>
          <w:b/>
          <w:bCs/>
          <w:color w:val="000000"/>
          <w:sz w:val="22"/>
          <w:szCs w:val="22"/>
        </w:rPr>
        <w:t>)</w:t>
      </w:r>
      <w:r w:rsidRPr="00531602">
        <w:rPr>
          <w:color w:val="000000"/>
          <w:sz w:val="22"/>
          <w:szCs w:val="22"/>
        </w:rPr>
        <w:t xml:space="preserve">. This has led to the recent conceptualisation of the social determinants of health – SDH, or SDOH – in order to better outline what constitutes socioeconomic status </w:t>
      </w:r>
      <w:r w:rsidRPr="00531602">
        <w:rPr>
          <w:b/>
          <w:bCs/>
          <w:color w:val="000000"/>
          <w:sz w:val="22"/>
          <w:szCs w:val="22"/>
        </w:rPr>
        <w:t>(</w:t>
      </w:r>
      <w:r w:rsidRPr="00531602">
        <w:rPr>
          <w:b/>
          <w:bCs/>
          <w:color w:val="FF0000"/>
          <w:sz w:val="22"/>
          <w:szCs w:val="22"/>
        </w:rPr>
        <w:t>Braveman and Gottlieb, 2014)</w:t>
      </w:r>
      <w:r w:rsidRPr="00531602">
        <w:rPr>
          <w:color w:val="000000"/>
          <w:sz w:val="22"/>
          <w:szCs w:val="22"/>
        </w:rPr>
        <w:t xml:space="preserve">. The SDH are defined by the </w:t>
      </w:r>
      <w:r w:rsidRPr="00531602">
        <w:rPr>
          <w:b/>
          <w:bCs/>
          <w:color w:val="FF0000"/>
          <w:sz w:val="22"/>
          <w:szCs w:val="22"/>
        </w:rPr>
        <w:t xml:space="preserve">WHO (a, 2021) </w:t>
      </w:r>
      <w:r w:rsidRPr="00531602">
        <w:rPr>
          <w:color w:val="000000"/>
          <w:sz w:val="22"/>
          <w:szCs w:val="22"/>
        </w:rPr>
        <w:t xml:space="preserve">as ‘the conditions in which people are born, grow, work, live, and age, and the wider set of forces and systems shaping the conditions of daily life’. These include, but are not limited to: poverty, income, employment status, education, and race or ethnicity – frequently used interchangeably in studies </w:t>
      </w:r>
      <w:r w:rsidRPr="00531602">
        <w:rPr>
          <w:b/>
          <w:bCs/>
          <w:color w:val="000000"/>
          <w:sz w:val="22"/>
          <w:szCs w:val="22"/>
        </w:rPr>
        <w:t>(</w:t>
      </w:r>
      <w:r w:rsidRPr="00531602">
        <w:rPr>
          <w:b/>
          <w:bCs/>
          <w:color w:val="FF0000"/>
          <w:sz w:val="22"/>
          <w:szCs w:val="22"/>
        </w:rPr>
        <w:t>WHO, a, 2021; Braveman and Gottlieb, 2014; Blane, 1995; Rogers et al., 2017)</w:t>
      </w:r>
      <w:r w:rsidRPr="00531602">
        <w:rPr>
          <w:color w:val="000000"/>
          <w:sz w:val="22"/>
          <w:szCs w:val="22"/>
        </w:rPr>
        <w:t xml:space="preserve">. Whilst many frameworks have been developed to understand the social determinants of health, currently the one most utilised by researchers is the Dahlgren-Whitehead Rainbow, </w:t>
      </w:r>
      <w:r w:rsidRPr="00531602">
        <w:rPr>
          <w:b/>
          <w:bCs/>
          <w:color w:val="FF009C"/>
          <w:sz w:val="22"/>
          <w:szCs w:val="22"/>
        </w:rPr>
        <w:t>Figure 1</w:t>
      </w:r>
      <w:r w:rsidRPr="00531602">
        <w:rPr>
          <w:color w:val="000000"/>
          <w:sz w:val="22"/>
          <w:szCs w:val="22"/>
        </w:rPr>
        <w:t xml:space="preserve">, which categorises determinants into different layers </w:t>
      </w:r>
      <w:r w:rsidRPr="00531602">
        <w:rPr>
          <w:b/>
          <w:bCs/>
          <w:color w:val="000000"/>
          <w:sz w:val="22"/>
          <w:szCs w:val="22"/>
        </w:rPr>
        <w:t>(</w:t>
      </w:r>
      <w:r w:rsidRPr="00531602">
        <w:rPr>
          <w:b/>
          <w:bCs/>
          <w:color w:val="FF0000"/>
          <w:sz w:val="22"/>
          <w:szCs w:val="22"/>
        </w:rPr>
        <w:t>ESRC, 2021</w:t>
      </w:r>
      <w:r w:rsidRPr="00531602">
        <w:rPr>
          <w:b/>
          <w:bCs/>
          <w:color w:val="000000"/>
          <w:sz w:val="22"/>
          <w:szCs w:val="22"/>
        </w:rPr>
        <w:t>)</w:t>
      </w:r>
      <w:r w:rsidRPr="00531602">
        <w:rPr>
          <w:color w:val="000000"/>
          <w:sz w:val="22"/>
          <w:szCs w:val="22"/>
        </w:rPr>
        <w:t>.</w:t>
      </w:r>
    </w:p>
    <w:p w14:paraId="2DD4FD24" w14:textId="36BF8FA5" w:rsidR="00531602" w:rsidRPr="00531602" w:rsidRDefault="00531602" w:rsidP="0027705E">
      <w:pPr>
        <w:spacing w:after="240" w:line="276" w:lineRule="auto"/>
      </w:pPr>
      <w:r w:rsidRPr="00531602">
        <w:br/>
      </w:r>
      <w:r w:rsidRPr="00531602">
        <w:rPr>
          <w:bdr w:val="none" w:sz="0" w:space="0" w:color="auto" w:frame="1"/>
        </w:rPr>
        <w:fldChar w:fldCharType="begin"/>
      </w:r>
      <w:r w:rsidRPr="00531602">
        <w:rPr>
          <w:bdr w:val="none" w:sz="0" w:space="0" w:color="auto" w:frame="1"/>
        </w:rPr>
        <w:instrText xml:space="preserve"> INCLUDEPICTURE "https://lh6.googleusercontent.com/d_-zJeoy7ZlCbVCXWzM6i5QDwoWfmgKgMGB96onFSLd3A45yyEQbXki7FuY5BVBdxlFkT1isnqPeAD81THjNi-kDs6YocBrQ8sHb_CQtZFDA6EyLHScPp2t-MaASZJcJINZvX4CJ" \* MERGEFORMATINET </w:instrText>
      </w:r>
      <w:r w:rsidRPr="00531602">
        <w:rPr>
          <w:bdr w:val="none" w:sz="0" w:space="0" w:color="auto" w:frame="1"/>
        </w:rPr>
        <w:fldChar w:fldCharType="separate"/>
      </w:r>
      <w:r w:rsidRPr="00531602">
        <w:rPr>
          <w:noProof/>
          <w:bdr w:val="none" w:sz="0" w:space="0" w:color="auto" w:frame="1"/>
        </w:rPr>
        <w:drawing>
          <wp:inline distT="0" distB="0" distL="0" distR="0" wp14:anchorId="32533AA7" wp14:editId="55E469E6">
            <wp:extent cx="3927475" cy="23914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7475" cy="2391410"/>
                    </a:xfrm>
                    <a:prstGeom prst="rect">
                      <a:avLst/>
                    </a:prstGeom>
                    <a:noFill/>
                    <a:ln>
                      <a:noFill/>
                    </a:ln>
                  </pic:spPr>
                </pic:pic>
              </a:graphicData>
            </a:graphic>
          </wp:inline>
        </w:drawing>
      </w:r>
      <w:r w:rsidRPr="00531602">
        <w:rPr>
          <w:bdr w:val="none" w:sz="0" w:space="0" w:color="auto" w:frame="1"/>
        </w:rPr>
        <w:fldChar w:fldCharType="end"/>
      </w:r>
      <w:r w:rsidRPr="00531602">
        <w:br/>
      </w:r>
      <w:r w:rsidRPr="00531602">
        <w:br/>
      </w:r>
      <w:r w:rsidRPr="00531602">
        <w:br/>
      </w:r>
      <w:r w:rsidRPr="00531602">
        <w:br/>
      </w:r>
      <w:r w:rsidRPr="00531602">
        <w:br/>
      </w:r>
      <w:r w:rsidRPr="00531602">
        <w:br/>
      </w:r>
      <w:r w:rsidRPr="00531602">
        <w:br/>
      </w:r>
      <w:r w:rsidRPr="00531602">
        <w:lastRenderedPageBreak/>
        <w:br/>
      </w:r>
      <w:r w:rsidRPr="00531602">
        <w:br/>
      </w:r>
    </w:p>
    <w:p w14:paraId="5F001ABA" w14:textId="77777777" w:rsidR="00531602" w:rsidRPr="00531602" w:rsidRDefault="00531602" w:rsidP="0027705E">
      <w:pPr>
        <w:spacing w:line="276" w:lineRule="auto"/>
        <w:jc w:val="both"/>
      </w:pPr>
      <w:r w:rsidRPr="00531602">
        <w:rPr>
          <w:color w:val="000000"/>
          <w:sz w:val="22"/>
          <w:szCs w:val="22"/>
        </w:rPr>
        <w:t xml:space="preserve">Furthermore, albeit few suggest causation, associations in the form of gradients between individual socioeconomic determinants and health outcomes have been identified consistently across several studies </w:t>
      </w:r>
      <w:r w:rsidRPr="00531602">
        <w:rPr>
          <w:b/>
          <w:bCs/>
          <w:color w:val="000000"/>
          <w:sz w:val="22"/>
          <w:szCs w:val="22"/>
        </w:rPr>
        <w:t>(</w:t>
      </w:r>
      <w:r w:rsidRPr="00531602">
        <w:rPr>
          <w:b/>
          <w:bCs/>
          <w:color w:val="FF0000"/>
          <w:sz w:val="22"/>
          <w:szCs w:val="22"/>
        </w:rPr>
        <w:t>Demakakos et al., 2008; Adler et al., 1994; Braveman and Gottlieb, 2014; Siegrist and Marmot, 2004; Vanroelen, Levecque and Louckx, 2010</w:t>
      </w:r>
      <w:r w:rsidRPr="00531602">
        <w:rPr>
          <w:b/>
          <w:bCs/>
          <w:color w:val="000000"/>
          <w:sz w:val="22"/>
          <w:szCs w:val="22"/>
        </w:rPr>
        <w:t xml:space="preserve">). </w:t>
      </w:r>
      <w:r w:rsidRPr="00531602">
        <w:rPr>
          <w:color w:val="000000"/>
          <w:sz w:val="22"/>
          <w:szCs w:val="22"/>
        </w:rPr>
        <w:t xml:space="preserve">Indeed, in a review of longitudinal mortality studies on middle-aged populations across West Europe, </w:t>
      </w:r>
      <w:r w:rsidRPr="00531602">
        <w:rPr>
          <w:b/>
          <w:bCs/>
          <w:color w:val="FF0000"/>
          <w:sz w:val="22"/>
          <w:szCs w:val="22"/>
        </w:rPr>
        <w:t>Huisman et al. (2005</w:t>
      </w:r>
      <w:r w:rsidRPr="00531602">
        <w:rPr>
          <w:color w:val="000000"/>
          <w:sz w:val="22"/>
          <w:szCs w:val="22"/>
        </w:rPr>
        <w:t xml:space="preserve">) observe that there is an increased mortality rate amongst those with less education. Furthermore, the seminal Whitehall study on civil-servants in London elucidates that those in the highest employment grade have lower mortality than civil-servants in the lowest employment grade </w:t>
      </w:r>
      <w:r w:rsidRPr="00531602">
        <w:rPr>
          <w:b/>
          <w:bCs/>
          <w:color w:val="000000"/>
          <w:sz w:val="22"/>
          <w:szCs w:val="22"/>
        </w:rPr>
        <w:t>(</w:t>
      </w:r>
      <w:r w:rsidRPr="00531602">
        <w:rPr>
          <w:b/>
          <w:bCs/>
          <w:color w:val="FF0000"/>
          <w:sz w:val="22"/>
          <w:szCs w:val="22"/>
        </w:rPr>
        <w:t>Marmot, Shipley and Rose, 1984</w:t>
      </w:r>
      <w:r w:rsidRPr="00531602">
        <w:rPr>
          <w:b/>
          <w:bCs/>
          <w:color w:val="000000"/>
          <w:sz w:val="22"/>
          <w:szCs w:val="22"/>
        </w:rPr>
        <w:t xml:space="preserve">). </w:t>
      </w:r>
      <w:r w:rsidRPr="00531602">
        <w:rPr>
          <w:color w:val="000000"/>
          <w:sz w:val="22"/>
          <w:szCs w:val="22"/>
        </w:rPr>
        <w:t xml:space="preserve">Moreover, whilst results for this association vary depending on country, health status and income have been linked in the United Kingdom, whose capital our research is restricted to </w:t>
      </w:r>
      <w:r w:rsidRPr="00531602">
        <w:rPr>
          <w:b/>
          <w:bCs/>
          <w:color w:val="000000"/>
          <w:sz w:val="22"/>
          <w:szCs w:val="22"/>
        </w:rPr>
        <w:t>(</w:t>
      </w:r>
      <w:r w:rsidRPr="00531602">
        <w:rPr>
          <w:b/>
          <w:bCs/>
          <w:color w:val="FF0000"/>
          <w:sz w:val="22"/>
          <w:szCs w:val="22"/>
        </w:rPr>
        <w:t>Lynch et al., 2000</w:t>
      </w:r>
      <w:r w:rsidRPr="00531602">
        <w:rPr>
          <w:b/>
          <w:bCs/>
          <w:color w:val="000000"/>
          <w:sz w:val="22"/>
          <w:szCs w:val="22"/>
        </w:rPr>
        <w:t xml:space="preserve">). </w:t>
      </w:r>
      <w:r w:rsidRPr="00531602">
        <w:rPr>
          <w:color w:val="000000"/>
          <w:sz w:val="22"/>
          <w:szCs w:val="22"/>
        </w:rPr>
        <w:t xml:space="preserve">Nevertheless, despite these recognised linkages between single socioeconomic variables and health, there remains a paucity of literature examining the causal relationship between health and multiple, aggregated socioeconomic variables </w:t>
      </w:r>
      <w:r w:rsidRPr="00531602">
        <w:rPr>
          <w:b/>
          <w:bCs/>
          <w:color w:val="000000"/>
          <w:sz w:val="22"/>
          <w:szCs w:val="22"/>
        </w:rPr>
        <w:t>(</w:t>
      </w:r>
      <w:r w:rsidRPr="00531602">
        <w:rPr>
          <w:b/>
          <w:bCs/>
          <w:color w:val="FF0000"/>
          <w:sz w:val="22"/>
          <w:szCs w:val="22"/>
        </w:rPr>
        <w:t>Adler et al., 1994</w:t>
      </w:r>
      <w:r w:rsidRPr="00531602">
        <w:rPr>
          <w:b/>
          <w:bCs/>
          <w:color w:val="000000"/>
          <w:sz w:val="22"/>
          <w:szCs w:val="22"/>
        </w:rPr>
        <w:t>)</w:t>
      </w:r>
      <w:r w:rsidRPr="00531602">
        <w:rPr>
          <w:color w:val="000000"/>
          <w:sz w:val="22"/>
          <w:szCs w:val="22"/>
        </w:rPr>
        <w:t>. This has formed the basis of our research.</w:t>
      </w:r>
    </w:p>
    <w:p w14:paraId="220E4ACE" w14:textId="77777777" w:rsidR="00531602" w:rsidRPr="00531602" w:rsidRDefault="00531602" w:rsidP="0027705E">
      <w:pPr>
        <w:spacing w:line="276" w:lineRule="auto"/>
        <w:jc w:val="both"/>
      </w:pPr>
      <w:r w:rsidRPr="00531602">
        <w:rPr>
          <w:color w:val="000000"/>
          <w:sz w:val="22"/>
          <w:szCs w:val="22"/>
        </w:rPr>
        <w:t> </w:t>
      </w:r>
    </w:p>
    <w:p w14:paraId="195896A2" w14:textId="77777777" w:rsidR="00531602" w:rsidRPr="00531602" w:rsidRDefault="00531602" w:rsidP="0027705E">
      <w:pPr>
        <w:spacing w:line="276" w:lineRule="auto"/>
        <w:jc w:val="both"/>
      </w:pPr>
      <w:r w:rsidRPr="00531602">
        <w:rPr>
          <w:color w:val="000000"/>
          <w:sz w:val="22"/>
          <w:szCs w:val="22"/>
        </w:rPr>
        <w:t xml:space="preserve">Given the short time-span of our investigation, we chose to select 3 socioeconomic variables to represent socioeconomic status as a whole – income, education and race. This was done by considering existing literature and available datasets for London boroughs – our chosen unit for spatial analysis, due to discernible health inequalities amongst boroughs. Justifying our inclusion of income </w:t>
      </w:r>
      <w:r w:rsidRPr="00531602">
        <w:rPr>
          <w:color w:val="FF0000"/>
          <w:sz w:val="22"/>
          <w:szCs w:val="22"/>
        </w:rPr>
        <w:t xml:space="preserve">is </w:t>
      </w:r>
      <w:r w:rsidRPr="00531602">
        <w:rPr>
          <w:b/>
          <w:bCs/>
          <w:color w:val="FF0000"/>
          <w:sz w:val="22"/>
          <w:szCs w:val="22"/>
        </w:rPr>
        <w:t xml:space="preserve">Lynch et al.’s (2000) </w:t>
      </w:r>
      <w:r w:rsidRPr="00531602">
        <w:rPr>
          <w:color w:val="000000"/>
          <w:sz w:val="22"/>
          <w:szCs w:val="22"/>
        </w:rPr>
        <w:t xml:space="preserve">study on the United Kingdom outlined prior, in addition to a more specific report by the </w:t>
      </w:r>
      <w:r w:rsidRPr="00531602">
        <w:rPr>
          <w:b/>
          <w:bCs/>
          <w:color w:val="FF0000"/>
          <w:sz w:val="22"/>
          <w:szCs w:val="22"/>
        </w:rPr>
        <w:t>Greater London Authority (2008)</w:t>
      </w:r>
      <w:r w:rsidRPr="00531602">
        <w:rPr>
          <w:color w:val="FF0000"/>
          <w:sz w:val="22"/>
          <w:szCs w:val="22"/>
        </w:rPr>
        <w:t xml:space="preserve"> </w:t>
      </w:r>
      <w:r w:rsidRPr="00531602">
        <w:rPr>
          <w:color w:val="000000"/>
          <w:sz w:val="22"/>
          <w:szCs w:val="22"/>
        </w:rPr>
        <w:t xml:space="preserve">which outlines that mortality rates across London increase as individuals go down the income gradient. This paper further illustrates the close linkages between income, poverty, and employment, which is why only one of these variables – income – was chosen, to try to minimise compounding and get a broader representation of socioeconomic status using different variables </w:t>
      </w:r>
      <w:r w:rsidRPr="00531602">
        <w:rPr>
          <w:b/>
          <w:bCs/>
          <w:color w:val="FF0000"/>
          <w:sz w:val="22"/>
          <w:szCs w:val="22"/>
        </w:rPr>
        <w:t>(Greater London Authority, 2008</w:t>
      </w:r>
      <w:r w:rsidRPr="00531602">
        <w:rPr>
          <w:b/>
          <w:bCs/>
          <w:color w:val="000000"/>
          <w:sz w:val="22"/>
          <w:szCs w:val="22"/>
        </w:rPr>
        <w:t>)</w:t>
      </w:r>
      <w:r w:rsidRPr="00531602">
        <w:rPr>
          <w:color w:val="000000"/>
          <w:sz w:val="22"/>
          <w:szCs w:val="22"/>
        </w:rPr>
        <w:t xml:space="preserve">. Secondly, education was chosen due to research by the </w:t>
      </w:r>
      <w:r w:rsidRPr="00531602">
        <w:rPr>
          <w:b/>
          <w:bCs/>
          <w:color w:val="FF0000"/>
          <w:sz w:val="22"/>
          <w:szCs w:val="22"/>
        </w:rPr>
        <w:t>Trust for London (b, 2020</w:t>
      </w:r>
      <w:r w:rsidRPr="00531602">
        <w:rPr>
          <w:b/>
          <w:bCs/>
          <w:color w:val="000000"/>
          <w:sz w:val="22"/>
          <w:szCs w:val="22"/>
        </w:rPr>
        <w:t>)</w:t>
      </w:r>
      <w:r w:rsidRPr="00531602">
        <w:rPr>
          <w:color w:val="000000"/>
          <w:sz w:val="22"/>
          <w:szCs w:val="22"/>
        </w:rPr>
        <w:t xml:space="preserve"> illustrating clear differences in educational attainment across London boroughs, alongside </w:t>
      </w:r>
      <w:r w:rsidRPr="00531602">
        <w:rPr>
          <w:b/>
          <w:bCs/>
          <w:color w:val="FF0000"/>
          <w:sz w:val="22"/>
          <w:szCs w:val="22"/>
        </w:rPr>
        <w:t xml:space="preserve">Huisman et al.’s (2015) </w:t>
      </w:r>
      <w:r w:rsidRPr="00531602">
        <w:rPr>
          <w:color w:val="000000"/>
          <w:sz w:val="22"/>
          <w:szCs w:val="22"/>
        </w:rPr>
        <w:t xml:space="preserve">aforementioned study. Lastly, we selected race or ethnicity as a variable to represent socioeconomic status, due to studies conducted in the USA which suggest that racial or ethnic minorities have poorer health outcomes, such as greater mortality </w:t>
      </w:r>
      <w:r w:rsidRPr="00531602">
        <w:rPr>
          <w:b/>
          <w:bCs/>
          <w:color w:val="000000"/>
          <w:sz w:val="22"/>
          <w:szCs w:val="22"/>
        </w:rPr>
        <w:t>(</w:t>
      </w:r>
      <w:r w:rsidRPr="00531602">
        <w:rPr>
          <w:b/>
          <w:bCs/>
          <w:color w:val="FF0000"/>
          <w:sz w:val="22"/>
          <w:szCs w:val="22"/>
        </w:rPr>
        <w:t>Penner et al., 2013; Rogers et al., 2017</w:t>
      </w:r>
      <w:r w:rsidRPr="00531602">
        <w:rPr>
          <w:b/>
          <w:bCs/>
          <w:color w:val="000000"/>
          <w:sz w:val="22"/>
          <w:szCs w:val="22"/>
        </w:rPr>
        <w:t xml:space="preserve">). </w:t>
      </w:r>
      <w:r w:rsidRPr="00531602">
        <w:rPr>
          <w:color w:val="000000"/>
          <w:sz w:val="22"/>
          <w:szCs w:val="22"/>
        </w:rPr>
        <w:t xml:space="preserve">This, furthered by the evident differences in the proportion of ethnic minorities per London borough, suggests that race/ethnicity is a suitable variable to represent socioeconomic status, when investigating its impact on health outcomes across London boroughs </w:t>
      </w:r>
      <w:r w:rsidRPr="00531602">
        <w:rPr>
          <w:b/>
          <w:bCs/>
          <w:color w:val="000000"/>
          <w:sz w:val="22"/>
          <w:szCs w:val="22"/>
        </w:rPr>
        <w:t>(</w:t>
      </w:r>
      <w:r w:rsidRPr="00531602">
        <w:rPr>
          <w:b/>
          <w:bCs/>
          <w:color w:val="FF0000"/>
          <w:sz w:val="22"/>
          <w:szCs w:val="22"/>
        </w:rPr>
        <w:t>Elahi and Khan, 2016</w:t>
      </w:r>
      <w:r w:rsidRPr="00531602">
        <w:rPr>
          <w:b/>
          <w:bCs/>
          <w:color w:val="000000"/>
          <w:sz w:val="22"/>
          <w:szCs w:val="22"/>
        </w:rPr>
        <w:t>)</w:t>
      </w:r>
      <w:r w:rsidRPr="00531602">
        <w:rPr>
          <w:color w:val="000000"/>
          <w:sz w:val="22"/>
          <w:szCs w:val="22"/>
        </w:rPr>
        <w:t>.</w:t>
      </w:r>
    </w:p>
    <w:p w14:paraId="76977780" w14:textId="77777777" w:rsidR="00531602" w:rsidRPr="00531602" w:rsidRDefault="00531602" w:rsidP="0027705E">
      <w:pPr>
        <w:spacing w:line="276" w:lineRule="auto"/>
        <w:jc w:val="both"/>
      </w:pPr>
      <w:r w:rsidRPr="00531602">
        <w:rPr>
          <w:color w:val="000000"/>
          <w:sz w:val="22"/>
          <w:szCs w:val="22"/>
        </w:rPr>
        <w:t> </w:t>
      </w:r>
    </w:p>
    <w:p w14:paraId="2BD0619D" w14:textId="77777777" w:rsidR="00531602" w:rsidRPr="00531602" w:rsidRDefault="00531602" w:rsidP="0027705E">
      <w:pPr>
        <w:spacing w:line="276" w:lineRule="auto"/>
        <w:jc w:val="both"/>
      </w:pPr>
      <w:r w:rsidRPr="00531602">
        <w:rPr>
          <w:color w:val="000000"/>
          <w:sz w:val="22"/>
          <w:szCs w:val="22"/>
        </w:rPr>
        <w:t xml:space="preserve">Moreover, in addition to socioeconomic status, emerging literature identifies that health outcomes are further influenced by geographic, environmental variables </w:t>
      </w:r>
      <w:r w:rsidRPr="00531602">
        <w:rPr>
          <w:b/>
          <w:bCs/>
          <w:color w:val="000000"/>
          <w:sz w:val="22"/>
          <w:szCs w:val="22"/>
        </w:rPr>
        <w:t>(</w:t>
      </w:r>
      <w:r w:rsidRPr="00531602">
        <w:rPr>
          <w:b/>
          <w:bCs/>
          <w:color w:val="FF0000"/>
          <w:sz w:val="22"/>
          <w:szCs w:val="22"/>
        </w:rPr>
        <w:t>Salgado et al., 2020</w:t>
      </w:r>
      <w:r w:rsidRPr="00531602">
        <w:rPr>
          <w:b/>
          <w:bCs/>
          <w:color w:val="000000"/>
          <w:sz w:val="22"/>
          <w:szCs w:val="22"/>
        </w:rPr>
        <w:t>)</w:t>
      </w:r>
      <w:r w:rsidRPr="00531602">
        <w:rPr>
          <w:color w:val="000000"/>
          <w:sz w:val="22"/>
          <w:szCs w:val="22"/>
        </w:rPr>
        <w:t>. In particular, there is more evidence regarding 3 key variables – air pollution, noise pollution, and green space. Subsequently, these will be used in our research to represent environmental factors as a whole, in order to ascertain the overall effect of the environment on health outcomes across London boroughs. This is a topic on which there is currently minimal literature, elucidating the value of our research.</w:t>
      </w:r>
    </w:p>
    <w:p w14:paraId="743D7E1A" w14:textId="77777777" w:rsidR="00531602" w:rsidRPr="00531602" w:rsidRDefault="00531602" w:rsidP="0027705E">
      <w:pPr>
        <w:spacing w:line="276" w:lineRule="auto"/>
        <w:jc w:val="both"/>
      </w:pPr>
      <w:r w:rsidRPr="00531602">
        <w:rPr>
          <w:color w:val="000000"/>
          <w:sz w:val="22"/>
          <w:szCs w:val="22"/>
        </w:rPr>
        <w:t> </w:t>
      </w:r>
    </w:p>
    <w:p w14:paraId="761BA2E1" w14:textId="77777777" w:rsidR="00531602" w:rsidRPr="00531602" w:rsidRDefault="00531602" w:rsidP="0027705E">
      <w:pPr>
        <w:spacing w:line="276" w:lineRule="auto"/>
        <w:jc w:val="both"/>
      </w:pPr>
      <w:r w:rsidRPr="00531602">
        <w:rPr>
          <w:color w:val="000000"/>
          <w:sz w:val="22"/>
          <w:szCs w:val="22"/>
        </w:rPr>
        <w:t xml:space="preserve">Justifying our utilisation of air pollution as a variable is the </w:t>
      </w:r>
      <w:r w:rsidRPr="00531602">
        <w:rPr>
          <w:b/>
          <w:bCs/>
          <w:color w:val="FF0000"/>
          <w:sz w:val="22"/>
          <w:szCs w:val="22"/>
        </w:rPr>
        <w:t>WHO (b, 2021)</w:t>
      </w:r>
      <w:r w:rsidRPr="00531602">
        <w:rPr>
          <w:color w:val="000000"/>
          <w:sz w:val="22"/>
          <w:szCs w:val="22"/>
        </w:rPr>
        <w:t xml:space="preserve"> which reports that there is substantial epidemiological evidence to suggest that air pollution is a risk factor for both specific health conditions, such as lung cancer and cardiovascular diseases, alongside mortality more generally. This is further supported by other recent experimental studies and systematic reviews investigating the impacts of exposure to air pollutants </w:t>
      </w:r>
      <w:r w:rsidRPr="00531602">
        <w:rPr>
          <w:b/>
          <w:bCs/>
          <w:color w:val="000000"/>
          <w:sz w:val="22"/>
          <w:szCs w:val="22"/>
        </w:rPr>
        <w:t>(</w:t>
      </w:r>
      <w:r w:rsidRPr="00531602">
        <w:rPr>
          <w:b/>
          <w:bCs/>
          <w:color w:val="FF0000"/>
          <w:sz w:val="22"/>
          <w:szCs w:val="22"/>
        </w:rPr>
        <w:t>Jorgenson et al., 2021; Afoakwah et al., 2020; Salgado et al., 2020</w:t>
      </w:r>
      <w:r w:rsidRPr="00531602">
        <w:rPr>
          <w:b/>
          <w:bCs/>
          <w:color w:val="000000"/>
          <w:sz w:val="22"/>
          <w:szCs w:val="22"/>
        </w:rPr>
        <w:t>)</w:t>
      </w:r>
      <w:r w:rsidRPr="00531602">
        <w:rPr>
          <w:color w:val="000000"/>
          <w:sz w:val="22"/>
          <w:szCs w:val="22"/>
        </w:rPr>
        <w:t xml:space="preserve">. Furthermore, noise pollution was chosen as an environmental variable due to systematic research by </w:t>
      </w:r>
      <w:r w:rsidRPr="00531602">
        <w:rPr>
          <w:b/>
          <w:bCs/>
          <w:color w:val="FF0000"/>
          <w:sz w:val="22"/>
          <w:szCs w:val="22"/>
        </w:rPr>
        <w:t>Murphy and King (2014)</w:t>
      </w:r>
      <w:r w:rsidRPr="00531602">
        <w:rPr>
          <w:color w:val="000000"/>
          <w:sz w:val="22"/>
          <w:szCs w:val="22"/>
        </w:rPr>
        <w:t xml:space="preserve"> which linked noise pollution to an increased risk of physical and mental health disorders, such as hypertension and anxiety, and ultimately greater mortality. Lastly, green space was chosen as a variable to indicate environmental factors, due to research conducted by </w:t>
      </w:r>
      <w:r w:rsidRPr="00531602">
        <w:rPr>
          <w:b/>
          <w:bCs/>
          <w:color w:val="FF0000"/>
          <w:sz w:val="22"/>
          <w:szCs w:val="22"/>
        </w:rPr>
        <w:t xml:space="preserve">Salgado et al. (2020) </w:t>
      </w:r>
      <w:r w:rsidRPr="00531602">
        <w:rPr>
          <w:color w:val="000000"/>
          <w:sz w:val="22"/>
          <w:szCs w:val="22"/>
        </w:rPr>
        <w:t>highlighting that green space is associated with improved mental and physical wellbeing, affecting mortality.</w:t>
      </w:r>
    </w:p>
    <w:p w14:paraId="1D448043" w14:textId="77777777" w:rsidR="00531602" w:rsidRPr="00531602" w:rsidRDefault="00531602" w:rsidP="0027705E">
      <w:pPr>
        <w:spacing w:line="276" w:lineRule="auto"/>
        <w:jc w:val="both"/>
      </w:pPr>
      <w:r w:rsidRPr="00531602">
        <w:rPr>
          <w:color w:val="000000"/>
          <w:sz w:val="22"/>
          <w:szCs w:val="22"/>
        </w:rPr>
        <w:t> </w:t>
      </w:r>
    </w:p>
    <w:p w14:paraId="67F93AD1" w14:textId="77777777" w:rsidR="00531602" w:rsidRPr="00531602" w:rsidRDefault="00531602" w:rsidP="0027705E">
      <w:pPr>
        <w:spacing w:line="276" w:lineRule="auto"/>
      </w:pPr>
    </w:p>
    <w:p w14:paraId="5F5251C5" w14:textId="77777777" w:rsidR="00531602" w:rsidRPr="00531602" w:rsidRDefault="00531602" w:rsidP="0027705E">
      <w:pPr>
        <w:spacing w:line="276" w:lineRule="auto"/>
        <w:jc w:val="both"/>
      </w:pPr>
      <w:r w:rsidRPr="00531602">
        <w:rPr>
          <w:i/>
          <w:iCs/>
          <w:color w:val="000000"/>
          <w:sz w:val="22"/>
          <w:szCs w:val="22"/>
        </w:rPr>
        <w:t>Our Research</w:t>
      </w:r>
    </w:p>
    <w:p w14:paraId="7417D758" w14:textId="77777777" w:rsidR="00531602" w:rsidRPr="00531602" w:rsidRDefault="00531602" w:rsidP="0027705E">
      <w:pPr>
        <w:spacing w:line="276" w:lineRule="auto"/>
      </w:pPr>
    </w:p>
    <w:p w14:paraId="51AD3092" w14:textId="77777777" w:rsidR="00531602" w:rsidRPr="00531602" w:rsidRDefault="00531602" w:rsidP="0027705E">
      <w:pPr>
        <w:spacing w:line="276" w:lineRule="auto"/>
        <w:jc w:val="both"/>
      </w:pPr>
      <w:r w:rsidRPr="00531602">
        <w:rPr>
          <w:color w:val="000000"/>
          <w:sz w:val="22"/>
          <w:szCs w:val="22"/>
        </w:rPr>
        <w:lastRenderedPageBreak/>
        <w:t xml:space="preserve">Informed by existing scholarship, in addition to gaps in knowledge as outlined prior, we have identified methodological shortcomings. Indeed, most literature solely utilises one or two indicators at a time to represent health status. However, the indicator that is used, whether that may be life expectancy, healthy expectancy, subjective social well-being status, or prevalence of a specific disease, is not consistent across studies. Therefore, for a more nuanced understanding of overall health status across London boroughs, we have chosen to create a Borough Score index, that takes into consideration 4 key indicators: life expectancy, healthy life expectancy, self-reported well-being (happiness score), and self-reported well-being (anxiety score) in a borough. Their selection was influenced by the availability of data for all 33 London boroughs and indicators included in prior studies by </w:t>
      </w:r>
      <w:r w:rsidRPr="00531602">
        <w:rPr>
          <w:b/>
          <w:bCs/>
          <w:color w:val="FF0000"/>
          <w:sz w:val="22"/>
          <w:szCs w:val="22"/>
        </w:rPr>
        <w:t>Demakakos et al. (2008) and Braveman and Gottlieb (2014</w:t>
      </w:r>
      <w:r w:rsidRPr="00531602">
        <w:rPr>
          <w:color w:val="000000"/>
          <w:sz w:val="22"/>
          <w:szCs w:val="22"/>
        </w:rPr>
        <w:t>). </w:t>
      </w:r>
    </w:p>
    <w:p w14:paraId="7C2D3690" w14:textId="77777777" w:rsidR="00531602" w:rsidRPr="00531602" w:rsidRDefault="00531602" w:rsidP="0027705E">
      <w:pPr>
        <w:spacing w:line="276" w:lineRule="auto"/>
      </w:pPr>
    </w:p>
    <w:p w14:paraId="6D93373C" w14:textId="77777777" w:rsidR="00531602" w:rsidRPr="00531602" w:rsidRDefault="00531602" w:rsidP="0027705E">
      <w:pPr>
        <w:spacing w:line="276" w:lineRule="auto"/>
        <w:jc w:val="both"/>
      </w:pPr>
      <w:r w:rsidRPr="00531602">
        <w:rPr>
          <w:color w:val="000000"/>
          <w:sz w:val="22"/>
          <w:szCs w:val="22"/>
        </w:rPr>
        <w:t>Other considerations we have made include the time frame of our research. Indeed, all data included is from between 2000-2019. This is recent enough to entail valid and contextually relevant data points, whilst being from before the COVID-19 outbreak, which will mitigate uncertainties from reductions in data collection triggered by the pandemic. Further regarding the scope of our research, we have chosen to restrict our investigation to the 33 London boroughs, rather than extending it to the UK as a whole.</w:t>
      </w:r>
      <w:r w:rsidRPr="00531602">
        <w:rPr>
          <w:color w:val="6AA84F"/>
          <w:sz w:val="22"/>
          <w:szCs w:val="22"/>
        </w:rPr>
        <w:t xml:space="preserve"> </w:t>
      </w:r>
      <w:r w:rsidRPr="00531602">
        <w:rPr>
          <w:color w:val="000000"/>
          <w:sz w:val="22"/>
          <w:szCs w:val="22"/>
        </w:rPr>
        <w:t>This has been informed by</w:t>
      </w:r>
      <w:r w:rsidRPr="00531602">
        <w:rPr>
          <w:color w:val="6AA84F"/>
          <w:sz w:val="22"/>
          <w:szCs w:val="22"/>
        </w:rPr>
        <w:t xml:space="preserve"> </w:t>
      </w:r>
      <w:r w:rsidRPr="00531602">
        <w:rPr>
          <w:b/>
          <w:bCs/>
          <w:color w:val="FF0000"/>
          <w:sz w:val="22"/>
          <w:szCs w:val="22"/>
        </w:rPr>
        <w:t>Centeno, Finkelman and Selinus’ (2016)</w:t>
      </w:r>
      <w:r w:rsidRPr="00531602">
        <w:rPr>
          <w:color w:val="6AA84F"/>
          <w:sz w:val="22"/>
          <w:szCs w:val="22"/>
        </w:rPr>
        <w:t xml:space="preserve"> </w:t>
      </w:r>
      <w:r w:rsidRPr="00531602">
        <w:rPr>
          <w:color w:val="000000"/>
          <w:sz w:val="22"/>
          <w:szCs w:val="22"/>
        </w:rPr>
        <w:t xml:space="preserve">study on the public health implications of environmental variables. Whilst this study focuses on variables not included in our research, such as heavy metals, we have been influenced by its decision to limit the research scope to specific cities, in order to provide more contextualised information </w:t>
      </w:r>
      <w:r w:rsidRPr="00531602">
        <w:rPr>
          <w:b/>
          <w:bCs/>
          <w:color w:val="000000"/>
          <w:sz w:val="22"/>
          <w:szCs w:val="22"/>
        </w:rPr>
        <w:t>(</w:t>
      </w:r>
      <w:r w:rsidRPr="00531602">
        <w:rPr>
          <w:b/>
          <w:bCs/>
          <w:color w:val="FF0000"/>
          <w:sz w:val="22"/>
          <w:szCs w:val="22"/>
        </w:rPr>
        <w:t>Centeno, Finkelman and Selinus, 2016)</w:t>
      </w:r>
      <w:r w:rsidRPr="00531602">
        <w:rPr>
          <w:color w:val="000000"/>
          <w:sz w:val="22"/>
          <w:szCs w:val="22"/>
        </w:rPr>
        <w:t>.</w:t>
      </w:r>
    </w:p>
    <w:p w14:paraId="43BADBA1" w14:textId="77777777" w:rsidR="00531602" w:rsidRPr="00531602" w:rsidRDefault="00531602" w:rsidP="0027705E">
      <w:pPr>
        <w:spacing w:line="276" w:lineRule="auto"/>
      </w:pPr>
    </w:p>
    <w:p w14:paraId="72887971" w14:textId="77777777" w:rsidR="00531602" w:rsidRPr="00531602" w:rsidRDefault="00531602" w:rsidP="0027705E">
      <w:pPr>
        <w:spacing w:line="276" w:lineRule="auto"/>
        <w:jc w:val="both"/>
      </w:pPr>
      <w:r w:rsidRPr="00531602">
        <w:rPr>
          <w:color w:val="000000"/>
          <w:sz w:val="22"/>
          <w:szCs w:val="22"/>
        </w:rPr>
        <w:t>Therefore, by investigating the relationship between health and environmental variables as a whole, in addition to the relationship between overall socioeconomic status and health, we will be able to compare the effects of the two factors on health outcomes across London boroughs. This will allow us to identify whether socioeconomic or environmental factors are more strongly correlated with poor health outcomes in London, which is currently an under-researched facet of scholarship. Consequently, our study will contribute to the wider interdisciplinary discourse of public health, in addition to the fields of sociology, economics, and environmental studies, elucidating its potential impact. Moreover, our research will allow us to quantitatively identify which area should be a priority for policymakers to address. Indeed, by understanding which factor is most important in engendering the health inequalities observed amongst London boroughs, policymakers may be able to implement more targeted interventions and laws, contributing to the enhancement of health levels throughout London.</w:t>
      </w:r>
    </w:p>
    <w:p w14:paraId="78A7C89A" w14:textId="77777777" w:rsidR="00531602" w:rsidRPr="00531602" w:rsidRDefault="00531602" w:rsidP="0027705E">
      <w:pPr>
        <w:spacing w:line="276" w:lineRule="auto"/>
      </w:pPr>
    </w:p>
    <w:p w14:paraId="38BBC6D2" w14:textId="77777777" w:rsidR="00F5080F" w:rsidRPr="0008111E" w:rsidRDefault="00F5080F" w:rsidP="0027705E">
      <w:pPr>
        <w:spacing w:line="276" w:lineRule="auto"/>
        <w:jc w:val="both"/>
      </w:pPr>
    </w:p>
    <w:sectPr w:rsidR="00F5080F" w:rsidRPr="0008111E" w:rsidSect="00FE5A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0E1"/>
    <w:multiLevelType w:val="hybridMultilevel"/>
    <w:tmpl w:val="DE749798"/>
    <w:lvl w:ilvl="0" w:tplc="300A3D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584903"/>
    <w:multiLevelType w:val="multilevel"/>
    <w:tmpl w:val="8514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10A4D"/>
    <w:multiLevelType w:val="hybridMultilevel"/>
    <w:tmpl w:val="BA980716"/>
    <w:lvl w:ilvl="0" w:tplc="1EC8488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5147E5"/>
    <w:multiLevelType w:val="hybridMultilevel"/>
    <w:tmpl w:val="DEB0B884"/>
    <w:lvl w:ilvl="0" w:tplc="C62ACFFE">
      <w:start w:val="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5D"/>
    <w:rsid w:val="000013AF"/>
    <w:rsid w:val="0000461D"/>
    <w:rsid w:val="00004F08"/>
    <w:rsid w:val="000059A6"/>
    <w:rsid w:val="000068F1"/>
    <w:rsid w:val="00006F6E"/>
    <w:rsid w:val="00007754"/>
    <w:rsid w:val="00010526"/>
    <w:rsid w:val="00011AFB"/>
    <w:rsid w:val="000126CF"/>
    <w:rsid w:val="00013177"/>
    <w:rsid w:val="00014328"/>
    <w:rsid w:val="000156AE"/>
    <w:rsid w:val="00016086"/>
    <w:rsid w:val="0001763E"/>
    <w:rsid w:val="0002280D"/>
    <w:rsid w:val="0002366B"/>
    <w:rsid w:val="0002409E"/>
    <w:rsid w:val="00024837"/>
    <w:rsid w:val="00025003"/>
    <w:rsid w:val="00031CA9"/>
    <w:rsid w:val="00032D77"/>
    <w:rsid w:val="00034ACF"/>
    <w:rsid w:val="00037769"/>
    <w:rsid w:val="00040D7F"/>
    <w:rsid w:val="00042C79"/>
    <w:rsid w:val="00043367"/>
    <w:rsid w:val="00045C11"/>
    <w:rsid w:val="00050315"/>
    <w:rsid w:val="00050DCB"/>
    <w:rsid w:val="00052AE8"/>
    <w:rsid w:val="00052E71"/>
    <w:rsid w:val="00053341"/>
    <w:rsid w:val="00053FDE"/>
    <w:rsid w:val="0005634B"/>
    <w:rsid w:val="0005700B"/>
    <w:rsid w:val="00060BA9"/>
    <w:rsid w:val="0006575C"/>
    <w:rsid w:val="00071BE8"/>
    <w:rsid w:val="000734CA"/>
    <w:rsid w:val="0008111E"/>
    <w:rsid w:val="00081A7D"/>
    <w:rsid w:val="0008245E"/>
    <w:rsid w:val="00084AF6"/>
    <w:rsid w:val="00085092"/>
    <w:rsid w:val="00085DBE"/>
    <w:rsid w:val="00097FAB"/>
    <w:rsid w:val="000A0E1A"/>
    <w:rsid w:val="000A1F2D"/>
    <w:rsid w:val="000A27E3"/>
    <w:rsid w:val="000A31E9"/>
    <w:rsid w:val="000A3616"/>
    <w:rsid w:val="000A4D0D"/>
    <w:rsid w:val="000A64DF"/>
    <w:rsid w:val="000A6CE7"/>
    <w:rsid w:val="000B0E77"/>
    <w:rsid w:val="000B1BDD"/>
    <w:rsid w:val="000B1D76"/>
    <w:rsid w:val="000B52A5"/>
    <w:rsid w:val="000B5FE6"/>
    <w:rsid w:val="000C2FC9"/>
    <w:rsid w:val="000C645C"/>
    <w:rsid w:val="000C660C"/>
    <w:rsid w:val="000D05AD"/>
    <w:rsid w:val="000D4C2C"/>
    <w:rsid w:val="000D7AAE"/>
    <w:rsid w:val="000E00F0"/>
    <w:rsid w:val="000E0698"/>
    <w:rsid w:val="000E44AB"/>
    <w:rsid w:val="000E46CB"/>
    <w:rsid w:val="000E4F72"/>
    <w:rsid w:val="000E5FF1"/>
    <w:rsid w:val="000E6CE4"/>
    <w:rsid w:val="000E6CF8"/>
    <w:rsid w:val="000E6DB1"/>
    <w:rsid w:val="000F1341"/>
    <w:rsid w:val="000F19F5"/>
    <w:rsid w:val="000F24DA"/>
    <w:rsid w:val="000F2C3F"/>
    <w:rsid w:val="000F3BE3"/>
    <w:rsid w:val="000F5B81"/>
    <w:rsid w:val="000F647A"/>
    <w:rsid w:val="000F7ACB"/>
    <w:rsid w:val="00100754"/>
    <w:rsid w:val="00101433"/>
    <w:rsid w:val="0010529F"/>
    <w:rsid w:val="00105B82"/>
    <w:rsid w:val="00106C9C"/>
    <w:rsid w:val="001121C7"/>
    <w:rsid w:val="00113098"/>
    <w:rsid w:val="001136DE"/>
    <w:rsid w:val="001142B6"/>
    <w:rsid w:val="0011715F"/>
    <w:rsid w:val="00117FF8"/>
    <w:rsid w:val="0012608C"/>
    <w:rsid w:val="001308CF"/>
    <w:rsid w:val="00130FE5"/>
    <w:rsid w:val="00132DF0"/>
    <w:rsid w:val="00141180"/>
    <w:rsid w:val="0014136F"/>
    <w:rsid w:val="00141E10"/>
    <w:rsid w:val="00142156"/>
    <w:rsid w:val="00142158"/>
    <w:rsid w:val="00151AD4"/>
    <w:rsid w:val="001528B1"/>
    <w:rsid w:val="00152E1B"/>
    <w:rsid w:val="00154333"/>
    <w:rsid w:val="00156A5A"/>
    <w:rsid w:val="0015712D"/>
    <w:rsid w:val="00157F9E"/>
    <w:rsid w:val="001608DF"/>
    <w:rsid w:val="00161C2B"/>
    <w:rsid w:val="0016250A"/>
    <w:rsid w:val="00162F39"/>
    <w:rsid w:val="00162FAA"/>
    <w:rsid w:val="00163214"/>
    <w:rsid w:val="00163891"/>
    <w:rsid w:val="00170D7A"/>
    <w:rsid w:val="00170D8F"/>
    <w:rsid w:val="00171089"/>
    <w:rsid w:val="00171413"/>
    <w:rsid w:val="00173D64"/>
    <w:rsid w:val="00176644"/>
    <w:rsid w:val="0017686D"/>
    <w:rsid w:val="001802FD"/>
    <w:rsid w:val="00181076"/>
    <w:rsid w:val="00182614"/>
    <w:rsid w:val="00186D4B"/>
    <w:rsid w:val="00186FBD"/>
    <w:rsid w:val="0018791B"/>
    <w:rsid w:val="001924A6"/>
    <w:rsid w:val="0019284F"/>
    <w:rsid w:val="00196F1B"/>
    <w:rsid w:val="001A0A22"/>
    <w:rsid w:val="001A1A0D"/>
    <w:rsid w:val="001A1C80"/>
    <w:rsid w:val="001A2C37"/>
    <w:rsid w:val="001A4606"/>
    <w:rsid w:val="001A526D"/>
    <w:rsid w:val="001A6E5B"/>
    <w:rsid w:val="001B17D1"/>
    <w:rsid w:val="001B5717"/>
    <w:rsid w:val="001B7013"/>
    <w:rsid w:val="001B71B6"/>
    <w:rsid w:val="001C2578"/>
    <w:rsid w:val="001C62A1"/>
    <w:rsid w:val="001C6906"/>
    <w:rsid w:val="001D0E7E"/>
    <w:rsid w:val="001D29DA"/>
    <w:rsid w:val="001D37A9"/>
    <w:rsid w:val="001E3E54"/>
    <w:rsid w:val="001E67C3"/>
    <w:rsid w:val="001F3996"/>
    <w:rsid w:val="001F4073"/>
    <w:rsid w:val="001F4874"/>
    <w:rsid w:val="001F4A84"/>
    <w:rsid w:val="001F5102"/>
    <w:rsid w:val="001F73E5"/>
    <w:rsid w:val="001F7D8B"/>
    <w:rsid w:val="0020021C"/>
    <w:rsid w:val="002013EC"/>
    <w:rsid w:val="002052F3"/>
    <w:rsid w:val="002053C3"/>
    <w:rsid w:val="00206F85"/>
    <w:rsid w:val="002100A7"/>
    <w:rsid w:val="0021019E"/>
    <w:rsid w:val="00210E5C"/>
    <w:rsid w:val="00211C60"/>
    <w:rsid w:val="002134B3"/>
    <w:rsid w:val="002201FE"/>
    <w:rsid w:val="0022066B"/>
    <w:rsid w:val="00220A47"/>
    <w:rsid w:val="00220E7E"/>
    <w:rsid w:val="0022163B"/>
    <w:rsid w:val="00221916"/>
    <w:rsid w:val="00222672"/>
    <w:rsid w:val="002236FB"/>
    <w:rsid w:val="002244F0"/>
    <w:rsid w:val="00224F55"/>
    <w:rsid w:val="00227732"/>
    <w:rsid w:val="00230CA9"/>
    <w:rsid w:val="00232559"/>
    <w:rsid w:val="0023612A"/>
    <w:rsid w:val="00237E22"/>
    <w:rsid w:val="002422C7"/>
    <w:rsid w:val="0024415E"/>
    <w:rsid w:val="002476D0"/>
    <w:rsid w:val="0024776B"/>
    <w:rsid w:val="00253765"/>
    <w:rsid w:val="0025438F"/>
    <w:rsid w:val="0025503B"/>
    <w:rsid w:val="00255710"/>
    <w:rsid w:val="002560FD"/>
    <w:rsid w:val="00256B75"/>
    <w:rsid w:val="00262046"/>
    <w:rsid w:val="00263682"/>
    <w:rsid w:val="00264FD4"/>
    <w:rsid w:val="00271B38"/>
    <w:rsid w:val="00272CBE"/>
    <w:rsid w:val="0027681D"/>
    <w:rsid w:val="0027705E"/>
    <w:rsid w:val="00284088"/>
    <w:rsid w:val="0028465A"/>
    <w:rsid w:val="00284F30"/>
    <w:rsid w:val="00285BBB"/>
    <w:rsid w:val="0028630E"/>
    <w:rsid w:val="00286A41"/>
    <w:rsid w:val="00287BFF"/>
    <w:rsid w:val="00290928"/>
    <w:rsid w:val="00293B0C"/>
    <w:rsid w:val="0029778C"/>
    <w:rsid w:val="002A07D2"/>
    <w:rsid w:val="002A26B7"/>
    <w:rsid w:val="002A472B"/>
    <w:rsid w:val="002A4D2B"/>
    <w:rsid w:val="002A6AF3"/>
    <w:rsid w:val="002B3A5F"/>
    <w:rsid w:val="002B4801"/>
    <w:rsid w:val="002B4D27"/>
    <w:rsid w:val="002B4E82"/>
    <w:rsid w:val="002B6EDA"/>
    <w:rsid w:val="002D282E"/>
    <w:rsid w:val="002D2F5D"/>
    <w:rsid w:val="002D4012"/>
    <w:rsid w:val="002D4F36"/>
    <w:rsid w:val="002D56C0"/>
    <w:rsid w:val="002D6E26"/>
    <w:rsid w:val="002D704A"/>
    <w:rsid w:val="002E0834"/>
    <w:rsid w:val="002E0F8A"/>
    <w:rsid w:val="002E1357"/>
    <w:rsid w:val="002E2B91"/>
    <w:rsid w:val="002E3B39"/>
    <w:rsid w:val="002E5415"/>
    <w:rsid w:val="002E5AF2"/>
    <w:rsid w:val="002E6ECA"/>
    <w:rsid w:val="002E6FA1"/>
    <w:rsid w:val="002E74C6"/>
    <w:rsid w:val="002F0C2D"/>
    <w:rsid w:val="002F1499"/>
    <w:rsid w:val="002F1A65"/>
    <w:rsid w:val="002F3A90"/>
    <w:rsid w:val="002F4541"/>
    <w:rsid w:val="002F4C6F"/>
    <w:rsid w:val="002F679B"/>
    <w:rsid w:val="002F74BD"/>
    <w:rsid w:val="00302D7C"/>
    <w:rsid w:val="00304648"/>
    <w:rsid w:val="00307D13"/>
    <w:rsid w:val="00307FEB"/>
    <w:rsid w:val="00311869"/>
    <w:rsid w:val="00311EFD"/>
    <w:rsid w:val="0031316F"/>
    <w:rsid w:val="00314651"/>
    <w:rsid w:val="0032108C"/>
    <w:rsid w:val="003249F7"/>
    <w:rsid w:val="00325FAD"/>
    <w:rsid w:val="00326BC2"/>
    <w:rsid w:val="00327253"/>
    <w:rsid w:val="003340DE"/>
    <w:rsid w:val="00337214"/>
    <w:rsid w:val="00340C07"/>
    <w:rsid w:val="003426A0"/>
    <w:rsid w:val="00342F5A"/>
    <w:rsid w:val="00343DA9"/>
    <w:rsid w:val="00344239"/>
    <w:rsid w:val="00344CC6"/>
    <w:rsid w:val="00351ED8"/>
    <w:rsid w:val="00352D3A"/>
    <w:rsid w:val="0035397D"/>
    <w:rsid w:val="003545C6"/>
    <w:rsid w:val="00354AB3"/>
    <w:rsid w:val="003554BB"/>
    <w:rsid w:val="0035735E"/>
    <w:rsid w:val="00364056"/>
    <w:rsid w:val="00365E91"/>
    <w:rsid w:val="00365FA0"/>
    <w:rsid w:val="00367587"/>
    <w:rsid w:val="00367F4C"/>
    <w:rsid w:val="003715AD"/>
    <w:rsid w:val="00372995"/>
    <w:rsid w:val="00374762"/>
    <w:rsid w:val="003778F6"/>
    <w:rsid w:val="00380608"/>
    <w:rsid w:val="0038078A"/>
    <w:rsid w:val="0038218F"/>
    <w:rsid w:val="003825A7"/>
    <w:rsid w:val="00382780"/>
    <w:rsid w:val="00382B1C"/>
    <w:rsid w:val="0038346C"/>
    <w:rsid w:val="00383C93"/>
    <w:rsid w:val="00385095"/>
    <w:rsid w:val="00385AEE"/>
    <w:rsid w:val="00386E8C"/>
    <w:rsid w:val="00387ED5"/>
    <w:rsid w:val="0039007C"/>
    <w:rsid w:val="00391010"/>
    <w:rsid w:val="003912B8"/>
    <w:rsid w:val="00391367"/>
    <w:rsid w:val="003916C6"/>
    <w:rsid w:val="003926B7"/>
    <w:rsid w:val="003964EB"/>
    <w:rsid w:val="00397BEB"/>
    <w:rsid w:val="003A1F83"/>
    <w:rsid w:val="003A2D2A"/>
    <w:rsid w:val="003A5BD5"/>
    <w:rsid w:val="003A7D5A"/>
    <w:rsid w:val="003B0B1D"/>
    <w:rsid w:val="003B0ED2"/>
    <w:rsid w:val="003B14F7"/>
    <w:rsid w:val="003B2FA0"/>
    <w:rsid w:val="003B3D09"/>
    <w:rsid w:val="003B3ED4"/>
    <w:rsid w:val="003B5A4B"/>
    <w:rsid w:val="003B5D98"/>
    <w:rsid w:val="003B7E1C"/>
    <w:rsid w:val="003C045F"/>
    <w:rsid w:val="003C2A5F"/>
    <w:rsid w:val="003C2B8F"/>
    <w:rsid w:val="003C45A8"/>
    <w:rsid w:val="003C5D58"/>
    <w:rsid w:val="003C618A"/>
    <w:rsid w:val="003C61E7"/>
    <w:rsid w:val="003D3846"/>
    <w:rsid w:val="003D685A"/>
    <w:rsid w:val="003D7012"/>
    <w:rsid w:val="003D7F5E"/>
    <w:rsid w:val="003E1F3B"/>
    <w:rsid w:val="003E3820"/>
    <w:rsid w:val="003E6FFC"/>
    <w:rsid w:val="003E78CB"/>
    <w:rsid w:val="003E7FF9"/>
    <w:rsid w:val="003F0AB3"/>
    <w:rsid w:val="003F1A98"/>
    <w:rsid w:val="003F1E05"/>
    <w:rsid w:val="003F3A0E"/>
    <w:rsid w:val="003F7792"/>
    <w:rsid w:val="00403B7E"/>
    <w:rsid w:val="00404BC8"/>
    <w:rsid w:val="00405122"/>
    <w:rsid w:val="00407374"/>
    <w:rsid w:val="00410874"/>
    <w:rsid w:val="0041174B"/>
    <w:rsid w:val="00412288"/>
    <w:rsid w:val="004130E0"/>
    <w:rsid w:val="004135FB"/>
    <w:rsid w:val="00414287"/>
    <w:rsid w:val="00414D27"/>
    <w:rsid w:val="00416592"/>
    <w:rsid w:val="00420886"/>
    <w:rsid w:val="00422424"/>
    <w:rsid w:val="004227D5"/>
    <w:rsid w:val="00422B18"/>
    <w:rsid w:val="00425D4B"/>
    <w:rsid w:val="00425D7F"/>
    <w:rsid w:val="00425F3D"/>
    <w:rsid w:val="00425F5C"/>
    <w:rsid w:val="0042733A"/>
    <w:rsid w:val="00433028"/>
    <w:rsid w:val="00440A4C"/>
    <w:rsid w:val="004436CF"/>
    <w:rsid w:val="00445AFC"/>
    <w:rsid w:val="0045205E"/>
    <w:rsid w:val="004520DF"/>
    <w:rsid w:val="00452F90"/>
    <w:rsid w:val="00453917"/>
    <w:rsid w:val="0045404D"/>
    <w:rsid w:val="004554CC"/>
    <w:rsid w:val="004556E3"/>
    <w:rsid w:val="00456019"/>
    <w:rsid w:val="0046072A"/>
    <w:rsid w:val="004625BF"/>
    <w:rsid w:val="00467B57"/>
    <w:rsid w:val="00472D57"/>
    <w:rsid w:val="00476517"/>
    <w:rsid w:val="0047746C"/>
    <w:rsid w:val="00477ACE"/>
    <w:rsid w:val="00480A0C"/>
    <w:rsid w:val="00483A40"/>
    <w:rsid w:val="00483CA2"/>
    <w:rsid w:val="004852EE"/>
    <w:rsid w:val="00486C8A"/>
    <w:rsid w:val="00486DE7"/>
    <w:rsid w:val="004910D7"/>
    <w:rsid w:val="00495FEC"/>
    <w:rsid w:val="004A0269"/>
    <w:rsid w:val="004A0F08"/>
    <w:rsid w:val="004A71EE"/>
    <w:rsid w:val="004A7282"/>
    <w:rsid w:val="004B0453"/>
    <w:rsid w:val="004B0654"/>
    <w:rsid w:val="004B0882"/>
    <w:rsid w:val="004B0F81"/>
    <w:rsid w:val="004B1D08"/>
    <w:rsid w:val="004B2E66"/>
    <w:rsid w:val="004B36B6"/>
    <w:rsid w:val="004B585C"/>
    <w:rsid w:val="004B62AE"/>
    <w:rsid w:val="004C0647"/>
    <w:rsid w:val="004C0A27"/>
    <w:rsid w:val="004C2D46"/>
    <w:rsid w:val="004C2E34"/>
    <w:rsid w:val="004C4F2A"/>
    <w:rsid w:val="004C6203"/>
    <w:rsid w:val="004C6F39"/>
    <w:rsid w:val="004D1675"/>
    <w:rsid w:val="004D4104"/>
    <w:rsid w:val="004D5598"/>
    <w:rsid w:val="004D5720"/>
    <w:rsid w:val="004D5FDD"/>
    <w:rsid w:val="004D67BE"/>
    <w:rsid w:val="004D7134"/>
    <w:rsid w:val="004E03E0"/>
    <w:rsid w:val="004E0791"/>
    <w:rsid w:val="004E1060"/>
    <w:rsid w:val="004E3180"/>
    <w:rsid w:val="004E3AF1"/>
    <w:rsid w:val="004E54FC"/>
    <w:rsid w:val="004E5CB6"/>
    <w:rsid w:val="004F0099"/>
    <w:rsid w:val="004F0E6A"/>
    <w:rsid w:val="004F1637"/>
    <w:rsid w:val="004F1A57"/>
    <w:rsid w:val="004F2CC4"/>
    <w:rsid w:val="004F3082"/>
    <w:rsid w:val="004F530B"/>
    <w:rsid w:val="004F5FD8"/>
    <w:rsid w:val="004F6953"/>
    <w:rsid w:val="005012D2"/>
    <w:rsid w:val="005022B1"/>
    <w:rsid w:val="005063D7"/>
    <w:rsid w:val="005103BC"/>
    <w:rsid w:val="00511395"/>
    <w:rsid w:val="005113A3"/>
    <w:rsid w:val="00511BEB"/>
    <w:rsid w:val="00517F54"/>
    <w:rsid w:val="00522DA5"/>
    <w:rsid w:val="00523AB4"/>
    <w:rsid w:val="00523D2D"/>
    <w:rsid w:val="00525AEE"/>
    <w:rsid w:val="00525CB5"/>
    <w:rsid w:val="00530C97"/>
    <w:rsid w:val="00531602"/>
    <w:rsid w:val="005405C2"/>
    <w:rsid w:val="00540F9C"/>
    <w:rsid w:val="00541A5F"/>
    <w:rsid w:val="00543600"/>
    <w:rsid w:val="005451DB"/>
    <w:rsid w:val="0054635D"/>
    <w:rsid w:val="005471D5"/>
    <w:rsid w:val="00550C30"/>
    <w:rsid w:val="0055159F"/>
    <w:rsid w:val="00551E97"/>
    <w:rsid w:val="0055269B"/>
    <w:rsid w:val="00554557"/>
    <w:rsid w:val="005552D9"/>
    <w:rsid w:val="00560AE8"/>
    <w:rsid w:val="005623E3"/>
    <w:rsid w:val="00563D86"/>
    <w:rsid w:val="00564002"/>
    <w:rsid w:val="005657BF"/>
    <w:rsid w:val="005739F4"/>
    <w:rsid w:val="00573ADF"/>
    <w:rsid w:val="0057451C"/>
    <w:rsid w:val="0057498D"/>
    <w:rsid w:val="00575A20"/>
    <w:rsid w:val="00576495"/>
    <w:rsid w:val="00586FCC"/>
    <w:rsid w:val="005872C8"/>
    <w:rsid w:val="005878CA"/>
    <w:rsid w:val="00587DC5"/>
    <w:rsid w:val="0059099F"/>
    <w:rsid w:val="00594EC7"/>
    <w:rsid w:val="00596FE9"/>
    <w:rsid w:val="005A02BF"/>
    <w:rsid w:val="005A1F19"/>
    <w:rsid w:val="005A2ABE"/>
    <w:rsid w:val="005A3A42"/>
    <w:rsid w:val="005A4B13"/>
    <w:rsid w:val="005A6019"/>
    <w:rsid w:val="005B10DA"/>
    <w:rsid w:val="005B34F2"/>
    <w:rsid w:val="005B36C8"/>
    <w:rsid w:val="005B4367"/>
    <w:rsid w:val="005C2569"/>
    <w:rsid w:val="005C303C"/>
    <w:rsid w:val="005C45E3"/>
    <w:rsid w:val="005C4B21"/>
    <w:rsid w:val="005C6DD3"/>
    <w:rsid w:val="005D1B3F"/>
    <w:rsid w:val="005D2DEA"/>
    <w:rsid w:val="005D7604"/>
    <w:rsid w:val="005E0E60"/>
    <w:rsid w:val="005E198E"/>
    <w:rsid w:val="005E2096"/>
    <w:rsid w:val="005E31BE"/>
    <w:rsid w:val="005F0484"/>
    <w:rsid w:val="005F0C00"/>
    <w:rsid w:val="005F24E4"/>
    <w:rsid w:val="005F5618"/>
    <w:rsid w:val="005F5E55"/>
    <w:rsid w:val="005F6596"/>
    <w:rsid w:val="005F7320"/>
    <w:rsid w:val="00604F26"/>
    <w:rsid w:val="006054A4"/>
    <w:rsid w:val="00610AE7"/>
    <w:rsid w:val="00611631"/>
    <w:rsid w:val="00611FB3"/>
    <w:rsid w:val="00612FDC"/>
    <w:rsid w:val="00613D9C"/>
    <w:rsid w:val="0061427C"/>
    <w:rsid w:val="0061479D"/>
    <w:rsid w:val="00615D6E"/>
    <w:rsid w:val="006170FB"/>
    <w:rsid w:val="00617548"/>
    <w:rsid w:val="006204C5"/>
    <w:rsid w:val="0062155F"/>
    <w:rsid w:val="00622A78"/>
    <w:rsid w:val="00622BB1"/>
    <w:rsid w:val="006245B0"/>
    <w:rsid w:val="006247F6"/>
    <w:rsid w:val="006264B7"/>
    <w:rsid w:val="00626828"/>
    <w:rsid w:val="00626BAC"/>
    <w:rsid w:val="00630B94"/>
    <w:rsid w:val="00632108"/>
    <w:rsid w:val="00634AD2"/>
    <w:rsid w:val="00635B20"/>
    <w:rsid w:val="00636DED"/>
    <w:rsid w:val="0064032C"/>
    <w:rsid w:val="00640A68"/>
    <w:rsid w:val="0064484E"/>
    <w:rsid w:val="00645D82"/>
    <w:rsid w:val="00650152"/>
    <w:rsid w:val="00650C5C"/>
    <w:rsid w:val="006515BD"/>
    <w:rsid w:val="006534C9"/>
    <w:rsid w:val="00654DA3"/>
    <w:rsid w:val="006553A1"/>
    <w:rsid w:val="00655A35"/>
    <w:rsid w:val="00657240"/>
    <w:rsid w:val="006576EF"/>
    <w:rsid w:val="00663570"/>
    <w:rsid w:val="00664668"/>
    <w:rsid w:val="00665B42"/>
    <w:rsid w:val="00665C2C"/>
    <w:rsid w:val="00671B69"/>
    <w:rsid w:val="00673AB0"/>
    <w:rsid w:val="00675FA1"/>
    <w:rsid w:val="00683324"/>
    <w:rsid w:val="00685406"/>
    <w:rsid w:val="006860A4"/>
    <w:rsid w:val="00690CB7"/>
    <w:rsid w:val="00697F83"/>
    <w:rsid w:val="006A037D"/>
    <w:rsid w:val="006A2433"/>
    <w:rsid w:val="006A26F2"/>
    <w:rsid w:val="006B0B34"/>
    <w:rsid w:val="006B1E10"/>
    <w:rsid w:val="006B235E"/>
    <w:rsid w:val="006B3BF5"/>
    <w:rsid w:val="006B4BFD"/>
    <w:rsid w:val="006B55EB"/>
    <w:rsid w:val="006B7C05"/>
    <w:rsid w:val="006C1916"/>
    <w:rsid w:val="006C1A3F"/>
    <w:rsid w:val="006C333F"/>
    <w:rsid w:val="006C6189"/>
    <w:rsid w:val="006D0EE1"/>
    <w:rsid w:val="006D1443"/>
    <w:rsid w:val="006D1D0F"/>
    <w:rsid w:val="006D1F46"/>
    <w:rsid w:val="006D38A6"/>
    <w:rsid w:val="006D49FE"/>
    <w:rsid w:val="006D5862"/>
    <w:rsid w:val="006D5DDD"/>
    <w:rsid w:val="006D6954"/>
    <w:rsid w:val="006E1A69"/>
    <w:rsid w:val="006E53C9"/>
    <w:rsid w:val="006E5429"/>
    <w:rsid w:val="006E6448"/>
    <w:rsid w:val="006E7A87"/>
    <w:rsid w:val="006F0012"/>
    <w:rsid w:val="006F103F"/>
    <w:rsid w:val="006F1B9E"/>
    <w:rsid w:val="006F2CD6"/>
    <w:rsid w:val="006F3CB0"/>
    <w:rsid w:val="006F43C1"/>
    <w:rsid w:val="006F4C67"/>
    <w:rsid w:val="006F58B7"/>
    <w:rsid w:val="006F6C4D"/>
    <w:rsid w:val="00701B59"/>
    <w:rsid w:val="00701E80"/>
    <w:rsid w:val="0070291C"/>
    <w:rsid w:val="007045BC"/>
    <w:rsid w:val="00705679"/>
    <w:rsid w:val="00705976"/>
    <w:rsid w:val="00707EF1"/>
    <w:rsid w:val="00710936"/>
    <w:rsid w:val="00710DA9"/>
    <w:rsid w:val="0071283F"/>
    <w:rsid w:val="0071369C"/>
    <w:rsid w:val="00713862"/>
    <w:rsid w:val="00714F2F"/>
    <w:rsid w:val="00716CBF"/>
    <w:rsid w:val="007231EC"/>
    <w:rsid w:val="007261F5"/>
    <w:rsid w:val="00727AC8"/>
    <w:rsid w:val="00732D38"/>
    <w:rsid w:val="0073320F"/>
    <w:rsid w:val="00733767"/>
    <w:rsid w:val="00734927"/>
    <w:rsid w:val="007402F5"/>
    <w:rsid w:val="00740BB7"/>
    <w:rsid w:val="00741828"/>
    <w:rsid w:val="00744050"/>
    <w:rsid w:val="00745551"/>
    <w:rsid w:val="00745A1F"/>
    <w:rsid w:val="00746564"/>
    <w:rsid w:val="007468BA"/>
    <w:rsid w:val="00747491"/>
    <w:rsid w:val="00747FFB"/>
    <w:rsid w:val="00754832"/>
    <w:rsid w:val="007578F1"/>
    <w:rsid w:val="0076348F"/>
    <w:rsid w:val="0076453F"/>
    <w:rsid w:val="00767DD9"/>
    <w:rsid w:val="00770031"/>
    <w:rsid w:val="00775142"/>
    <w:rsid w:val="00777222"/>
    <w:rsid w:val="00777B71"/>
    <w:rsid w:val="007801CE"/>
    <w:rsid w:val="007822DE"/>
    <w:rsid w:val="0078563C"/>
    <w:rsid w:val="007870AC"/>
    <w:rsid w:val="007879DC"/>
    <w:rsid w:val="00787ADF"/>
    <w:rsid w:val="00787CD9"/>
    <w:rsid w:val="007912C2"/>
    <w:rsid w:val="007A0323"/>
    <w:rsid w:val="007A0F7B"/>
    <w:rsid w:val="007A1946"/>
    <w:rsid w:val="007A524B"/>
    <w:rsid w:val="007A6CF4"/>
    <w:rsid w:val="007A7A50"/>
    <w:rsid w:val="007B0010"/>
    <w:rsid w:val="007B263E"/>
    <w:rsid w:val="007C014D"/>
    <w:rsid w:val="007C33EE"/>
    <w:rsid w:val="007C4B2E"/>
    <w:rsid w:val="007C5C2C"/>
    <w:rsid w:val="007D1AED"/>
    <w:rsid w:val="007D3F17"/>
    <w:rsid w:val="007D40DE"/>
    <w:rsid w:val="007D4C6C"/>
    <w:rsid w:val="007D54A4"/>
    <w:rsid w:val="007D6415"/>
    <w:rsid w:val="007E124B"/>
    <w:rsid w:val="007E39E5"/>
    <w:rsid w:val="007E3BAB"/>
    <w:rsid w:val="007E51BC"/>
    <w:rsid w:val="007E5A1F"/>
    <w:rsid w:val="007F04BF"/>
    <w:rsid w:val="007F1D00"/>
    <w:rsid w:val="007F2112"/>
    <w:rsid w:val="007F24AE"/>
    <w:rsid w:val="007F5D5C"/>
    <w:rsid w:val="007F7C4C"/>
    <w:rsid w:val="007F7E88"/>
    <w:rsid w:val="0080355C"/>
    <w:rsid w:val="00803644"/>
    <w:rsid w:val="0080435F"/>
    <w:rsid w:val="00804A0A"/>
    <w:rsid w:val="00807318"/>
    <w:rsid w:val="00807C44"/>
    <w:rsid w:val="00811653"/>
    <w:rsid w:val="008125EB"/>
    <w:rsid w:val="00812714"/>
    <w:rsid w:val="00813A41"/>
    <w:rsid w:val="00822734"/>
    <w:rsid w:val="00823991"/>
    <w:rsid w:val="008301AC"/>
    <w:rsid w:val="00831D38"/>
    <w:rsid w:val="00831DC0"/>
    <w:rsid w:val="00833354"/>
    <w:rsid w:val="0083511C"/>
    <w:rsid w:val="00835B27"/>
    <w:rsid w:val="00836940"/>
    <w:rsid w:val="00837DCC"/>
    <w:rsid w:val="008410F0"/>
    <w:rsid w:val="008443A9"/>
    <w:rsid w:val="008443CA"/>
    <w:rsid w:val="00845531"/>
    <w:rsid w:val="00845604"/>
    <w:rsid w:val="00847006"/>
    <w:rsid w:val="0084789E"/>
    <w:rsid w:val="00851543"/>
    <w:rsid w:val="00852189"/>
    <w:rsid w:val="008546F7"/>
    <w:rsid w:val="0086056B"/>
    <w:rsid w:val="008608BC"/>
    <w:rsid w:val="0086316A"/>
    <w:rsid w:val="0087134C"/>
    <w:rsid w:val="00873264"/>
    <w:rsid w:val="00875E6D"/>
    <w:rsid w:val="0087600B"/>
    <w:rsid w:val="00876138"/>
    <w:rsid w:val="00876B8E"/>
    <w:rsid w:val="008778A6"/>
    <w:rsid w:val="00881C7E"/>
    <w:rsid w:val="00882CEA"/>
    <w:rsid w:val="0088607B"/>
    <w:rsid w:val="008906FF"/>
    <w:rsid w:val="008944FF"/>
    <w:rsid w:val="0089573D"/>
    <w:rsid w:val="00896D71"/>
    <w:rsid w:val="008A03EE"/>
    <w:rsid w:val="008A0C5D"/>
    <w:rsid w:val="008A45E6"/>
    <w:rsid w:val="008A584F"/>
    <w:rsid w:val="008A5D2A"/>
    <w:rsid w:val="008A692D"/>
    <w:rsid w:val="008A7C59"/>
    <w:rsid w:val="008B009F"/>
    <w:rsid w:val="008B22C5"/>
    <w:rsid w:val="008B3870"/>
    <w:rsid w:val="008B5EDB"/>
    <w:rsid w:val="008B721D"/>
    <w:rsid w:val="008B7433"/>
    <w:rsid w:val="008C044D"/>
    <w:rsid w:val="008C7562"/>
    <w:rsid w:val="008C7B3D"/>
    <w:rsid w:val="008D00DB"/>
    <w:rsid w:val="008D363D"/>
    <w:rsid w:val="008D4128"/>
    <w:rsid w:val="008D6056"/>
    <w:rsid w:val="008D7238"/>
    <w:rsid w:val="008E1678"/>
    <w:rsid w:val="008E1A9F"/>
    <w:rsid w:val="008E45CC"/>
    <w:rsid w:val="008E632B"/>
    <w:rsid w:val="008F07A6"/>
    <w:rsid w:val="008F1328"/>
    <w:rsid w:val="008F1701"/>
    <w:rsid w:val="008F3B09"/>
    <w:rsid w:val="008F743E"/>
    <w:rsid w:val="00900393"/>
    <w:rsid w:val="00900AD8"/>
    <w:rsid w:val="00903C06"/>
    <w:rsid w:val="009047BE"/>
    <w:rsid w:val="009069EA"/>
    <w:rsid w:val="0090724D"/>
    <w:rsid w:val="00910351"/>
    <w:rsid w:val="0091361A"/>
    <w:rsid w:val="00913854"/>
    <w:rsid w:val="009138B4"/>
    <w:rsid w:val="00913CA9"/>
    <w:rsid w:val="00914C6C"/>
    <w:rsid w:val="00916378"/>
    <w:rsid w:val="0091785E"/>
    <w:rsid w:val="00921A2C"/>
    <w:rsid w:val="00923640"/>
    <w:rsid w:val="0092480B"/>
    <w:rsid w:val="00926317"/>
    <w:rsid w:val="009265D3"/>
    <w:rsid w:val="00930BE5"/>
    <w:rsid w:val="0093192E"/>
    <w:rsid w:val="009324B4"/>
    <w:rsid w:val="00934E70"/>
    <w:rsid w:val="00935422"/>
    <w:rsid w:val="009375FF"/>
    <w:rsid w:val="009434B0"/>
    <w:rsid w:val="00943C7C"/>
    <w:rsid w:val="00944038"/>
    <w:rsid w:val="00946201"/>
    <w:rsid w:val="0094778C"/>
    <w:rsid w:val="009508E5"/>
    <w:rsid w:val="00954E21"/>
    <w:rsid w:val="00955559"/>
    <w:rsid w:val="009564C3"/>
    <w:rsid w:val="0095711B"/>
    <w:rsid w:val="0095728E"/>
    <w:rsid w:val="00957D40"/>
    <w:rsid w:val="00960DB3"/>
    <w:rsid w:val="0096261E"/>
    <w:rsid w:val="00962C91"/>
    <w:rsid w:val="009666C4"/>
    <w:rsid w:val="00967BDD"/>
    <w:rsid w:val="00967EE9"/>
    <w:rsid w:val="00970AB1"/>
    <w:rsid w:val="00971CEF"/>
    <w:rsid w:val="00974688"/>
    <w:rsid w:val="009747AB"/>
    <w:rsid w:val="009750E8"/>
    <w:rsid w:val="00975C95"/>
    <w:rsid w:val="009766DF"/>
    <w:rsid w:val="00976B23"/>
    <w:rsid w:val="00980D9D"/>
    <w:rsid w:val="009816D1"/>
    <w:rsid w:val="00981A77"/>
    <w:rsid w:val="009822AA"/>
    <w:rsid w:val="009826F1"/>
    <w:rsid w:val="00985C14"/>
    <w:rsid w:val="0098737D"/>
    <w:rsid w:val="00987C02"/>
    <w:rsid w:val="00991C72"/>
    <w:rsid w:val="0099202D"/>
    <w:rsid w:val="009947BD"/>
    <w:rsid w:val="009974A8"/>
    <w:rsid w:val="009A0BE1"/>
    <w:rsid w:val="009A131A"/>
    <w:rsid w:val="009A3A88"/>
    <w:rsid w:val="009B04EC"/>
    <w:rsid w:val="009B15EF"/>
    <w:rsid w:val="009B2B9B"/>
    <w:rsid w:val="009B56C8"/>
    <w:rsid w:val="009B7A1E"/>
    <w:rsid w:val="009C3B95"/>
    <w:rsid w:val="009C5532"/>
    <w:rsid w:val="009C5DBB"/>
    <w:rsid w:val="009D212F"/>
    <w:rsid w:val="009D5493"/>
    <w:rsid w:val="009D7013"/>
    <w:rsid w:val="009E5D99"/>
    <w:rsid w:val="009F20F6"/>
    <w:rsid w:val="009F2A9E"/>
    <w:rsid w:val="00A0028E"/>
    <w:rsid w:val="00A00AE1"/>
    <w:rsid w:val="00A02571"/>
    <w:rsid w:val="00A02EC3"/>
    <w:rsid w:val="00A05DA5"/>
    <w:rsid w:val="00A05FD8"/>
    <w:rsid w:val="00A061AE"/>
    <w:rsid w:val="00A06582"/>
    <w:rsid w:val="00A06A6C"/>
    <w:rsid w:val="00A11A6E"/>
    <w:rsid w:val="00A12041"/>
    <w:rsid w:val="00A129BD"/>
    <w:rsid w:val="00A131E5"/>
    <w:rsid w:val="00A15803"/>
    <w:rsid w:val="00A2162F"/>
    <w:rsid w:val="00A216CC"/>
    <w:rsid w:val="00A22C0F"/>
    <w:rsid w:val="00A2395E"/>
    <w:rsid w:val="00A257C9"/>
    <w:rsid w:val="00A25FC6"/>
    <w:rsid w:val="00A301FB"/>
    <w:rsid w:val="00A328F9"/>
    <w:rsid w:val="00A32E9B"/>
    <w:rsid w:val="00A34613"/>
    <w:rsid w:val="00A35FA7"/>
    <w:rsid w:val="00A36414"/>
    <w:rsid w:val="00A37BD1"/>
    <w:rsid w:val="00A37F2B"/>
    <w:rsid w:val="00A4007B"/>
    <w:rsid w:val="00A426F5"/>
    <w:rsid w:val="00A45198"/>
    <w:rsid w:val="00A45AC1"/>
    <w:rsid w:val="00A477A5"/>
    <w:rsid w:val="00A50466"/>
    <w:rsid w:val="00A50FF0"/>
    <w:rsid w:val="00A52376"/>
    <w:rsid w:val="00A52B2F"/>
    <w:rsid w:val="00A54871"/>
    <w:rsid w:val="00A55944"/>
    <w:rsid w:val="00A572B4"/>
    <w:rsid w:val="00A60D46"/>
    <w:rsid w:val="00A61473"/>
    <w:rsid w:val="00A63F38"/>
    <w:rsid w:val="00A64EF4"/>
    <w:rsid w:val="00A65164"/>
    <w:rsid w:val="00A65954"/>
    <w:rsid w:val="00A70DD4"/>
    <w:rsid w:val="00A70EBD"/>
    <w:rsid w:val="00A7176D"/>
    <w:rsid w:val="00A71AC5"/>
    <w:rsid w:val="00A721C4"/>
    <w:rsid w:val="00A72655"/>
    <w:rsid w:val="00A72F97"/>
    <w:rsid w:val="00A73EDA"/>
    <w:rsid w:val="00A7465F"/>
    <w:rsid w:val="00A74ADE"/>
    <w:rsid w:val="00A74FCB"/>
    <w:rsid w:val="00A75305"/>
    <w:rsid w:val="00A80BF1"/>
    <w:rsid w:val="00A825D2"/>
    <w:rsid w:val="00A8275A"/>
    <w:rsid w:val="00A932C6"/>
    <w:rsid w:val="00A96E39"/>
    <w:rsid w:val="00A97D9C"/>
    <w:rsid w:val="00AA0F23"/>
    <w:rsid w:val="00AA2134"/>
    <w:rsid w:val="00AA6909"/>
    <w:rsid w:val="00AA7B5D"/>
    <w:rsid w:val="00AB0FB1"/>
    <w:rsid w:val="00AB1AB5"/>
    <w:rsid w:val="00AB4DD8"/>
    <w:rsid w:val="00AB629B"/>
    <w:rsid w:val="00AC06BD"/>
    <w:rsid w:val="00AC32D5"/>
    <w:rsid w:val="00AC4741"/>
    <w:rsid w:val="00AC574B"/>
    <w:rsid w:val="00AC6820"/>
    <w:rsid w:val="00AD03BE"/>
    <w:rsid w:val="00AD118F"/>
    <w:rsid w:val="00AD240D"/>
    <w:rsid w:val="00AD2BB1"/>
    <w:rsid w:val="00AD3E30"/>
    <w:rsid w:val="00AD4581"/>
    <w:rsid w:val="00AD50D3"/>
    <w:rsid w:val="00AD52FE"/>
    <w:rsid w:val="00AD5DF3"/>
    <w:rsid w:val="00AD6D5E"/>
    <w:rsid w:val="00AD7644"/>
    <w:rsid w:val="00AD7903"/>
    <w:rsid w:val="00AE3E8F"/>
    <w:rsid w:val="00AE6320"/>
    <w:rsid w:val="00AE73E8"/>
    <w:rsid w:val="00AF10BB"/>
    <w:rsid w:val="00AF3C55"/>
    <w:rsid w:val="00AF62E7"/>
    <w:rsid w:val="00AF661F"/>
    <w:rsid w:val="00AF78DF"/>
    <w:rsid w:val="00B034FB"/>
    <w:rsid w:val="00B041BF"/>
    <w:rsid w:val="00B048CF"/>
    <w:rsid w:val="00B06AA1"/>
    <w:rsid w:val="00B06FB6"/>
    <w:rsid w:val="00B112F9"/>
    <w:rsid w:val="00B1491F"/>
    <w:rsid w:val="00B1494B"/>
    <w:rsid w:val="00B14A17"/>
    <w:rsid w:val="00B1539C"/>
    <w:rsid w:val="00B1594F"/>
    <w:rsid w:val="00B167E1"/>
    <w:rsid w:val="00B172C3"/>
    <w:rsid w:val="00B17DD6"/>
    <w:rsid w:val="00B232E8"/>
    <w:rsid w:val="00B23A9A"/>
    <w:rsid w:val="00B249D8"/>
    <w:rsid w:val="00B25E73"/>
    <w:rsid w:val="00B27A0B"/>
    <w:rsid w:val="00B30B8C"/>
    <w:rsid w:val="00B33700"/>
    <w:rsid w:val="00B35D31"/>
    <w:rsid w:val="00B378A2"/>
    <w:rsid w:val="00B405C9"/>
    <w:rsid w:val="00B42546"/>
    <w:rsid w:val="00B43168"/>
    <w:rsid w:val="00B50246"/>
    <w:rsid w:val="00B539AB"/>
    <w:rsid w:val="00B54436"/>
    <w:rsid w:val="00B56EF0"/>
    <w:rsid w:val="00B61B2B"/>
    <w:rsid w:val="00B62A97"/>
    <w:rsid w:val="00B63A6E"/>
    <w:rsid w:val="00B6463E"/>
    <w:rsid w:val="00B6618A"/>
    <w:rsid w:val="00B71D85"/>
    <w:rsid w:val="00B73EFB"/>
    <w:rsid w:val="00B7511F"/>
    <w:rsid w:val="00B762E7"/>
    <w:rsid w:val="00B7695D"/>
    <w:rsid w:val="00B81A3A"/>
    <w:rsid w:val="00B84555"/>
    <w:rsid w:val="00B852BA"/>
    <w:rsid w:val="00B90006"/>
    <w:rsid w:val="00B90D09"/>
    <w:rsid w:val="00B91F4A"/>
    <w:rsid w:val="00B92A80"/>
    <w:rsid w:val="00B939F6"/>
    <w:rsid w:val="00B94587"/>
    <w:rsid w:val="00BA0C71"/>
    <w:rsid w:val="00BA19F4"/>
    <w:rsid w:val="00BB367A"/>
    <w:rsid w:val="00BB5F11"/>
    <w:rsid w:val="00BC1FE1"/>
    <w:rsid w:val="00BC324C"/>
    <w:rsid w:val="00BC5D68"/>
    <w:rsid w:val="00BC7F61"/>
    <w:rsid w:val="00BD162F"/>
    <w:rsid w:val="00BD1C93"/>
    <w:rsid w:val="00BD5778"/>
    <w:rsid w:val="00BE221F"/>
    <w:rsid w:val="00BE3342"/>
    <w:rsid w:val="00BE439D"/>
    <w:rsid w:val="00BF19CA"/>
    <w:rsid w:val="00BF23AC"/>
    <w:rsid w:val="00BF3C5E"/>
    <w:rsid w:val="00C00243"/>
    <w:rsid w:val="00C050CB"/>
    <w:rsid w:val="00C120A8"/>
    <w:rsid w:val="00C12BC1"/>
    <w:rsid w:val="00C1401E"/>
    <w:rsid w:val="00C143B2"/>
    <w:rsid w:val="00C15150"/>
    <w:rsid w:val="00C17E5A"/>
    <w:rsid w:val="00C20CF7"/>
    <w:rsid w:val="00C21F39"/>
    <w:rsid w:val="00C22EB2"/>
    <w:rsid w:val="00C23305"/>
    <w:rsid w:val="00C23A0E"/>
    <w:rsid w:val="00C31C52"/>
    <w:rsid w:val="00C33639"/>
    <w:rsid w:val="00C347EB"/>
    <w:rsid w:val="00C35312"/>
    <w:rsid w:val="00C3606D"/>
    <w:rsid w:val="00C360E9"/>
    <w:rsid w:val="00C36716"/>
    <w:rsid w:val="00C40589"/>
    <w:rsid w:val="00C416F3"/>
    <w:rsid w:val="00C43EAA"/>
    <w:rsid w:val="00C52EC8"/>
    <w:rsid w:val="00C535B0"/>
    <w:rsid w:val="00C55341"/>
    <w:rsid w:val="00C6335B"/>
    <w:rsid w:val="00C637F2"/>
    <w:rsid w:val="00C64138"/>
    <w:rsid w:val="00C64A61"/>
    <w:rsid w:val="00C654AD"/>
    <w:rsid w:val="00C656B0"/>
    <w:rsid w:val="00C666AE"/>
    <w:rsid w:val="00C67002"/>
    <w:rsid w:val="00C67457"/>
    <w:rsid w:val="00C70BA9"/>
    <w:rsid w:val="00C7230A"/>
    <w:rsid w:val="00C7231F"/>
    <w:rsid w:val="00C74E3F"/>
    <w:rsid w:val="00C75C8B"/>
    <w:rsid w:val="00C8156F"/>
    <w:rsid w:val="00C81BC5"/>
    <w:rsid w:val="00C8413C"/>
    <w:rsid w:val="00C86F47"/>
    <w:rsid w:val="00C878F0"/>
    <w:rsid w:val="00C90240"/>
    <w:rsid w:val="00C967EA"/>
    <w:rsid w:val="00CA0AB8"/>
    <w:rsid w:val="00CA4B2D"/>
    <w:rsid w:val="00CA7822"/>
    <w:rsid w:val="00CB01FE"/>
    <w:rsid w:val="00CB04C6"/>
    <w:rsid w:val="00CC40C6"/>
    <w:rsid w:val="00CC419B"/>
    <w:rsid w:val="00CC5DDC"/>
    <w:rsid w:val="00CD13EC"/>
    <w:rsid w:val="00CD2082"/>
    <w:rsid w:val="00CD39E0"/>
    <w:rsid w:val="00CD543B"/>
    <w:rsid w:val="00CD5902"/>
    <w:rsid w:val="00CD781B"/>
    <w:rsid w:val="00CD7DD1"/>
    <w:rsid w:val="00CE1CFB"/>
    <w:rsid w:val="00CE2B5B"/>
    <w:rsid w:val="00CE407E"/>
    <w:rsid w:val="00CE4125"/>
    <w:rsid w:val="00CE49C3"/>
    <w:rsid w:val="00CE52A5"/>
    <w:rsid w:val="00CE6946"/>
    <w:rsid w:val="00CE6E84"/>
    <w:rsid w:val="00CE75A4"/>
    <w:rsid w:val="00CF30DE"/>
    <w:rsid w:val="00CF3B9B"/>
    <w:rsid w:val="00CF59F8"/>
    <w:rsid w:val="00D005B8"/>
    <w:rsid w:val="00D00A64"/>
    <w:rsid w:val="00D00FCC"/>
    <w:rsid w:val="00D020CE"/>
    <w:rsid w:val="00D03AD9"/>
    <w:rsid w:val="00D045CB"/>
    <w:rsid w:val="00D11A3D"/>
    <w:rsid w:val="00D11C90"/>
    <w:rsid w:val="00D128A7"/>
    <w:rsid w:val="00D13306"/>
    <w:rsid w:val="00D1607B"/>
    <w:rsid w:val="00D214BF"/>
    <w:rsid w:val="00D22230"/>
    <w:rsid w:val="00D258FB"/>
    <w:rsid w:val="00D30E38"/>
    <w:rsid w:val="00D32BEC"/>
    <w:rsid w:val="00D3317C"/>
    <w:rsid w:val="00D33ACA"/>
    <w:rsid w:val="00D33C0E"/>
    <w:rsid w:val="00D33CF8"/>
    <w:rsid w:val="00D37D48"/>
    <w:rsid w:val="00D402F4"/>
    <w:rsid w:val="00D41EED"/>
    <w:rsid w:val="00D43245"/>
    <w:rsid w:val="00D448BC"/>
    <w:rsid w:val="00D4497C"/>
    <w:rsid w:val="00D46E6B"/>
    <w:rsid w:val="00D4743A"/>
    <w:rsid w:val="00D55561"/>
    <w:rsid w:val="00D5583E"/>
    <w:rsid w:val="00D55857"/>
    <w:rsid w:val="00D56F0F"/>
    <w:rsid w:val="00D5724F"/>
    <w:rsid w:val="00D613DE"/>
    <w:rsid w:val="00D67045"/>
    <w:rsid w:val="00D74DAB"/>
    <w:rsid w:val="00D7571E"/>
    <w:rsid w:val="00D7641D"/>
    <w:rsid w:val="00D769F8"/>
    <w:rsid w:val="00D76DDC"/>
    <w:rsid w:val="00D81D17"/>
    <w:rsid w:val="00D82FB0"/>
    <w:rsid w:val="00D83FC4"/>
    <w:rsid w:val="00D85428"/>
    <w:rsid w:val="00D86490"/>
    <w:rsid w:val="00D92EDA"/>
    <w:rsid w:val="00D93A39"/>
    <w:rsid w:val="00D94656"/>
    <w:rsid w:val="00D958A1"/>
    <w:rsid w:val="00D96037"/>
    <w:rsid w:val="00DA2CCC"/>
    <w:rsid w:val="00DA5DAE"/>
    <w:rsid w:val="00DA6A9F"/>
    <w:rsid w:val="00DA71FD"/>
    <w:rsid w:val="00DA72A8"/>
    <w:rsid w:val="00DB072F"/>
    <w:rsid w:val="00DB0A91"/>
    <w:rsid w:val="00DB0EA7"/>
    <w:rsid w:val="00DB2825"/>
    <w:rsid w:val="00DB33B3"/>
    <w:rsid w:val="00DB4E55"/>
    <w:rsid w:val="00DB6E7A"/>
    <w:rsid w:val="00DC3F4D"/>
    <w:rsid w:val="00DC54FD"/>
    <w:rsid w:val="00DC79AD"/>
    <w:rsid w:val="00DD10A4"/>
    <w:rsid w:val="00DD431D"/>
    <w:rsid w:val="00DE1351"/>
    <w:rsid w:val="00DE27B8"/>
    <w:rsid w:val="00DE336F"/>
    <w:rsid w:val="00DE6792"/>
    <w:rsid w:val="00DE6A19"/>
    <w:rsid w:val="00DE6D9D"/>
    <w:rsid w:val="00DE7106"/>
    <w:rsid w:val="00DE7ADA"/>
    <w:rsid w:val="00DE7EA4"/>
    <w:rsid w:val="00DF0F8C"/>
    <w:rsid w:val="00DF44CC"/>
    <w:rsid w:val="00DF5277"/>
    <w:rsid w:val="00DF5711"/>
    <w:rsid w:val="00DF5F9E"/>
    <w:rsid w:val="00E00C3A"/>
    <w:rsid w:val="00E00EA2"/>
    <w:rsid w:val="00E03F77"/>
    <w:rsid w:val="00E05DCB"/>
    <w:rsid w:val="00E06451"/>
    <w:rsid w:val="00E065B5"/>
    <w:rsid w:val="00E07962"/>
    <w:rsid w:val="00E1100B"/>
    <w:rsid w:val="00E12305"/>
    <w:rsid w:val="00E1244A"/>
    <w:rsid w:val="00E13505"/>
    <w:rsid w:val="00E20D24"/>
    <w:rsid w:val="00E22651"/>
    <w:rsid w:val="00E244F8"/>
    <w:rsid w:val="00E30329"/>
    <w:rsid w:val="00E30E1D"/>
    <w:rsid w:val="00E32A0C"/>
    <w:rsid w:val="00E33958"/>
    <w:rsid w:val="00E36CB4"/>
    <w:rsid w:val="00E37F87"/>
    <w:rsid w:val="00E4006E"/>
    <w:rsid w:val="00E4020F"/>
    <w:rsid w:val="00E42FC9"/>
    <w:rsid w:val="00E46FF6"/>
    <w:rsid w:val="00E5188F"/>
    <w:rsid w:val="00E547B0"/>
    <w:rsid w:val="00E57759"/>
    <w:rsid w:val="00E57935"/>
    <w:rsid w:val="00E60DAA"/>
    <w:rsid w:val="00E65386"/>
    <w:rsid w:val="00E71F18"/>
    <w:rsid w:val="00E740F2"/>
    <w:rsid w:val="00E80006"/>
    <w:rsid w:val="00E80311"/>
    <w:rsid w:val="00E81365"/>
    <w:rsid w:val="00E81A38"/>
    <w:rsid w:val="00E82B9E"/>
    <w:rsid w:val="00E84A4E"/>
    <w:rsid w:val="00E87A3C"/>
    <w:rsid w:val="00E90BBE"/>
    <w:rsid w:val="00E90FA8"/>
    <w:rsid w:val="00E94592"/>
    <w:rsid w:val="00E95B68"/>
    <w:rsid w:val="00E965A7"/>
    <w:rsid w:val="00EA0766"/>
    <w:rsid w:val="00EA3BF0"/>
    <w:rsid w:val="00EA469F"/>
    <w:rsid w:val="00EA783F"/>
    <w:rsid w:val="00EB20D6"/>
    <w:rsid w:val="00EB229C"/>
    <w:rsid w:val="00EB28BD"/>
    <w:rsid w:val="00EB4260"/>
    <w:rsid w:val="00EB4413"/>
    <w:rsid w:val="00EC1578"/>
    <w:rsid w:val="00EC581B"/>
    <w:rsid w:val="00EC6A36"/>
    <w:rsid w:val="00ED13DF"/>
    <w:rsid w:val="00ED533E"/>
    <w:rsid w:val="00ED6210"/>
    <w:rsid w:val="00ED7C94"/>
    <w:rsid w:val="00EE026F"/>
    <w:rsid w:val="00EE06DD"/>
    <w:rsid w:val="00EE2865"/>
    <w:rsid w:val="00EE6CCB"/>
    <w:rsid w:val="00EF111C"/>
    <w:rsid w:val="00EF2245"/>
    <w:rsid w:val="00EF4163"/>
    <w:rsid w:val="00EF4D0D"/>
    <w:rsid w:val="00EF52F6"/>
    <w:rsid w:val="00EF7D41"/>
    <w:rsid w:val="00F01241"/>
    <w:rsid w:val="00F02CF4"/>
    <w:rsid w:val="00F0339E"/>
    <w:rsid w:val="00F053F9"/>
    <w:rsid w:val="00F0665D"/>
    <w:rsid w:val="00F100B8"/>
    <w:rsid w:val="00F12C65"/>
    <w:rsid w:val="00F15668"/>
    <w:rsid w:val="00F15703"/>
    <w:rsid w:val="00F16159"/>
    <w:rsid w:val="00F20607"/>
    <w:rsid w:val="00F211B5"/>
    <w:rsid w:val="00F22497"/>
    <w:rsid w:val="00F23828"/>
    <w:rsid w:val="00F23E7D"/>
    <w:rsid w:val="00F25065"/>
    <w:rsid w:val="00F2507D"/>
    <w:rsid w:val="00F25F9F"/>
    <w:rsid w:val="00F26025"/>
    <w:rsid w:val="00F26C00"/>
    <w:rsid w:val="00F26FD1"/>
    <w:rsid w:val="00F3094D"/>
    <w:rsid w:val="00F3287D"/>
    <w:rsid w:val="00F3508C"/>
    <w:rsid w:val="00F3634A"/>
    <w:rsid w:val="00F44148"/>
    <w:rsid w:val="00F443FC"/>
    <w:rsid w:val="00F44973"/>
    <w:rsid w:val="00F47740"/>
    <w:rsid w:val="00F504D4"/>
    <w:rsid w:val="00F5080F"/>
    <w:rsid w:val="00F5104C"/>
    <w:rsid w:val="00F51138"/>
    <w:rsid w:val="00F56C33"/>
    <w:rsid w:val="00F61CDC"/>
    <w:rsid w:val="00F62F68"/>
    <w:rsid w:val="00F655C2"/>
    <w:rsid w:val="00F667EF"/>
    <w:rsid w:val="00F670EE"/>
    <w:rsid w:val="00F675B9"/>
    <w:rsid w:val="00F67975"/>
    <w:rsid w:val="00F67EE9"/>
    <w:rsid w:val="00F760C7"/>
    <w:rsid w:val="00F77C64"/>
    <w:rsid w:val="00F77CC5"/>
    <w:rsid w:val="00F805C7"/>
    <w:rsid w:val="00F84304"/>
    <w:rsid w:val="00F845CA"/>
    <w:rsid w:val="00F911D7"/>
    <w:rsid w:val="00F91778"/>
    <w:rsid w:val="00F91CFC"/>
    <w:rsid w:val="00F9241D"/>
    <w:rsid w:val="00F948CA"/>
    <w:rsid w:val="00F959CE"/>
    <w:rsid w:val="00F963AE"/>
    <w:rsid w:val="00F96B53"/>
    <w:rsid w:val="00FA21FF"/>
    <w:rsid w:val="00FA5A58"/>
    <w:rsid w:val="00FB02BC"/>
    <w:rsid w:val="00FB503E"/>
    <w:rsid w:val="00FB7977"/>
    <w:rsid w:val="00FC1AE6"/>
    <w:rsid w:val="00FC28D3"/>
    <w:rsid w:val="00FC2ACE"/>
    <w:rsid w:val="00FC2DDB"/>
    <w:rsid w:val="00FD10CA"/>
    <w:rsid w:val="00FD561C"/>
    <w:rsid w:val="00FD632E"/>
    <w:rsid w:val="00FD6FF7"/>
    <w:rsid w:val="00FD73B3"/>
    <w:rsid w:val="00FD79BC"/>
    <w:rsid w:val="00FE12A0"/>
    <w:rsid w:val="00FE1EC4"/>
    <w:rsid w:val="00FE2ABA"/>
    <w:rsid w:val="00FE4887"/>
    <w:rsid w:val="00FE492A"/>
    <w:rsid w:val="00FE5A68"/>
    <w:rsid w:val="00FF051C"/>
    <w:rsid w:val="00FF1FD9"/>
    <w:rsid w:val="00FF3786"/>
    <w:rsid w:val="00FF497B"/>
    <w:rsid w:val="00FF5FB6"/>
    <w:rsid w:val="00FF6968"/>
    <w:rsid w:val="00FF74DE"/>
    <w:rsid w:val="00FF7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051F"/>
  <w15:chartTrackingRefBased/>
  <w15:docId w15:val="{6B7C60E4-7DA4-E34A-A4B8-FAC55817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28E"/>
    <w:pPr>
      <w:ind w:left="720"/>
      <w:contextualSpacing/>
    </w:pPr>
  </w:style>
  <w:style w:type="paragraph" w:customStyle="1" w:styleId="font8">
    <w:name w:val="font_8"/>
    <w:basedOn w:val="Normal"/>
    <w:rsid w:val="005103BC"/>
    <w:pPr>
      <w:spacing w:before="100" w:beforeAutospacing="1" w:after="100" w:afterAutospacing="1"/>
    </w:pPr>
  </w:style>
  <w:style w:type="character" w:customStyle="1" w:styleId="wixguard">
    <w:name w:val="wixguard"/>
    <w:basedOn w:val="DefaultParagraphFont"/>
    <w:rsid w:val="00304648"/>
  </w:style>
  <w:style w:type="character" w:customStyle="1" w:styleId="color33">
    <w:name w:val="color_33"/>
    <w:basedOn w:val="DefaultParagraphFont"/>
    <w:rsid w:val="005B4367"/>
  </w:style>
  <w:style w:type="character" w:customStyle="1" w:styleId="color34">
    <w:name w:val="color_34"/>
    <w:basedOn w:val="DefaultParagraphFont"/>
    <w:rsid w:val="003F1A98"/>
  </w:style>
  <w:style w:type="paragraph" w:customStyle="1" w:styleId="font7">
    <w:name w:val="font_7"/>
    <w:basedOn w:val="Normal"/>
    <w:rsid w:val="008A45E6"/>
    <w:pPr>
      <w:spacing w:before="100" w:beforeAutospacing="1" w:after="100" w:afterAutospacing="1"/>
    </w:pPr>
  </w:style>
  <w:style w:type="character" w:styleId="Hyperlink">
    <w:name w:val="Hyperlink"/>
    <w:basedOn w:val="DefaultParagraphFont"/>
    <w:uiPriority w:val="99"/>
    <w:unhideWhenUsed/>
    <w:rsid w:val="008A45E6"/>
    <w:rPr>
      <w:color w:val="0000FF"/>
      <w:u w:val="single"/>
    </w:rPr>
  </w:style>
  <w:style w:type="paragraph" w:styleId="NormalWeb">
    <w:name w:val="Normal (Web)"/>
    <w:basedOn w:val="Normal"/>
    <w:uiPriority w:val="99"/>
    <w:semiHidden/>
    <w:unhideWhenUsed/>
    <w:rsid w:val="007045BC"/>
    <w:pPr>
      <w:spacing w:before="100" w:beforeAutospacing="1" w:after="100" w:afterAutospacing="1"/>
    </w:pPr>
  </w:style>
  <w:style w:type="character" w:styleId="CommentReference">
    <w:name w:val="annotation reference"/>
    <w:basedOn w:val="DefaultParagraphFont"/>
    <w:uiPriority w:val="99"/>
    <w:semiHidden/>
    <w:unhideWhenUsed/>
    <w:rsid w:val="004227D5"/>
    <w:rPr>
      <w:sz w:val="16"/>
      <w:szCs w:val="16"/>
    </w:rPr>
  </w:style>
  <w:style w:type="paragraph" w:styleId="CommentText">
    <w:name w:val="annotation text"/>
    <w:basedOn w:val="Normal"/>
    <w:link w:val="CommentTextChar"/>
    <w:uiPriority w:val="99"/>
    <w:semiHidden/>
    <w:unhideWhenUsed/>
    <w:rsid w:val="004227D5"/>
    <w:rPr>
      <w:sz w:val="20"/>
      <w:szCs w:val="20"/>
    </w:rPr>
  </w:style>
  <w:style w:type="character" w:customStyle="1" w:styleId="CommentTextChar">
    <w:name w:val="Comment Text Char"/>
    <w:basedOn w:val="DefaultParagraphFont"/>
    <w:link w:val="CommentText"/>
    <w:uiPriority w:val="99"/>
    <w:semiHidden/>
    <w:rsid w:val="004227D5"/>
    <w:rPr>
      <w:sz w:val="20"/>
      <w:szCs w:val="20"/>
    </w:rPr>
  </w:style>
  <w:style w:type="paragraph" w:styleId="CommentSubject">
    <w:name w:val="annotation subject"/>
    <w:basedOn w:val="CommentText"/>
    <w:next w:val="CommentText"/>
    <w:link w:val="CommentSubjectChar"/>
    <w:uiPriority w:val="99"/>
    <w:semiHidden/>
    <w:unhideWhenUsed/>
    <w:rsid w:val="004227D5"/>
    <w:rPr>
      <w:b/>
      <w:bCs/>
    </w:rPr>
  </w:style>
  <w:style w:type="character" w:customStyle="1" w:styleId="CommentSubjectChar">
    <w:name w:val="Comment Subject Char"/>
    <w:basedOn w:val="CommentTextChar"/>
    <w:link w:val="CommentSubject"/>
    <w:uiPriority w:val="99"/>
    <w:semiHidden/>
    <w:rsid w:val="004227D5"/>
    <w:rPr>
      <w:b/>
      <w:bCs/>
      <w:sz w:val="20"/>
      <w:szCs w:val="20"/>
    </w:rPr>
  </w:style>
  <w:style w:type="character" w:styleId="UnresolvedMention">
    <w:name w:val="Unresolved Mention"/>
    <w:basedOn w:val="DefaultParagraphFont"/>
    <w:uiPriority w:val="99"/>
    <w:semiHidden/>
    <w:unhideWhenUsed/>
    <w:rsid w:val="00746564"/>
    <w:rPr>
      <w:color w:val="605E5C"/>
      <w:shd w:val="clear" w:color="auto" w:fill="E1DFDD"/>
    </w:rPr>
  </w:style>
  <w:style w:type="character" w:customStyle="1" w:styleId="authors-list-item">
    <w:name w:val="authors-list-item"/>
    <w:basedOn w:val="DefaultParagraphFont"/>
    <w:rsid w:val="00106C9C"/>
  </w:style>
  <w:style w:type="character" w:customStyle="1" w:styleId="author-sup-separator">
    <w:name w:val="author-sup-separator"/>
    <w:basedOn w:val="DefaultParagraphFont"/>
    <w:rsid w:val="00106C9C"/>
  </w:style>
  <w:style w:type="character" w:customStyle="1" w:styleId="comma">
    <w:name w:val="comma"/>
    <w:basedOn w:val="DefaultParagraphFont"/>
    <w:rsid w:val="0010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333">
      <w:bodyDiv w:val="1"/>
      <w:marLeft w:val="0"/>
      <w:marRight w:val="0"/>
      <w:marTop w:val="0"/>
      <w:marBottom w:val="0"/>
      <w:divBdr>
        <w:top w:val="none" w:sz="0" w:space="0" w:color="auto"/>
        <w:left w:val="none" w:sz="0" w:space="0" w:color="auto"/>
        <w:bottom w:val="none" w:sz="0" w:space="0" w:color="auto"/>
        <w:right w:val="none" w:sz="0" w:space="0" w:color="auto"/>
      </w:divBdr>
    </w:div>
    <w:div w:id="131682980">
      <w:bodyDiv w:val="1"/>
      <w:marLeft w:val="0"/>
      <w:marRight w:val="0"/>
      <w:marTop w:val="0"/>
      <w:marBottom w:val="0"/>
      <w:divBdr>
        <w:top w:val="none" w:sz="0" w:space="0" w:color="auto"/>
        <w:left w:val="none" w:sz="0" w:space="0" w:color="auto"/>
        <w:bottom w:val="none" w:sz="0" w:space="0" w:color="auto"/>
        <w:right w:val="none" w:sz="0" w:space="0" w:color="auto"/>
      </w:divBdr>
    </w:div>
    <w:div w:id="156576474">
      <w:bodyDiv w:val="1"/>
      <w:marLeft w:val="0"/>
      <w:marRight w:val="0"/>
      <w:marTop w:val="0"/>
      <w:marBottom w:val="0"/>
      <w:divBdr>
        <w:top w:val="none" w:sz="0" w:space="0" w:color="auto"/>
        <w:left w:val="none" w:sz="0" w:space="0" w:color="auto"/>
        <w:bottom w:val="none" w:sz="0" w:space="0" w:color="auto"/>
        <w:right w:val="none" w:sz="0" w:space="0" w:color="auto"/>
      </w:divBdr>
      <w:divsChild>
        <w:div w:id="361327390">
          <w:marLeft w:val="0"/>
          <w:marRight w:val="0"/>
          <w:marTop w:val="0"/>
          <w:marBottom w:val="0"/>
          <w:divBdr>
            <w:top w:val="none" w:sz="0" w:space="0" w:color="auto"/>
            <w:left w:val="none" w:sz="0" w:space="0" w:color="auto"/>
            <w:bottom w:val="none" w:sz="0" w:space="0" w:color="auto"/>
            <w:right w:val="none" w:sz="0" w:space="0" w:color="auto"/>
          </w:divBdr>
          <w:divsChild>
            <w:div w:id="2143452499">
              <w:marLeft w:val="0"/>
              <w:marRight w:val="0"/>
              <w:marTop w:val="0"/>
              <w:marBottom w:val="0"/>
              <w:divBdr>
                <w:top w:val="none" w:sz="0" w:space="0" w:color="auto"/>
                <w:left w:val="none" w:sz="0" w:space="0" w:color="auto"/>
                <w:bottom w:val="none" w:sz="0" w:space="0" w:color="auto"/>
                <w:right w:val="none" w:sz="0" w:space="0" w:color="auto"/>
              </w:divBdr>
              <w:divsChild>
                <w:div w:id="892473121">
                  <w:marLeft w:val="0"/>
                  <w:marRight w:val="0"/>
                  <w:marTop w:val="0"/>
                  <w:marBottom w:val="0"/>
                  <w:divBdr>
                    <w:top w:val="none" w:sz="0" w:space="0" w:color="auto"/>
                    <w:left w:val="none" w:sz="0" w:space="0" w:color="auto"/>
                    <w:bottom w:val="none" w:sz="0" w:space="0" w:color="auto"/>
                    <w:right w:val="none" w:sz="0" w:space="0" w:color="auto"/>
                  </w:divBdr>
                  <w:divsChild>
                    <w:div w:id="12306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0776">
      <w:bodyDiv w:val="1"/>
      <w:marLeft w:val="0"/>
      <w:marRight w:val="0"/>
      <w:marTop w:val="0"/>
      <w:marBottom w:val="0"/>
      <w:divBdr>
        <w:top w:val="none" w:sz="0" w:space="0" w:color="auto"/>
        <w:left w:val="none" w:sz="0" w:space="0" w:color="auto"/>
        <w:bottom w:val="none" w:sz="0" w:space="0" w:color="auto"/>
        <w:right w:val="none" w:sz="0" w:space="0" w:color="auto"/>
      </w:divBdr>
    </w:div>
    <w:div w:id="183984990">
      <w:bodyDiv w:val="1"/>
      <w:marLeft w:val="0"/>
      <w:marRight w:val="0"/>
      <w:marTop w:val="0"/>
      <w:marBottom w:val="0"/>
      <w:divBdr>
        <w:top w:val="none" w:sz="0" w:space="0" w:color="auto"/>
        <w:left w:val="none" w:sz="0" w:space="0" w:color="auto"/>
        <w:bottom w:val="none" w:sz="0" w:space="0" w:color="auto"/>
        <w:right w:val="none" w:sz="0" w:space="0" w:color="auto"/>
      </w:divBdr>
    </w:div>
    <w:div w:id="184952255">
      <w:bodyDiv w:val="1"/>
      <w:marLeft w:val="0"/>
      <w:marRight w:val="0"/>
      <w:marTop w:val="0"/>
      <w:marBottom w:val="0"/>
      <w:divBdr>
        <w:top w:val="none" w:sz="0" w:space="0" w:color="auto"/>
        <w:left w:val="none" w:sz="0" w:space="0" w:color="auto"/>
        <w:bottom w:val="none" w:sz="0" w:space="0" w:color="auto"/>
        <w:right w:val="none" w:sz="0" w:space="0" w:color="auto"/>
      </w:divBdr>
      <w:divsChild>
        <w:div w:id="1149127959">
          <w:marLeft w:val="0"/>
          <w:marRight w:val="0"/>
          <w:marTop w:val="0"/>
          <w:marBottom w:val="0"/>
          <w:divBdr>
            <w:top w:val="none" w:sz="0" w:space="0" w:color="auto"/>
            <w:left w:val="none" w:sz="0" w:space="0" w:color="auto"/>
            <w:bottom w:val="none" w:sz="0" w:space="0" w:color="auto"/>
            <w:right w:val="none" w:sz="0" w:space="0" w:color="auto"/>
          </w:divBdr>
          <w:divsChild>
            <w:div w:id="2134598101">
              <w:marLeft w:val="0"/>
              <w:marRight w:val="0"/>
              <w:marTop w:val="0"/>
              <w:marBottom w:val="0"/>
              <w:divBdr>
                <w:top w:val="none" w:sz="0" w:space="0" w:color="auto"/>
                <w:left w:val="none" w:sz="0" w:space="0" w:color="auto"/>
                <w:bottom w:val="none" w:sz="0" w:space="0" w:color="auto"/>
                <w:right w:val="none" w:sz="0" w:space="0" w:color="auto"/>
              </w:divBdr>
              <w:divsChild>
                <w:div w:id="521480732">
                  <w:marLeft w:val="0"/>
                  <w:marRight w:val="0"/>
                  <w:marTop w:val="0"/>
                  <w:marBottom w:val="0"/>
                  <w:divBdr>
                    <w:top w:val="none" w:sz="0" w:space="0" w:color="auto"/>
                    <w:left w:val="none" w:sz="0" w:space="0" w:color="auto"/>
                    <w:bottom w:val="none" w:sz="0" w:space="0" w:color="auto"/>
                    <w:right w:val="none" w:sz="0" w:space="0" w:color="auto"/>
                  </w:divBdr>
                  <w:divsChild>
                    <w:div w:id="1768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393">
      <w:bodyDiv w:val="1"/>
      <w:marLeft w:val="0"/>
      <w:marRight w:val="0"/>
      <w:marTop w:val="0"/>
      <w:marBottom w:val="0"/>
      <w:divBdr>
        <w:top w:val="none" w:sz="0" w:space="0" w:color="auto"/>
        <w:left w:val="none" w:sz="0" w:space="0" w:color="auto"/>
        <w:bottom w:val="none" w:sz="0" w:space="0" w:color="auto"/>
        <w:right w:val="none" w:sz="0" w:space="0" w:color="auto"/>
      </w:divBdr>
      <w:divsChild>
        <w:div w:id="1144277458">
          <w:marLeft w:val="0"/>
          <w:marRight w:val="0"/>
          <w:marTop w:val="0"/>
          <w:marBottom w:val="0"/>
          <w:divBdr>
            <w:top w:val="none" w:sz="0" w:space="0" w:color="auto"/>
            <w:left w:val="none" w:sz="0" w:space="0" w:color="auto"/>
            <w:bottom w:val="none" w:sz="0" w:space="0" w:color="auto"/>
            <w:right w:val="none" w:sz="0" w:space="0" w:color="auto"/>
          </w:divBdr>
          <w:divsChild>
            <w:div w:id="819614971">
              <w:marLeft w:val="0"/>
              <w:marRight w:val="0"/>
              <w:marTop w:val="0"/>
              <w:marBottom w:val="0"/>
              <w:divBdr>
                <w:top w:val="none" w:sz="0" w:space="0" w:color="auto"/>
                <w:left w:val="none" w:sz="0" w:space="0" w:color="auto"/>
                <w:bottom w:val="none" w:sz="0" w:space="0" w:color="auto"/>
                <w:right w:val="none" w:sz="0" w:space="0" w:color="auto"/>
              </w:divBdr>
              <w:divsChild>
                <w:div w:id="20644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26">
      <w:bodyDiv w:val="1"/>
      <w:marLeft w:val="0"/>
      <w:marRight w:val="0"/>
      <w:marTop w:val="0"/>
      <w:marBottom w:val="0"/>
      <w:divBdr>
        <w:top w:val="none" w:sz="0" w:space="0" w:color="auto"/>
        <w:left w:val="none" w:sz="0" w:space="0" w:color="auto"/>
        <w:bottom w:val="none" w:sz="0" w:space="0" w:color="auto"/>
        <w:right w:val="none" w:sz="0" w:space="0" w:color="auto"/>
      </w:divBdr>
    </w:div>
    <w:div w:id="207497643">
      <w:bodyDiv w:val="1"/>
      <w:marLeft w:val="0"/>
      <w:marRight w:val="0"/>
      <w:marTop w:val="0"/>
      <w:marBottom w:val="0"/>
      <w:divBdr>
        <w:top w:val="none" w:sz="0" w:space="0" w:color="auto"/>
        <w:left w:val="none" w:sz="0" w:space="0" w:color="auto"/>
        <w:bottom w:val="none" w:sz="0" w:space="0" w:color="auto"/>
        <w:right w:val="none" w:sz="0" w:space="0" w:color="auto"/>
      </w:divBdr>
    </w:div>
    <w:div w:id="295841766">
      <w:bodyDiv w:val="1"/>
      <w:marLeft w:val="0"/>
      <w:marRight w:val="0"/>
      <w:marTop w:val="0"/>
      <w:marBottom w:val="0"/>
      <w:divBdr>
        <w:top w:val="none" w:sz="0" w:space="0" w:color="auto"/>
        <w:left w:val="none" w:sz="0" w:space="0" w:color="auto"/>
        <w:bottom w:val="none" w:sz="0" w:space="0" w:color="auto"/>
        <w:right w:val="none" w:sz="0" w:space="0" w:color="auto"/>
      </w:divBdr>
      <w:divsChild>
        <w:div w:id="326203211">
          <w:marLeft w:val="0"/>
          <w:marRight w:val="0"/>
          <w:marTop w:val="0"/>
          <w:marBottom w:val="0"/>
          <w:divBdr>
            <w:top w:val="none" w:sz="0" w:space="0" w:color="auto"/>
            <w:left w:val="none" w:sz="0" w:space="0" w:color="auto"/>
            <w:bottom w:val="none" w:sz="0" w:space="0" w:color="auto"/>
            <w:right w:val="none" w:sz="0" w:space="0" w:color="auto"/>
          </w:divBdr>
          <w:divsChild>
            <w:div w:id="919758205">
              <w:marLeft w:val="0"/>
              <w:marRight w:val="0"/>
              <w:marTop w:val="0"/>
              <w:marBottom w:val="0"/>
              <w:divBdr>
                <w:top w:val="none" w:sz="0" w:space="0" w:color="auto"/>
                <w:left w:val="none" w:sz="0" w:space="0" w:color="auto"/>
                <w:bottom w:val="none" w:sz="0" w:space="0" w:color="auto"/>
                <w:right w:val="none" w:sz="0" w:space="0" w:color="auto"/>
              </w:divBdr>
              <w:divsChild>
                <w:div w:id="12314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91929">
      <w:bodyDiv w:val="1"/>
      <w:marLeft w:val="0"/>
      <w:marRight w:val="0"/>
      <w:marTop w:val="0"/>
      <w:marBottom w:val="0"/>
      <w:divBdr>
        <w:top w:val="none" w:sz="0" w:space="0" w:color="auto"/>
        <w:left w:val="none" w:sz="0" w:space="0" w:color="auto"/>
        <w:bottom w:val="none" w:sz="0" w:space="0" w:color="auto"/>
        <w:right w:val="none" w:sz="0" w:space="0" w:color="auto"/>
      </w:divBdr>
      <w:divsChild>
        <w:div w:id="1100105096">
          <w:marLeft w:val="0"/>
          <w:marRight w:val="0"/>
          <w:marTop w:val="0"/>
          <w:marBottom w:val="0"/>
          <w:divBdr>
            <w:top w:val="none" w:sz="0" w:space="0" w:color="auto"/>
            <w:left w:val="none" w:sz="0" w:space="0" w:color="auto"/>
            <w:bottom w:val="none" w:sz="0" w:space="0" w:color="auto"/>
            <w:right w:val="none" w:sz="0" w:space="0" w:color="auto"/>
          </w:divBdr>
          <w:divsChild>
            <w:div w:id="1683823499">
              <w:marLeft w:val="0"/>
              <w:marRight w:val="0"/>
              <w:marTop w:val="0"/>
              <w:marBottom w:val="0"/>
              <w:divBdr>
                <w:top w:val="none" w:sz="0" w:space="0" w:color="auto"/>
                <w:left w:val="none" w:sz="0" w:space="0" w:color="auto"/>
                <w:bottom w:val="none" w:sz="0" w:space="0" w:color="auto"/>
                <w:right w:val="none" w:sz="0" w:space="0" w:color="auto"/>
              </w:divBdr>
              <w:divsChild>
                <w:div w:id="1417359913">
                  <w:marLeft w:val="0"/>
                  <w:marRight w:val="0"/>
                  <w:marTop w:val="0"/>
                  <w:marBottom w:val="0"/>
                  <w:divBdr>
                    <w:top w:val="none" w:sz="0" w:space="0" w:color="auto"/>
                    <w:left w:val="none" w:sz="0" w:space="0" w:color="auto"/>
                    <w:bottom w:val="none" w:sz="0" w:space="0" w:color="auto"/>
                    <w:right w:val="none" w:sz="0" w:space="0" w:color="auto"/>
                  </w:divBdr>
                  <w:divsChild>
                    <w:div w:id="21142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9065">
      <w:bodyDiv w:val="1"/>
      <w:marLeft w:val="0"/>
      <w:marRight w:val="0"/>
      <w:marTop w:val="0"/>
      <w:marBottom w:val="0"/>
      <w:divBdr>
        <w:top w:val="none" w:sz="0" w:space="0" w:color="auto"/>
        <w:left w:val="none" w:sz="0" w:space="0" w:color="auto"/>
        <w:bottom w:val="none" w:sz="0" w:space="0" w:color="auto"/>
        <w:right w:val="none" w:sz="0" w:space="0" w:color="auto"/>
      </w:divBdr>
    </w:div>
    <w:div w:id="530074231">
      <w:bodyDiv w:val="1"/>
      <w:marLeft w:val="0"/>
      <w:marRight w:val="0"/>
      <w:marTop w:val="0"/>
      <w:marBottom w:val="0"/>
      <w:divBdr>
        <w:top w:val="none" w:sz="0" w:space="0" w:color="auto"/>
        <w:left w:val="none" w:sz="0" w:space="0" w:color="auto"/>
        <w:bottom w:val="none" w:sz="0" w:space="0" w:color="auto"/>
        <w:right w:val="none" w:sz="0" w:space="0" w:color="auto"/>
      </w:divBdr>
    </w:div>
    <w:div w:id="563684201">
      <w:bodyDiv w:val="1"/>
      <w:marLeft w:val="0"/>
      <w:marRight w:val="0"/>
      <w:marTop w:val="0"/>
      <w:marBottom w:val="0"/>
      <w:divBdr>
        <w:top w:val="none" w:sz="0" w:space="0" w:color="auto"/>
        <w:left w:val="none" w:sz="0" w:space="0" w:color="auto"/>
        <w:bottom w:val="none" w:sz="0" w:space="0" w:color="auto"/>
        <w:right w:val="none" w:sz="0" w:space="0" w:color="auto"/>
      </w:divBdr>
    </w:div>
    <w:div w:id="598876326">
      <w:bodyDiv w:val="1"/>
      <w:marLeft w:val="0"/>
      <w:marRight w:val="0"/>
      <w:marTop w:val="0"/>
      <w:marBottom w:val="0"/>
      <w:divBdr>
        <w:top w:val="none" w:sz="0" w:space="0" w:color="auto"/>
        <w:left w:val="none" w:sz="0" w:space="0" w:color="auto"/>
        <w:bottom w:val="none" w:sz="0" w:space="0" w:color="auto"/>
        <w:right w:val="none" w:sz="0" w:space="0" w:color="auto"/>
      </w:divBdr>
    </w:div>
    <w:div w:id="654381066">
      <w:bodyDiv w:val="1"/>
      <w:marLeft w:val="0"/>
      <w:marRight w:val="0"/>
      <w:marTop w:val="0"/>
      <w:marBottom w:val="0"/>
      <w:divBdr>
        <w:top w:val="none" w:sz="0" w:space="0" w:color="auto"/>
        <w:left w:val="none" w:sz="0" w:space="0" w:color="auto"/>
        <w:bottom w:val="none" w:sz="0" w:space="0" w:color="auto"/>
        <w:right w:val="none" w:sz="0" w:space="0" w:color="auto"/>
      </w:divBdr>
    </w:div>
    <w:div w:id="681401414">
      <w:bodyDiv w:val="1"/>
      <w:marLeft w:val="0"/>
      <w:marRight w:val="0"/>
      <w:marTop w:val="0"/>
      <w:marBottom w:val="0"/>
      <w:divBdr>
        <w:top w:val="none" w:sz="0" w:space="0" w:color="auto"/>
        <w:left w:val="none" w:sz="0" w:space="0" w:color="auto"/>
        <w:bottom w:val="none" w:sz="0" w:space="0" w:color="auto"/>
        <w:right w:val="none" w:sz="0" w:space="0" w:color="auto"/>
      </w:divBdr>
    </w:div>
    <w:div w:id="752892079">
      <w:bodyDiv w:val="1"/>
      <w:marLeft w:val="0"/>
      <w:marRight w:val="0"/>
      <w:marTop w:val="0"/>
      <w:marBottom w:val="0"/>
      <w:divBdr>
        <w:top w:val="none" w:sz="0" w:space="0" w:color="auto"/>
        <w:left w:val="none" w:sz="0" w:space="0" w:color="auto"/>
        <w:bottom w:val="none" w:sz="0" w:space="0" w:color="auto"/>
        <w:right w:val="none" w:sz="0" w:space="0" w:color="auto"/>
      </w:divBdr>
    </w:div>
    <w:div w:id="769665186">
      <w:bodyDiv w:val="1"/>
      <w:marLeft w:val="0"/>
      <w:marRight w:val="0"/>
      <w:marTop w:val="0"/>
      <w:marBottom w:val="0"/>
      <w:divBdr>
        <w:top w:val="none" w:sz="0" w:space="0" w:color="auto"/>
        <w:left w:val="none" w:sz="0" w:space="0" w:color="auto"/>
        <w:bottom w:val="none" w:sz="0" w:space="0" w:color="auto"/>
        <w:right w:val="none" w:sz="0" w:space="0" w:color="auto"/>
      </w:divBdr>
    </w:div>
    <w:div w:id="789009946">
      <w:bodyDiv w:val="1"/>
      <w:marLeft w:val="0"/>
      <w:marRight w:val="0"/>
      <w:marTop w:val="0"/>
      <w:marBottom w:val="0"/>
      <w:divBdr>
        <w:top w:val="none" w:sz="0" w:space="0" w:color="auto"/>
        <w:left w:val="none" w:sz="0" w:space="0" w:color="auto"/>
        <w:bottom w:val="none" w:sz="0" w:space="0" w:color="auto"/>
        <w:right w:val="none" w:sz="0" w:space="0" w:color="auto"/>
      </w:divBdr>
    </w:div>
    <w:div w:id="797989423">
      <w:bodyDiv w:val="1"/>
      <w:marLeft w:val="0"/>
      <w:marRight w:val="0"/>
      <w:marTop w:val="0"/>
      <w:marBottom w:val="0"/>
      <w:divBdr>
        <w:top w:val="none" w:sz="0" w:space="0" w:color="auto"/>
        <w:left w:val="none" w:sz="0" w:space="0" w:color="auto"/>
        <w:bottom w:val="none" w:sz="0" w:space="0" w:color="auto"/>
        <w:right w:val="none" w:sz="0" w:space="0" w:color="auto"/>
      </w:divBdr>
    </w:div>
    <w:div w:id="877400802">
      <w:bodyDiv w:val="1"/>
      <w:marLeft w:val="0"/>
      <w:marRight w:val="0"/>
      <w:marTop w:val="0"/>
      <w:marBottom w:val="0"/>
      <w:divBdr>
        <w:top w:val="none" w:sz="0" w:space="0" w:color="auto"/>
        <w:left w:val="none" w:sz="0" w:space="0" w:color="auto"/>
        <w:bottom w:val="none" w:sz="0" w:space="0" w:color="auto"/>
        <w:right w:val="none" w:sz="0" w:space="0" w:color="auto"/>
      </w:divBdr>
    </w:div>
    <w:div w:id="892160504">
      <w:bodyDiv w:val="1"/>
      <w:marLeft w:val="0"/>
      <w:marRight w:val="0"/>
      <w:marTop w:val="0"/>
      <w:marBottom w:val="0"/>
      <w:divBdr>
        <w:top w:val="none" w:sz="0" w:space="0" w:color="auto"/>
        <w:left w:val="none" w:sz="0" w:space="0" w:color="auto"/>
        <w:bottom w:val="none" w:sz="0" w:space="0" w:color="auto"/>
        <w:right w:val="none" w:sz="0" w:space="0" w:color="auto"/>
      </w:divBdr>
    </w:div>
    <w:div w:id="1019694479">
      <w:bodyDiv w:val="1"/>
      <w:marLeft w:val="0"/>
      <w:marRight w:val="0"/>
      <w:marTop w:val="0"/>
      <w:marBottom w:val="0"/>
      <w:divBdr>
        <w:top w:val="none" w:sz="0" w:space="0" w:color="auto"/>
        <w:left w:val="none" w:sz="0" w:space="0" w:color="auto"/>
        <w:bottom w:val="none" w:sz="0" w:space="0" w:color="auto"/>
        <w:right w:val="none" w:sz="0" w:space="0" w:color="auto"/>
      </w:divBdr>
    </w:div>
    <w:div w:id="1055662598">
      <w:bodyDiv w:val="1"/>
      <w:marLeft w:val="0"/>
      <w:marRight w:val="0"/>
      <w:marTop w:val="0"/>
      <w:marBottom w:val="0"/>
      <w:divBdr>
        <w:top w:val="none" w:sz="0" w:space="0" w:color="auto"/>
        <w:left w:val="none" w:sz="0" w:space="0" w:color="auto"/>
        <w:bottom w:val="none" w:sz="0" w:space="0" w:color="auto"/>
        <w:right w:val="none" w:sz="0" w:space="0" w:color="auto"/>
      </w:divBdr>
    </w:div>
    <w:div w:id="1060399490">
      <w:bodyDiv w:val="1"/>
      <w:marLeft w:val="0"/>
      <w:marRight w:val="0"/>
      <w:marTop w:val="0"/>
      <w:marBottom w:val="0"/>
      <w:divBdr>
        <w:top w:val="none" w:sz="0" w:space="0" w:color="auto"/>
        <w:left w:val="none" w:sz="0" w:space="0" w:color="auto"/>
        <w:bottom w:val="none" w:sz="0" w:space="0" w:color="auto"/>
        <w:right w:val="none" w:sz="0" w:space="0" w:color="auto"/>
      </w:divBdr>
    </w:div>
    <w:div w:id="1061292511">
      <w:bodyDiv w:val="1"/>
      <w:marLeft w:val="0"/>
      <w:marRight w:val="0"/>
      <w:marTop w:val="0"/>
      <w:marBottom w:val="0"/>
      <w:divBdr>
        <w:top w:val="none" w:sz="0" w:space="0" w:color="auto"/>
        <w:left w:val="none" w:sz="0" w:space="0" w:color="auto"/>
        <w:bottom w:val="none" w:sz="0" w:space="0" w:color="auto"/>
        <w:right w:val="none" w:sz="0" w:space="0" w:color="auto"/>
      </w:divBdr>
    </w:div>
    <w:div w:id="1121994698">
      <w:bodyDiv w:val="1"/>
      <w:marLeft w:val="0"/>
      <w:marRight w:val="0"/>
      <w:marTop w:val="0"/>
      <w:marBottom w:val="0"/>
      <w:divBdr>
        <w:top w:val="none" w:sz="0" w:space="0" w:color="auto"/>
        <w:left w:val="none" w:sz="0" w:space="0" w:color="auto"/>
        <w:bottom w:val="none" w:sz="0" w:space="0" w:color="auto"/>
        <w:right w:val="none" w:sz="0" w:space="0" w:color="auto"/>
      </w:divBdr>
    </w:div>
    <w:div w:id="1220937960">
      <w:bodyDiv w:val="1"/>
      <w:marLeft w:val="0"/>
      <w:marRight w:val="0"/>
      <w:marTop w:val="0"/>
      <w:marBottom w:val="0"/>
      <w:divBdr>
        <w:top w:val="none" w:sz="0" w:space="0" w:color="auto"/>
        <w:left w:val="none" w:sz="0" w:space="0" w:color="auto"/>
        <w:bottom w:val="none" w:sz="0" w:space="0" w:color="auto"/>
        <w:right w:val="none" w:sz="0" w:space="0" w:color="auto"/>
      </w:divBdr>
    </w:div>
    <w:div w:id="1225411678">
      <w:bodyDiv w:val="1"/>
      <w:marLeft w:val="0"/>
      <w:marRight w:val="0"/>
      <w:marTop w:val="0"/>
      <w:marBottom w:val="0"/>
      <w:divBdr>
        <w:top w:val="none" w:sz="0" w:space="0" w:color="auto"/>
        <w:left w:val="none" w:sz="0" w:space="0" w:color="auto"/>
        <w:bottom w:val="none" w:sz="0" w:space="0" w:color="auto"/>
        <w:right w:val="none" w:sz="0" w:space="0" w:color="auto"/>
      </w:divBdr>
    </w:div>
    <w:div w:id="1239749937">
      <w:bodyDiv w:val="1"/>
      <w:marLeft w:val="0"/>
      <w:marRight w:val="0"/>
      <w:marTop w:val="0"/>
      <w:marBottom w:val="0"/>
      <w:divBdr>
        <w:top w:val="none" w:sz="0" w:space="0" w:color="auto"/>
        <w:left w:val="none" w:sz="0" w:space="0" w:color="auto"/>
        <w:bottom w:val="none" w:sz="0" w:space="0" w:color="auto"/>
        <w:right w:val="none" w:sz="0" w:space="0" w:color="auto"/>
      </w:divBdr>
    </w:div>
    <w:div w:id="1331518863">
      <w:bodyDiv w:val="1"/>
      <w:marLeft w:val="0"/>
      <w:marRight w:val="0"/>
      <w:marTop w:val="0"/>
      <w:marBottom w:val="0"/>
      <w:divBdr>
        <w:top w:val="none" w:sz="0" w:space="0" w:color="auto"/>
        <w:left w:val="none" w:sz="0" w:space="0" w:color="auto"/>
        <w:bottom w:val="none" w:sz="0" w:space="0" w:color="auto"/>
        <w:right w:val="none" w:sz="0" w:space="0" w:color="auto"/>
      </w:divBdr>
      <w:divsChild>
        <w:div w:id="1003050712">
          <w:marLeft w:val="0"/>
          <w:marRight w:val="0"/>
          <w:marTop w:val="0"/>
          <w:marBottom w:val="0"/>
          <w:divBdr>
            <w:top w:val="none" w:sz="0" w:space="0" w:color="auto"/>
            <w:left w:val="none" w:sz="0" w:space="0" w:color="auto"/>
            <w:bottom w:val="none" w:sz="0" w:space="0" w:color="auto"/>
            <w:right w:val="none" w:sz="0" w:space="0" w:color="auto"/>
          </w:divBdr>
          <w:divsChild>
            <w:div w:id="393309954">
              <w:marLeft w:val="0"/>
              <w:marRight w:val="0"/>
              <w:marTop w:val="0"/>
              <w:marBottom w:val="0"/>
              <w:divBdr>
                <w:top w:val="none" w:sz="0" w:space="0" w:color="auto"/>
                <w:left w:val="none" w:sz="0" w:space="0" w:color="auto"/>
                <w:bottom w:val="none" w:sz="0" w:space="0" w:color="auto"/>
                <w:right w:val="none" w:sz="0" w:space="0" w:color="auto"/>
              </w:divBdr>
              <w:divsChild>
                <w:div w:id="1046877760">
                  <w:marLeft w:val="0"/>
                  <w:marRight w:val="0"/>
                  <w:marTop w:val="0"/>
                  <w:marBottom w:val="0"/>
                  <w:divBdr>
                    <w:top w:val="none" w:sz="0" w:space="0" w:color="auto"/>
                    <w:left w:val="none" w:sz="0" w:space="0" w:color="auto"/>
                    <w:bottom w:val="none" w:sz="0" w:space="0" w:color="auto"/>
                    <w:right w:val="none" w:sz="0" w:space="0" w:color="auto"/>
                  </w:divBdr>
                  <w:divsChild>
                    <w:div w:id="11791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4248">
      <w:bodyDiv w:val="1"/>
      <w:marLeft w:val="0"/>
      <w:marRight w:val="0"/>
      <w:marTop w:val="0"/>
      <w:marBottom w:val="0"/>
      <w:divBdr>
        <w:top w:val="none" w:sz="0" w:space="0" w:color="auto"/>
        <w:left w:val="none" w:sz="0" w:space="0" w:color="auto"/>
        <w:bottom w:val="none" w:sz="0" w:space="0" w:color="auto"/>
        <w:right w:val="none" w:sz="0" w:space="0" w:color="auto"/>
      </w:divBdr>
      <w:divsChild>
        <w:div w:id="1604536998">
          <w:marLeft w:val="0"/>
          <w:marRight w:val="0"/>
          <w:marTop w:val="0"/>
          <w:marBottom w:val="0"/>
          <w:divBdr>
            <w:top w:val="none" w:sz="0" w:space="0" w:color="auto"/>
            <w:left w:val="none" w:sz="0" w:space="0" w:color="auto"/>
            <w:bottom w:val="none" w:sz="0" w:space="0" w:color="auto"/>
            <w:right w:val="none" w:sz="0" w:space="0" w:color="auto"/>
          </w:divBdr>
          <w:divsChild>
            <w:div w:id="1673755772">
              <w:marLeft w:val="0"/>
              <w:marRight w:val="0"/>
              <w:marTop w:val="0"/>
              <w:marBottom w:val="0"/>
              <w:divBdr>
                <w:top w:val="none" w:sz="0" w:space="0" w:color="auto"/>
                <w:left w:val="none" w:sz="0" w:space="0" w:color="auto"/>
                <w:bottom w:val="none" w:sz="0" w:space="0" w:color="auto"/>
                <w:right w:val="none" w:sz="0" w:space="0" w:color="auto"/>
              </w:divBdr>
              <w:divsChild>
                <w:div w:id="1859346681">
                  <w:marLeft w:val="0"/>
                  <w:marRight w:val="0"/>
                  <w:marTop w:val="0"/>
                  <w:marBottom w:val="0"/>
                  <w:divBdr>
                    <w:top w:val="none" w:sz="0" w:space="0" w:color="auto"/>
                    <w:left w:val="none" w:sz="0" w:space="0" w:color="auto"/>
                    <w:bottom w:val="none" w:sz="0" w:space="0" w:color="auto"/>
                    <w:right w:val="none" w:sz="0" w:space="0" w:color="auto"/>
                  </w:divBdr>
                  <w:divsChild>
                    <w:div w:id="4142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6110">
      <w:bodyDiv w:val="1"/>
      <w:marLeft w:val="0"/>
      <w:marRight w:val="0"/>
      <w:marTop w:val="0"/>
      <w:marBottom w:val="0"/>
      <w:divBdr>
        <w:top w:val="none" w:sz="0" w:space="0" w:color="auto"/>
        <w:left w:val="none" w:sz="0" w:space="0" w:color="auto"/>
        <w:bottom w:val="none" w:sz="0" w:space="0" w:color="auto"/>
        <w:right w:val="none" w:sz="0" w:space="0" w:color="auto"/>
      </w:divBdr>
    </w:div>
    <w:div w:id="1424032254">
      <w:bodyDiv w:val="1"/>
      <w:marLeft w:val="0"/>
      <w:marRight w:val="0"/>
      <w:marTop w:val="0"/>
      <w:marBottom w:val="0"/>
      <w:divBdr>
        <w:top w:val="none" w:sz="0" w:space="0" w:color="auto"/>
        <w:left w:val="none" w:sz="0" w:space="0" w:color="auto"/>
        <w:bottom w:val="none" w:sz="0" w:space="0" w:color="auto"/>
        <w:right w:val="none" w:sz="0" w:space="0" w:color="auto"/>
      </w:divBdr>
    </w:div>
    <w:div w:id="1434980956">
      <w:bodyDiv w:val="1"/>
      <w:marLeft w:val="0"/>
      <w:marRight w:val="0"/>
      <w:marTop w:val="0"/>
      <w:marBottom w:val="0"/>
      <w:divBdr>
        <w:top w:val="none" w:sz="0" w:space="0" w:color="auto"/>
        <w:left w:val="none" w:sz="0" w:space="0" w:color="auto"/>
        <w:bottom w:val="none" w:sz="0" w:space="0" w:color="auto"/>
        <w:right w:val="none" w:sz="0" w:space="0" w:color="auto"/>
      </w:divBdr>
    </w:div>
    <w:div w:id="1479150762">
      <w:bodyDiv w:val="1"/>
      <w:marLeft w:val="0"/>
      <w:marRight w:val="0"/>
      <w:marTop w:val="0"/>
      <w:marBottom w:val="0"/>
      <w:divBdr>
        <w:top w:val="none" w:sz="0" w:space="0" w:color="auto"/>
        <w:left w:val="none" w:sz="0" w:space="0" w:color="auto"/>
        <w:bottom w:val="none" w:sz="0" w:space="0" w:color="auto"/>
        <w:right w:val="none" w:sz="0" w:space="0" w:color="auto"/>
      </w:divBdr>
    </w:div>
    <w:div w:id="1505784025">
      <w:bodyDiv w:val="1"/>
      <w:marLeft w:val="0"/>
      <w:marRight w:val="0"/>
      <w:marTop w:val="0"/>
      <w:marBottom w:val="0"/>
      <w:divBdr>
        <w:top w:val="none" w:sz="0" w:space="0" w:color="auto"/>
        <w:left w:val="none" w:sz="0" w:space="0" w:color="auto"/>
        <w:bottom w:val="none" w:sz="0" w:space="0" w:color="auto"/>
        <w:right w:val="none" w:sz="0" w:space="0" w:color="auto"/>
      </w:divBdr>
    </w:div>
    <w:div w:id="1548831615">
      <w:bodyDiv w:val="1"/>
      <w:marLeft w:val="0"/>
      <w:marRight w:val="0"/>
      <w:marTop w:val="0"/>
      <w:marBottom w:val="0"/>
      <w:divBdr>
        <w:top w:val="none" w:sz="0" w:space="0" w:color="auto"/>
        <w:left w:val="none" w:sz="0" w:space="0" w:color="auto"/>
        <w:bottom w:val="none" w:sz="0" w:space="0" w:color="auto"/>
        <w:right w:val="none" w:sz="0" w:space="0" w:color="auto"/>
      </w:divBdr>
    </w:div>
    <w:div w:id="1559701638">
      <w:bodyDiv w:val="1"/>
      <w:marLeft w:val="0"/>
      <w:marRight w:val="0"/>
      <w:marTop w:val="0"/>
      <w:marBottom w:val="0"/>
      <w:divBdr>
        <w:top w:val="none" w:sz="0" w:space="0" w:color="auto"/>
        <w:left w:val="none" w:sz="0" w:space="0" w:color="auto"/>
        <w:bottom w:val="none" w:sz="0" w:space="0" w:color="auto"/>
        <w:right w:val="none" w:sz="0" w:space="0" w:color="auto"/>
      </w:divBdr>
      <w:divsChild>
        <w:div w:id="1999187520">
          <w:marLeft w:val="0"/>
          <w:marRight w:val="0"/>
          <w:marTop w:val="0"/>
          <w:marBottom w:val="0"/>
          <w:divBdr>
            <w:top w:val="none" w:sz="0" w:space="0" w:color="auto"/>
            <w:left w:val="none" w:sz="0" w:space="0" w:color="auto"/>
            <w:bottom w:val="none" w:sz="0" w:space="0" w:color="auto"/>
            <w:right w:val="none" w:sz="0" w:space="0" w:color="auto"/>
          </w:divBdr>
          <w:divsChild>
            <w:div w:id="1698192981">
              <w:marLeft w:val="0"/>
              <w:marRight w:val="0"/>
              <w:marTop w:val="0"/>
              <w:marBottom w:val="0"/>
              <w:divBdr>
                <w:top w:val="none" w:sz="0" w:space="0" w:color="auto"/>
                <w:left w:val="none" w:sz="0" w:space="0" w:color="auto"/>
                <w:bottom w:val="none" w:sz="0" w:space="0" w:color="auto"/>
                <w:right w:val="none" w:sz="0" w:space="0" w:color="auto"/>
              </w:divBdr>
              <w:divsChild>
                <w:div w:id="2086799647">
                  <w:marLeft w:val="0"/>
                  <w:marRight w:val="0"/>
                  <w:marTop w:val="0"/>
                  <w:marBottom w:val="0"/>
                  <w:divBdr>
                    <w:top w:val="none" w:sz="0" w:space="0" w:color="auto"/>
                    <w:left w:val="none" w:sz="0" w:space="0" w:color="auto"/>
                    <w:bottom w:val="none" w:sz="0" w:space="0" w:color="auto"/>
                    <w:right w:val="none" w:sz="0" w:space="0" w:color="auto"/>
                  </w:divBdr>
                  <w:divsChild>
                    <w:div w:id="4315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09170">
      <w:bodyDiv w:val="1"/>
      <w:marLeft w:val="0"/>
      <w:marRight w:val="0"/>
      <w:marTop w:val="0"/>
      <w:marBottom w:val="0"/>
      <w:divBdr>
        <w:top w:val="none" w:sz="0" w:space="0" w:color="auto"/>
        <w:left w:val="none" w:sz="0" w:space="0" w:color="auto"/>
        <w:bottom w:val="none" w:sz="0" w:space="0" w:color="auto"/>
        <w:right w:val="none" w:sz="0" w:space="0" w:color="auto"/>
      </w:divBdr>
    </w:div>
    <w:div w:id="1650786608">
      <w:bodyDiv w:val="1"/>
      <w:marLeft w:val="0"/>
      <w:marRight w:val="0"/>
      <w:marTop w:val="0"/>
      <w:marBottom w:val="0"/>
      <w:divBdr>
        <w:top w:val="none" w:sz="0" w:space="0" w:color="auto"/>
        <w:left w:val="none" w:sz="0" w:space="0" w:color="auto"/>
        <w:bottom w:val="none" w:sz="0" w:space="0" w:color="auto"/>
        <w:right w:val="none" w:sz="0" w:space="0" w:color="auto"/>
      </w:divBdr>
      <w:divsChild>
        <w:div w:id="117841921">
          <w:marLeft w:val="0"/>
          <w:marRight w:val="0"/>
          <w:marTop w:val="0"/>
          <w:marBottom w:val="0"/>
          <w:divBdr>
            <w:top w:val="none" w:sz="0" w:space="0" w:color="auto"/>
            <w:left w:val="none" w:sz="0" w:space="0" w:color="auto"/>
            <w:bottom w:val="none" w:sz="0" w:space="0" w:color="auto"/>
            <w:right w:val="none" w:sz="0" w:space="0" w:color="auto"/>
          </w:divBdr>
          <w:divsChild>
            <w:div w:id="858003528">
              <w:marLeft w:val="0"/>
              <w:marRight w:val="0"/>
              <w:marTop w:val="0"/>
              <w:marBottom w:val="0"/>
              <w:divBdr>
                <w:top w:val="none" w:sz="0" w:space="0" w:color="auto"/>
                <w:left w:val="none" w:sz="0" w:space="0" w:color="auto"/>
                <w:bottom w:val="none" w:sz="0" w:space="0" w:color="auto"/>
                <w:right w:val="none" w:sz="0" w:space="0" w:color="auto"/>
              </w:divBdr>
              <w:divsChild>
                <w:div w:id="240483124">
                  <w:marLeft w:val="0"/>
                  <w:marRight w:val="0"/>
                  <w:marTop w:val="0"/>
                  <w:marBottom w:val="0"/>
                  <w:divBdr>
                    <w:top w:val="none" w:sz="0" w:space="0" w:color="auto"/>
                    <w:left w:val="none" w:sz="0" w:space="0" w:color="auto"/>
                    <w:bottom w:val="none" w:sz="0" w:space="0" w:color="auto"/>
                    <w:right w:val="none" w:sz="0" w:space="0" w:color="auto"/>
                  </w:divBdr>
                  <w:divsChild>
                    <w:div w:id="289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66610">
      <w:bodyDiv w:val="1"/>
      <w:marLeft w:val="0"/>
      <w:marRight w:val="0"/>
      <w:marTop w:val="0"/>
      <w:marBottom w:val="0"/>
      <w:divBdr>
        <w:top w:val="none" w:sz="0" w:space="0" w:color="auto"/>
        <w:left w:val="none" w:sz="0" w:space="0" w:color="auto"/>
        <w:bottom w:val="none" w:sz="0" w:space="0" w:color="auto"/>
        <w:right w:val="none" w:sz="0" w:space="0" w:color="auto"/>
      </w:divBdr>
    </w:div>
    <w:div w:id="1704746050">
      <w:bodyDiv w:val="1"/>
      <w:marLeft w:val="0"/>
      <w:marRight w:val="0"/>
      <w:marTop w:val="0"/>
      <w:marBottom w:val="0"/>
      <w:divBdr>
        <w:top w:val="none" w:sz="0" w:space="0" w:color="auto"/>
        <w:left w:val="none" w:sz="0" w:space="0" w:color="auto"/>
        <w:bottom w:val="none" w:sz="0" w:space="0" w:color="auto"/>
        <w:right w:val="none" w:sz="0" w:space="0" w:color="auto"/>
      </w:divBdr>
    </w:div>
    <w:div w:id="1707216476">
      <w:bodyDiv w:val="1"/>
      <w:marLeft w:val="0"/>
      <w:marRight w:val="0"/>
      <w:marTop w:val="0"/>
      <w:marBottom w:val="0"/>
      <w:divBdr>
        <w:top w:val="none" w:sz="0" w:space="0" w:color="auto"/>
        <w:left w:val="none" w:sz="0" w:space="0" w:color="auto"/>
        <w:bottom w:val="none" w:sz="0" w:space="0" w:color="auto"/>
        <w:right w:val="none" w:sz="0" w:space="0" w:color="auto"/>
      </w:divBdr>
      <w:divsChild>
        <w:div w:id="10109165">
          <w:marLeft w:val="0"/>
          <w:marRight w:val="0"/>
          <w:marTop w:val="0"/>
          <w:marBottom w:val="0"/>
          <w:divBdr>
            <w:top w:val="none" w:sz="0" w:space="0" w:color="auto"/>
            <w:left w:val="none" w:sz="0" w:space="0" w:color="auto"/>
            <w:bottom w:val="none" w:sz="0" w:space="0" w:color="auto"/>
            <w:right w:val="none" w:sz="0" w:space="0" w:color="auto"/>
          </w:divBdr>
          <w:divsChild>
            <w:div w:id="533466320">
              <w:marLeft w:val="0"/>
              <w:marRight w:val="0"/>
              <w:marTop w:val="0"/>
              <w:marBottom w:val="0"/>
              <w:divBdr>
                <w:top w:val="none" w:sz="0" w:space="0" w:color="auto"/>
                <w:left w:val="none" w:sz="0" w:space="0" w:color="auto"/>
                <w:bottom w:val="none" w:sz="0" w:space="0" w:color="auto"/>
                <w:right w:val="none" w:sz="0" w:space="0" w:color="auto"/>
              </w:divBdr>
              <w:divsChild>
                <w:div w:id="2609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4664">
      <w:bodyDiv w:val="1"/>
      <w:marLeft w:val="0"/>
      <w:marRight w:val="0"/>
      <w:marTop w:val="0"/>
      <w:marBottom w:val="0"/>
      <w:divBdr>
        <w:top w:val="none" w:sz="0" w:space="0" w:color="auto"/>
        <w:left w:val="none" w:sz="0" w:space="0" w:color="auto"/>
        <w:bottom w:val="none" w:sz="0" w:space="0" w:color="auto"/>
        <w:right w:val="none" w:sz="0" w:space="0" w:color="auto"/>
      </w:divBdr>
    </w:div>
    <w:div w:id="1893925837">
      <w:bodyDiv w:val="1"/>
      <w:marLeft w:val="0"/>
      <w:marRight w:val="0"/>
      <w:marTop w:val="0"/>
      <w:marBottom w:val="0"/>
      <w:divBdr>
        <w:top w:val="none" w:sz="0" w:space="0" w:color="auto"/>
        <w:left w:val="none" w:sz="0" w:space="0" w:color="auto"/>
        <w:bottom w:val="none" w:sz="0" w:space="0" w:color="auto"/>
        <w:right w:val="none" w:sz="0" w:space="0" w:color="auto"/>
      </w:divBdr>
      <w:divsChild>
        <w:div w:id="1526089956">
          <w:marLeft w:val="0"/>
          <w:marRight w:val="0"/>
          <w:marTop w:val="0"/>
          <w:marBottom w:val="0"/>
          <w:divBdr>
            <w:top w:val="none" w:sz="0" w:space="0" w:color="auto"/>
            <w:left w:val="none" w:sz="0" w:space="0" w:color="auto"/>
            <w:bottom w:val="none" w:sz="0" w:space="0" w:color="auto"/>
            <w:right w:val="none" w:sz="0" w:space="0" w:color="auto"/>
          </w:divBdr>
          <w:divsChild>
            <w:div w:id="2128886340">
              <w:marLeft w:val="0"/>
              <w:marRight w:val="0"/>
              <w:marTop w:val="0"/>
              <w:marBottom w:val="0"/>
              <w:divBdr>
                <w:top w:val="none" w:sz="0" w:space="0" w:color="auto"/>
                <w:left w:val="none" w:sz="0" w:space="0" w:color="auto"/>
                <w:bottom w:val="none" w:sz="0" w:space="0" w:color="auto"/>
                <w:right w:val="none" w:sz="0" w:space="0" w:color="auto"/>
              </w:divBdr>
              <w:divsChild>
                <w:div w:id="484782343">
                  <w:marLeft w:val="0"/>
                  <w:marRight w:val="0"/>
                  <w:marTop w:val="0"/>
                  <w:marBottom w:val="0"/>
                  <w:divBdr>
                    <w:top w:val="none" w:sz="0" w:space="0" w:color="auto"/>
                    <w:left w:val="none" w:sz="0" w:space="0" w:color="auto"/>
                    <w:bottom w:val="none" w:sz="0" w:space="0" w:color="auto"/>
                    <w:right w:val="none" w:sz="0" w:space="0" w:color="auto"/>
                  </w:divBdr>
                  <w:divsChild>
                    <w:div w:id="8445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4693">
      <w:bodyDiv w:val="1"/>
      <w:marLeft w:val="0"/>
      <w:marRight w:val="0"/>
      <w:marTop w:val="0"/>
      <w:marBottom w:val="0"/>
      <w:divBdr>
        <w:top w:val="none" w:sz="0" w:space="0" w:color="auto"/>
        <w:left w:val="none" w:sz="0" w:space="0" w:color="auto"/>
        <w:bottom w:val="none" w:sz="0" w:space="0" w:color="auto"/>
        <w:right w:val="none" w:sz="0" w:space="0" w:color="auto"/>
      </w:divBdr>
    </w:div>
    <w:div w:id="1967346614">
      <w:bodyDiv w:val="1"/>
      <w:marLeft w:val="0"/>
      <w:marRight w:val="0"/>
      <w:marTop w:val="0"/>
      <w:marBottom w:val="0"/>
      <w:divBdr>
        <w:top w:val="none" w:sz="0" w:space="0" w:color="auto"/>
        <w:left w:val="none" w:sz="0" w:space="0" w:color="auto"/>
        <w:bottom w:val="none" w:sz="0" w:space="0" w:color="auto"/>
        <w:right w:val="none" w:sz="0" w:space="0" w:color="auto"/>
      </w:divBdr>
    </w:div>
    <w:div w:id="1983458059">
      <w:bodyDiv w:val="1"/>
      <w:marLeft w:val="0"/>
      <w:marRight w:val="0"/>
      <w:marTop w:val="0"/>
      <w:marBottom w:val="0"/>
      <w:divBdr>
        <w:top w:val="none" w:sz="0" w:space="0" w:color="auto"/>
        <w:left w:val="none" w:sz="0" w:space="0" w:color="auto"/>
        <w:bottom w:val="none" w:sz="0" w:space="0" w:color="auto"/>
        <w:right w:val="none" w:sz="0" w:space="0" w:color="auto"/>
      </w:divBdr>
    </w:div>
    <w:div w:id="2004550728">
      <w:bodyDiv w:val="1"/>
      <w:marLeft w:val="0"/>
      <w:marRight w:val="0"/>
      <w:marTop w:val="0"/>
      <w:marBottom w:val="0"/>
      <w:divBdr>
        <w:top w:val="none" w:sz="0" w:space="0" w:color="auto"/>
        <w:left w:val="none" w:sz="0" w:space="0" w:color="auto"/>
        <w:bottom w:val="none" w:sz="0" w:space="0" w:color="auto"/>
        <w:right w:val="none" w:sz="0" w:space="0" w:color="auto"/>
      </w:divBdr>
    </w:div>
    <w:div w:id="2015181772">
      <w:bodyDiv w:val="1"/>
      <w:marLeft w:val="0"/>
      <w:marRight w:val="0"/>
      <w:marTop w:val="0"/>
      <w:marBottom w:val="0"/>
      <w:divBdr>
        <w:top w:val="none" w:sz="0" w:space="0" w:color="auto"/>
        <w:left w:val="none" w:sz="0" w:space="0" w:color="auto"/>
        <w:bottom w:val="none" w:sz="0" w:space="0" w:color="auto"/>
        <w:right w:val="none" w:sz="0" w:space="0" w:color="auto"/>
      </w:divBdr>
    </w:div>
    <w:div w:id="2075544220">
      <w:bodyDiv w:val="1"/>
      <w:marLeft w:val="0"/>
      <w:marRight w:val="0"/>
      <w:marTop w:val="0"/>
      <w:marBottom w:val="0"/>
      <w:divBdr>
        <w:top w:val="none" w:sz="0" w:space="0" w:color="auto"/>
        <w:left w:val="none" w:sz="0" w:space="0" w:color="auto"/>
        <w:bottom w:val="none" w:sz="0" w:space="0" w:color="auto"/>
        <w:right w:val="none" w:sz="0" w:space="0" w:color="auto"/>
      </w:divBdr>
      <w:divsChild>
        <w:div w:id="904947642">
          <w:marLeft w:val="0"/>
          <w:marRight w:val="0"/>
          <w:marTop w:val="0"/>
          <w:marBottom w:val="0"/>
          <w:divBdr>
            <w:top w:val="none" w:sz="0" w:space="0" w:color="auto"/>
            <w:left w:val="none" w:sz="0" w:space="0" w:color="auto"/>
            <w:bottom w:val="none" w:sz="0" w:space="0" w:color="auto"/>
            <w:right w:val="none" w:sz="0" w:space="0" w:color="auto"/>
          </w:divBdr>
          <w:divsChild>
            <w:div w:id="1996913888">
              <w:marLeft w:val="0"/>
              <w:marRight w:val="0"/>
              <w:marTop w:val="0"/>
              <w:marBottom w:val="0"/>
              <w:divBdr>
                <w:top w:val="none" w:sz="0" w:space="0" w:color="auto"/>
                <w:left w:val="none" w:sz="0" w:space="0" w:color="auto"/>
                <w:bottom w:val="none" w:sz="0" w:space="0" w:color="auto"/>
                <w:right w:val="none" w:sz="0" w:space="0" w:color="auto"/>
              </w:divBdr>
              <w:divsChild>
                <w:div w:id="928125709">
                  <w:marLeft w:val="0"/>
                  <w:marRight w:val="0"/>
                  <w:marTop w:val="0"/>
                  <w:marBottom w:val="0"/>
                  <w:divBdr>
                    <w:top w:val="none" w:sz="0" w:space="0" w:color="auto"/>
                    <w:left w:val="none" w:sz="0" w:space="0" w:color="auto"/>
                    <w:bottom w:val="none" w:sz="0" w:space="0" w:color="auto"/>
                    <w:right w:val="none" w:sz="0" w:space="0" w:color="auto"/>
                  </w:divBdr>
                  <w:divsChild>
                    <w:div w:id="1149440496">
                      <w:marLeft w:val="0"/>
                      <w:marRight w:val="0"/>
                      <w:marTop w:val="0"/>
                      <w:marBottom w:val="0"/>
                      <w:divBdr>
                        <w:top w:val="none" w:sz="0" w:space="0" w:color="auto"/>
                        <w:left w:val="none" w:sz="0" w:space="0" w:color="auto"/>
                        <w:bottom w:val="none" w:sz="0" w:space="0" w:color="auto"/>
                        <w:right w:val="none" w:sz="0" w:space="0" w:color="auto"/>
                      </w:divBdr>
                    </w:div>
                  </w:divsChild>
                </w:div>
                <w:div w:id="1575629876">
                  <w:marLeft w:val="0"/>
                  <w:marRight w:val="0"/>
                  <w:marTop w:val="0"/>
                  <w:marBottom w:val="0"/>
                  <w:divBdr>
                    <w:top w:val="none" w:sz="0" w:space="0" w:color="auto"/>
                    <w:left w:val="none" w:sz="0" w:space="0" w:color="auto"/>
                    <w:bottom w:val="none" w:sz="0" w:space="0" w:color="auto"/>
                    <w:right w:val="none" w:sz="0" w:space="0" w:color="auto"/>
                  </w:divBdr>
                  <w:divsChild>
                    <w:div w:id="1493376795">
                      <w:marLeft w:val="0"/>
                      <w:marRight w:val="0"/>
                      <w:marTop w:val="0"/>
                      <w:marBottom w:val="0"/>
                      <w:divBdr>
                        <w:top w:val="none" w:sz="0" w:space="0" w:color="auto"/>
                        <w:left w:val="none" w:sz="0" w:space="0" w:color="auto"/>
                        <w:bottom w:val="none" w:sz="0" w:space="0" w:color="auto"/>
                        <w:right w:val="none" w:sz="0" w:space="0" w:color="auto"/>
                      </w:divBdr>
                    </w:div>
                  </w:divsChild>
                </w:div>
                <w:div w:id="449395656">
                  <w:marLeft w:val="0"/>
                  <w:marRight w:val="0"/>
                  <w:marTop w:val="0"/>
                  <w:marBottom w:val="0"/>
                  <w:divBdr>
                    <w:top w:val="none" w:sz="0" w:space="0" w:color="auto"/>
                    <w:left w:val="none" w:sz="0" w:space="0" w:color="auto"/>
                    <w:bottom w:val="none" w:sz="0" w:space="0" w:color="auto"/>
                    <w:right w:val="none" w:sz="0" w:space="0" w:color="auto"/>
                  </w:divBdr>
                  <w:divsChild>
                    <w:div w:id="10735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194">
              <w:marLeft w:val="0"/>
              <w:marRight w:val="0"/>
              <w:marTop w:val="0"/>
              <w:marBottom w:val="0"/>
              <w:divBdr>
                <w:top w:val="none" w:sz="0" w:space="0" w:color="auto"/>
                <w:left w:val="none" w:sz="0" w:space="0" w:color="auto"/>
                <w:bottom w:val="none" w:sz="0" w:space="0" w:color="auto"/>
                <w:right w:val="none" w:sz="0" w:space="0" w:color="auto"/>
              </w:divBdr>
              <w:divsChild>
                <w:div w:id="11277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1206">
      <w:bodyDiv w:val="1"/>
      <w:marLeft w:val="0"/>
      <w:marRight w:val="0"/>
      <w:marTop w:val="0"/>
      <w:marBottom w:val="0"/>
      <w:divBdr>
        <w:top w:val="none" w:sz="0" w:space="0" w:color="auto"/>
        <w:left w:val="none" w:sz="0" w:space="0" w:color="auto"/>
        <w:bottom w:val="none" w:sz="0" w:space="0" w:color="auto"/>
        <w:right w:val="none" w:sz="0" w:space="0" w:color="auto"/>
      </w:divBdr>
    </w:div>
    <w:div w:id="2120105180">
      <w:bodyDiv w:val="1"/>
      <w:marLeft w:val="0"/>
      <w:marRight w:val="0"/>
      <w:marTop w:val="0"/>
      <w:marBottom w:val="0"/>
      <w:divBdr>
        <w:top w:val="none" w:sz="0" w:space="0" w:color="auto"/>
        <w:left w:val="none" w:sz="0" w:space="0" w:color="auto"/>
        <w:bottom w:val="none" w:sz="0" w:space="0" w:color="auto"/>
        <w:right w:val="none" w:sz="0" w:space="0" w:color="auto"/>
      </w:divBdr>
      <w:divsChild>
        <w:div w:id="1846287715">
          <w:marLeft w:val="0"/>
          <w:marRight w:val="0"/>
          <w:marTop w:val="0"/>
          <w:marBottom w:val="0"/>
          <w:divBdr>
            <w:top w:val="none" w:sz="0" w:space="0" w:color="auto"/>
            <w:left w:val="none" w:sz="0" w:space="0" w:color="auto"/>
            <w:bottom w:val="none" w:sz="0" w:space="0" w:color="auto"/>
            <w:right w:val="none" w:sz="0" w:space="0" w:color="auto"/>
          </w:divBdr>
          <w:divsChild>
            <w:div w:id="1753500480">
              <w:marLeft w:val="0"/>
              <w:marRight w:val="0"/>
              <w:marTop w:val="0"/>
              <w:marBottom w:val="0"/>
              <w:divBdr>
                <w:top w:val="none" w:sz="0" w:space="0" w:color="auto"/>
                <w:left w:val="none" w:sz="0" w:space="0" w:color="auto"/>
                <w:bottom w:val="none" w:sz="0" w:space="0" w:color="auto"/>
                <w:right w:val="none" w:sz="0" w:space="0" w:color="auto"/>
              </w:divBdr>
              <w:divsChild>
                <w:div w:id="589387151">
                  <w:marLeft w:val="0"/>
                  <w:marRight w:val="0"/>
                  <w:marTop w:val="0"/>
                  <w:marBottom w:val="0"/>
                  <w:divBdr>
                    <w:top w:val="none" w:sz="0" w:space="0" w:color="auto"/>
                    <w:left w:val="none" w:sz="0" w:space="0" w:color="auto"/>
                    <w:bottom w:val="none" w:sz="0" w:space="0" w:color="auto"/>
                    <w:right w:val="none" w:sz="0" w:space="0" w:color="auto"/>
                  </w:divBdr>
                  <w:divsChild>
                    <w:div w:id="4398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49241-59DC-CD4E-B6CB-6EF57F38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Mehkri</dc:creator>
  <cp:keywords/>
  <dc:description/>
  <cp:lastModifiedBy>Sarah Mehkri</cp:lastModifiedBy>
  <cp:revision>1851</cp:revision>
  <cp:lastPrinted>2021-12-22T20:39:00Z</cp:lastPrinted>
  <dcterms:created xsi:type="dcterms:W3CDTF">2021-12-22T18:27:00Z</dcterms:created>
  <dcterms:modified xsi:type="dcterms:W3CDTF">2022-01-05T20:30:00Z</dcterms:modified>
</cp:coreProperties>
</file>