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Prompt</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Background: you are a bioinformatic specialist. you are researching in cryomicroneedle (cryoMN) technology which is an advanced microneedle (MN) technology specifically designed for intradermal/transdermal delivery of living cells. This technology is achieved through shaping the cryogenic medium containing the cell payloads in the MN template through fast or gradient freezing. The low temperature solidifies the solution into cryoMNs, providing integrity and strength for penetrating the stratum corneum. The cryogenic solution protects cells from low temperature damage. When applied into the skin, the ice-based needle tips on cryoMNs would thaw within 10 seconds and release the payloads into the skin. Clearly, the key component of cryoMN is the cryogenic formulation that decides the structural and functional integrity of cell during cryopreservation and storage. It also determines the mechanical strength of MNs to puncture the skin. Currently, all cryoMN formulations contain Dimethyl sulfoxide (DMSO), a gold standard cryoprotectant since its introduction to cryopreservation protocols in 1959. However, the inherent cell toxicity of DMSO obstructs its clinical adoption, particularly for cell-based therapeutics. DMSO has been identified to cause embryonic stem cell differentiation, epigenetic change in hepatic microtissues, as well as cardiac arrest. Cytotoxicity aside, DMSO would also cause structural instability in cryomicroneedle. As a freezing point depressant, at just 6% DMSO in phosphate-buffered saline (PBS), the needle itself would be a slurry, losing the mechanical strength to penetrate skin. Driven by the need in the cell preservation, there have been tremendous effects to develop low-toxicity and effective CPAs to replace DMSO. This brings promising candidates including Glycerol, sugars (like trehalose), sugar alcohols (like mannitol, xylitol), polymers (PVP), amino acids (proline, isoleucine), Ectoin, glycerol, and Deep Eutectic Solvents (DES). </w:t>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However, it is still a question whether any of these formulations is suitable for cryoMN, given that it must provide cell protection with low toxicity and enough mechanical strength.  </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Therefore, you want to understand how each ingredient (i.e. glycerol, trehalose, DMSO, mannitol, etc.) affect the performance of the cryoprotective solution as well as the feasibility of incorporating in the cryoMN fabrication, so that you can optimize the concentration of each ingredient logically to achieve maximum viability while maintaining machanical strength required by the cryoMN. Of course, this question can be answered through wet lab experiments using tens of thousands of different formulation combination. Unfortunately, due to the slow experiment process and expensive man labour attached, you are looking to use artificial intelligence agents and machine learning models to optimize the cryoprotective solution formulation faster. You have so far reviewed literature and create a library of different formulations and their characteristics, which you summarized in the CSV file attached. And for now, you are only considering a) minimizing DMSO usage, and b) maximizing viability, as your optimization target. </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 need you to do: find out what would be the best machine learning approach to meet your optimization target. Write a document detailing the steps. </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Conditions: </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Suitable for the amount of data provided in CSV file. </w:t>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Even though there are many ingredients in the CSV file, your optimized cryoprotective solution should have no more than 10 different ingredient; you should not count culture media as a separate variable. </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Limited amount of wet lab experiment can be carried out to validate your model's predicted formula's viability. </w:t>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The initial model trained on your reviewed literature data should be able to evolve following the result of each validation experiment.</w:t>
      </w:r>
    </w:p>
    <w:p w:rsidR="00000000" w:rsidDel="00000000" w:rsidP="00000000" w:rsidRDefault="00000000" w:rsidRPr="00000000" w14:paraId="0000000B">
      <w:pPr>
        <w:pStyle w:val="Heading3"/>
        <w:spacing w:before="0" w:line="275.9999942779541" w:lineRule="auto"/>
        <w:rPr>
          <w:rFonts w:ascii="Georgia" w:cs="Georgia" w:eastAsia="Georgia" w:hAnsi="Georgia"/>
        </w:rPr>
      </w:pPr>
      <w:bookmarkStart w:colFirst="0" w:colLast="0" w:name="_ad36yey48kpd" w:id="0"/>
      <w:bookmarkEnd w:id="0"/>
      <w:r w:rsidDel="00000000" w:rsidR="00000000" w:rsidRPr="00000000">
        <w:rPr>
          <w:rtl w:val="0"/>
        </w:rPr>
      </w:r>
    </w:p>
    <w:p w:rsidR="00000000" w:rsidDel="00000000" w:rsidP="00000000" w:rsidRDefault="00000000" w:rsidRPr="00000000" w14:paraId="0000000C">
      <w:pPr>
        <w:pStyle w:val="Heading1"/>
        <w:spacing w:before="0" w:line="275.9999942779541" w:lineRule="auto"/>
        <w:rPr/>
      </w:pPr>
      <w:bookmarkStart w:colFirst="0" w:colLast="0" w:name="_px7ejchud0u" w:id="1"/>
      <w:bookmarkEnd w:id="1"/>
      <w:r w:rsidDel="00000000" w:rsidR="00000000" w:rsidRPr="00000000">
        <w:rPr>
          <w:rtl w:val="0"/>
        </w:rPr>
        <w:t xml:space="preserve">Integrated Multi-Objective Bayesian Optimization and Active Learning Framework for the Development of DMSO-Free Cryoprotective Formulations in Cell-Laden Cryomicroneedle Systems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paradigm of transdermal cell delivery has been fundamentally altered by the advent of cryomicroneedle (cryoMN) technology, a sophisticated platform that facilitates the intradermal administration of viable cell payloads through the use of solidified ice-based delivery vectors.</w:t>
      </w:r>
      <w:r w:rsidDel="00000000" w:rsidR="00000000" w:rsidRPr="00000000">
        <w:rPr>
          <w:rFonts w:ascii="Georgia" w:cs="Georgia" w:eastAsia="Georgia" w:hAnsi="Georgia"/>
          <w:sz w:val="24"/>
          <w:szCs w:val="24"/>
          <w:vertAlign w:val="superscript"/>
          <w:rtl w:val="0"/>
        </w:rPr>
        <w:t xml:space="preserve">1</w:t>
      </w:r>
      <w:r w:rsidDel="00000000" w:rsidR="00000000" w:rsidRPr="00000000">
        <w:rPr>
          <w:rFonts w:ascii="Georgia" w:cs="Georgia" w:eastAsia="Georgia" w:hAnsi="Georgia"/>
          <w:rtl w:val="0"/>
        </w:rPr>
        <w:t xml:space="preserve"> Unlike traditional polymer-based or dissolving microneedles that may subject sensitive biological cargoes to heat, organic solvents, or dehydration during fabrication, cryoMNs utilize the cryogenic medium itself as the structural matrix.</w:t>
      </w:r>
      <w:r w:rsidDel="00000000" w:rsidR="00000000" w:rsidRPr="00000000">
        <w:rPr>
          <w:rFonts w:ascii="Georgia" w:cs="Georgia" w:eastAsia="Georgia" w:hAnsi="Georgia"/>
          <w:sz w:val="24"/>
          <w:szCs w:val="24"/>
          <w:vertAlign w:val="superscript"/>
          <w:rtl w:val="0"/>
        </w:rPr>
        <w:t xml:space="preserve">1</w:t>
      </w:r>
      <w:r w:rsidDel="00000000" w:rsidR="00000000" w:rsidRPr="00000000">
        <w:rPr>
          <w:rFonts w:ascii="Georgia" w:cs="Georgia" w:eastAsia="Georgia" w:hAnsi="Georgia"/>
          <w:rtl w:val="0"/>
        </w:rPr>
        <w:t xml:space="preserve"> This technology is achieved through the precise shaping of a cryogenic solution—containing the cellular payload—within a microneedle template through rapid or gradient freezing protocols.</w:t>
      </w:r>
      <w:r w:rsidDel="00000000" w:rsidR="00000000" w:rsidRPr="00000000">
        <w:rPr>
          <w:rFonts w:ascii="Georgia" w:cs="Georgia" w:eastAsia="Georgia" w:hAnsi="Georgia"/>
          <w:sz w:val="24"/>
          <w:szCs w:val="24"/>
          <w:vertAlign w:val="superscript"/>
          <w:rtl w:val="0"/>
        </w:rPr>
        <w:t xml:space="preserve">1</w:t>
      </w:r>
      <w:r w:rsidDel="00000000" w:rsidR="00000000" w:rsidRPr="00000000">
        <w:rPr>
          <w:rFonts w:ascii="Georgia" w:cs="Georgia" w:eastAsia="Georgia" w:hAnsi="Georgia"/>
          <w:rtl w:val="0"/>
        </w:rPr>
        <w:t xml:space="preserve"> The low-temperature environment solidifies the solution, imparting the necessary mechanical integrity and axial strength required to successfully penetrate the stratum corneum, the skin's primary barrier.</w:t>
      </w:r>
      <w:r w:rsidDel="00000000" w:rsidR="00000000" w:rsidRPr="00000000">
        <w:rPr>
          <w:rFonts w:ascii="Georgia" w:cs="Georgia" w:eastAsia="Georgia" w:hAnsi="Georgia"/>
          <w:sz w:val="24"/>
          <w:szCs w:val="24"/>
          <w:vertAlign w:val="superscript"/>
          <w:rtl w:val="0"/>
        </w:rPr>
        <w:t xml:space="preserve">1</w:t>
      </w:r>
      <w:r w:rsidDel="00000000" w:rsidR="00000000" w:rsidRPr="00000000">
        <w:rPr>
          <w:rFonts w:ascii="Georgia" w:cs="Georgia" w:eastAsia="Georgia" w:hAnsi="Georgia"/>
          <w:rtl w:val="0"/>
        </w:rPr>
        <w:t xml:space="preserve"> Once inserted, these ice-based tips undergo rapid phase transition, thawing within approximately 10 seconds to release the therapeutic cells directly into the viable dermal layers.</w:t>
      </w:r>
      <w:r w:rsidDel="00000000" w:rsidR="00000000" w:rsidRPr="00000000">
        <w:rPr>
          <w:rFonts w:ascii="Georgia" w:cs="Georgia" w:eastAsia="Georgia" w:hAnsi="Georgia"/>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critical engineering bottleneck for cryoMN systems lies in the formulation of the cryoprotective agent (CPA) solution. This formulation serves a dual purpose: first, it must provide comprehensive protection against the lethal stresses of freezing and thawing to maintain the structural and functional integrity of the cell payload; second, it must ensure that the frozen matrix remains sufficiently rigid to facilitate skin puncture.</w:t>
      </w:r>
      <w:r w:rsidDel="00000000" w:rsidR="00000000" w:rsidRPr="00000000">
        <w:rPr>
          <w:rFonts w:ascii="Georgia" w:cs="Georgia" w:eastAsia="Georgia" w:hAnsi="Georgia"/>
          <w:sz w:val="24"/>
          <w:szCs w:val="24"/>
          <w:vertAlign w:val="superscript"/>
          <w:rtl w:val="0"/>
        </w:rPr>
        <w:t xml:space="preserve">3</w:t>
      </w:r>
      <w:r w:rsidDel="00000000" w:rsidR="00000000" w:rsidRPr="00000000">
        <w:rPr>
          <w:rFonts w:ascii="Georgia" w:cs="Georgia" w:eastAsia="Georgia" w:hAnsi="Georgia"/>
          <w:rtl w:val="0"/>
        </w:rPr>
        <w:t xml:space="preserve"> Historically, dimethyl sulfoxide (DMSO) has served as the gold-standard cryoprotectant due to its potent ability to depress the freezing point and prevent intracellular ice formation.</w:t>
      </w:r>
      <w:r w:rsidDel="00000000" w:rsidR="00000000" w:rsidRPr="00000000">
        <w:rPr>
          <w:rFonts w:ascii="Georgia" w:cs="Georgia" w:eastAsia="Georgia" w:hAnsi="Georgia"/>
          <w:sz w:val="24"/>
          <w:szCs w:val="24"/>
          <w:vertAlign w:val="superscript"/>
          <w:rtl w:val="0"/>
        </w:rPr>
        <w:t xml:space="preserve">5</w:t>
      </w:r>
      <w:r w:rsidDel="00000000" w:rsidR="00000000" w:rsidRPr="00000000">
        <w:rPr>
          <w:rFonts w:ascii="Georgia" w:cs="Georgia" w:eastAsia="Georgia" w:hAnsi="Georgia"/>
          <w:rtl w:val="0"/>
        </w:rPr>
        <w:t xml:space="preserve"> However, the clinical utility of DMSO is severely constrained by its inherent cytotoxicity, which can trigger unwanted embryonic stem cell differentiation, epigenetic changes in hepatic microtissues, and even systemic cardiac arrest.</w:t>
      </w:r>
      <w:r w:rsidDel="00000000" w:rsidR="00000000" w:rsidRPr="00000000">
        <w:rPr>
          <w:rFonts w:ascii="Georgia" w:cs="Georgia" w:eastAsia="Georgia" w:hAnsi="Georgia"/>
          <w:sz w:val="24"/>
          <w:szCs w:val="24"/>
          <w:vertAlign w:val="superscript"/>
          <w:rtl w:val="0"/>
        </w:rPr>
        <w:t xml:space="preserve">3</w:t>
      </w:r>
      <w:r w:rsidDel="00000000" w:rsidR="00000000" w:rsidRPr="00000000">
        <w:rPr>
          <w:rFonts w:ascii="Georgia" w:cs="Georgia" w:eastAsia="Georgia" w:hAnsi="Georgia"/>
          <w:rtl w:val="0"/>
        </w:rPr>
        <w:t xml:space="preserve"> Furthermore, from a materials science perspective, DMSO acts as a significant freezing point depressant; at concentrations as low as 6% in phosphate-buffered saline (PBS), the microneedle structure transitions from a rigid solid to a semi-liquid slurry, losing the requisite mechanical strength for skin penetration.</w:t>
      </w:r>
      <w:r w:rsidDel="00000000" w:rsidR="00000000" w:rsidRPr="00000000">
        <w:rPr>
          <w:rFonts w:ascii="Georgia" w:cs="Georgia" w:eastAsia="Georgia" w:hAnsi="Georgia"/>
          <w:sz w:val="24"/>
          <w:szCs w:val="24"/>
          <w:vertAlign w:val="superscript"/>
          <w:rtl w:val="0"/>
        </w:rPr>
        <w:t xml:space="preserve">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To resolve this conflict between cryoprotective efficacy and mechanical robustness, there is an urgent need to transition toward DMSO-free or low-DMSO formulations incorporating alternative agents such as trehalose, glycerol, mannitol, xylitol, and compatible solutes like ectoine and proline.</w:t>
      </w:r>
      <w:r w:rsidDel="00000000" w:rsidR="00000000" w:rsidRPr="00000000">
        <w:rPr>
          <w:rFonts w:ascii="Georgia" w:cs="Georgia" w:eastAsia="Georgia" w:hAnsi="Georgia"/>
          <w:sz w:val="24"/>
          <w:szCs w:val="24"/>
          <w:vertAlign w:val="superscript"/>
          <w:rtl w:val="0"/>
        </w:rPr>
        <w:t xml:space="preserve">3</w:t>
      </w:r>
      <w:r w:rsidDel="00000000" w:rsidR="00000000" w:rsidRPr="00000000">
        <w:rPr>
          <w:rFonts w:ascii="Georgia" w:cs="Georgia" w:eastAsia="Georgia" w:hAnsi="Georgia"/>
          <w:rtl w:val="0"/>
        </w:rPr>
        <w:t xml:space="preserve"> Given the near-infinite combinatorial space of multi-component CPA cocktails, traditional empirical "trial-and-error" experimentation is prohibitively slow and expensive.</w:t>
      </w:r>
      <w:r w:rsidDel="00000000" w:rsidR="00000000" w:rsidRPr="00000000">
        <w:rPr>
          <w:rFonts w:ascii="Georgia" w:cs="Georgia" w:eastAsia="Georgia" w:hAnsi="Georgia"/>
          <w:sz w:val="24"/>
          <w:szCs w:val="24"/>
          <w:vertAlign w:val="superscript"/>
          <w:rtl w:val="0"/>
        </w:rPr>
        <w:t xml:space="preserve">11</w:t>
      </w:r>
      <w:r w:rsidDel="00000000" w:rsidR="00000000" w:rsidRPr="00000000">
        <w:rPr>
          <w:rFonts w:ascii="Georgia" w:cs="Georgia" w:eastAsia="Georgia" w:hAnsi="Georgia"/>
          <w:rtl w:val="0"/>
        </w:rPr>
        <w:t xml:space="preserve"> Therefore, the application of advanced machine learning (ML) architectures—specifically Constrained Multi-Objective Bayesian Optimization (CMOBO) coupled with active learning loops—represents the most viable pathway for the accelerated discovery and optimization of high-performance, mechanically stable, and non-toxic cryogenic formulations.</w:t>
      </w:r>
      <w:r w:rsidDel="00000000" w:rsidR="00000000" w:rsidRPr="00000000">
        <w:rPr>
          <w:rFonts w:ascii="Georgia" w:cs="Georgia" w:eastAsia="Georgia" w:hAnsi="Georgia"/>
          <w:sz w:val="24"/>
          <w:szCs w:val="24"/>
          <w:vertAlign w:val="superscript"/>
          <w:rtl w:val="0"/>
        </w:rPr>
        <w:t xml:space="preserve">14</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Biophysical Mechanisms of Cryoprotection and Mechanical Failure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A nuanced understanding of the biophysical interactions between CPAs, water, and cellular components is essential to inform the constraints of any machine learning model. CPAs are broadly categorized based on their ability to permeate the cell membrane, each offering distinct protective benefits.</w:t>
      </w:r>
      <w:r w:rsidDel="00000000" w:rsidR="00000000" w:rsidRPr="00000000">
        <w:rPr>
          <w:rFonts w:ascii="Georgia" w:cs="Georgia" w:eastAsia="Georgia" w:hAnsi="Georgia"/>
          <w:sz w:val="24"/>
          <w:szCs w:val="24"/>
          <w:vertAlign w:val="superscript"/>
          <w:rtl w:val="0"/>
        </w:rPr>
        <w:t xml:space="preserve">5</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Penetrating Cryoprotectants and the Water Replacement Hypothesis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Penetrating CPAs, such as DMSO, glycerol, ethylene glycol (EG), and propylene glycol (PG), are characterized by low molecular weights—typically less than 100 Daltons—allowing them to cross lipid bilayers efficiently.</w:t>
      </w:r>
      <w:r w:rsidDel="00000000" w:rsidR="00000000" w:rsidRPr="00000000">
        <w:rPr>
          <w:rFonts w:ascii="Georgia" w:cs="Georgia" w:eastAsia="Georgia" w:hAnsi="Georgia"/>
          <w:sz w:val="24"/>
          <w:szCs w:val="24"/>
          <w:vertAlign w:val="superscript"/>
          <w:rtl w:val="0"/>
        </w:rPr>
        <w:t xml:space="preserve">5</w:t>
      </w:r>
      <w:r w:rsidDel="00000000" w:rsidR="00000000" w:rsidRPr="00000000">
        <w:rPr>
          <w:rFonts w:ascii="Georgia" w:cs="Georgia" w:eastAsia="Georgia" w:hAnsi="Georgia"/>
          <w:rtl w:val="0"/>
        </w:rPr>
        <w:t xml:space="preserve"> Once inside the cell, these molecules replace intracellular water, thereby lowering the concentration of electrolytes and other solutes that would otherwise reach toxic levels as water is sequestered into ice crystals.</w:t>
      </w:r>
      <w:r w:rsidDel="00000000" w:rsidR="00000000" w:rsidRPr="00000000">
        <w:rPr>
          <w:rFonts w:ascii="Georgia" w:cs="Georgia" w:eastAsia="Georgia" w:hAnsi="Georgia"/>
          <w:sz w:val="24"/>
          <w:szCs w:val="24"/>
          <w:vertAlign w:val="superscript"/>
          <w:rtl w:val="0"/>
        </w:rPr>
        <w:t xml:space="preserve">5</w:t>
      </w:r>
      <w:r w:rsidDel="00000000" w:rsidR="00000000" w:rsidRPr="00000000">
        <w:rPr>
          <w:rFonts w:ascii="Georgia" w:cs="Georgia" w:eastAsia="Georgia" w:hAnsi="Georgia"/>
          <w:rtl w:val="0"/>
        </w:rPr>
        <w:t xml:space="preserve"> This mechanism, often referred to as the water replacement hypothesis, prevents the lethal formation of intracellular ice by disrupting the tetrahedral hydrogen-bonding network of water.</w:t>
      </w:r>
      <w:r w:rsidDel="00000000" w:rsidR="00000000" w:rsidRPr="00000000">
        <w:rPr>
          <w:rFonts w:ascii="Georgia" w:cs="Georgia" w:eastAsia="Georgia" w:hAnsi="Georgia"/>
          <w:sz w:val="24"/>
          <w:szCs w:val="24"/>
          <w:vertAlign w:val="superscript"/>
          <w:rtl w:val="0"/>
        </w:rPr>
        <w:t xml:space="preserve">17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However, the efficacy of penetrating agents is highly concentration-dependent and cell-type specific. Data indicates that while 10% DMSO often yields high viability, it remains the primary source of clinical toxicity.</w:t>
      </w:r>
      <w:r w:rsidDel="00000000" w:rsidR="00000000" w:rsidRPr="00000000">
        <w:rPr>
          <w:rFonts w:ascii="Georgia" w:cs="Georgia" w:eastAsia="Georgia" w:hAnsi="Georgia"/>
          <w:sz w:val="24"/>
          <w:szCs w:val="24"/>
          <w:vertAlign w:val="superscript"/>
          <w:rtl w:val="0"/>
        </w:rPr>
        <w:t xml:space="preserve">3</w:t>
      </w:r>
      <w:r w:rsidDel="00000000" w:rsidR="00000000" w:rsidRPr="00000000">
        <w:rPr>
          <w:rFonts w:ascii="Georgia" w:cs="Georgia" w:eastAsia="Georgia" w:hAnsi="Georgia"/>
          <w:rtl w:val="0"/>
        </w:rPr>
        <w:t xml:space="preserve"> Glycerol, while less toxic, often requires higher concentrations (20-40 wt%) for effective protection of certain cell types like red blood cells or adipose-derived stem cells (ADSCs), but its efficiency can be enhanced when combined with non-penetrating agents.</w:t>
      </w:r>
      <w:r w:rsidDel="00000000" w:rsidR="00000000" w:rsidRPr="00000000">
        <w:rPr>
          <w:rFonts w:ascii="Georgia" w:cs="Georgia" w:eastAsia="Georgia" w:hAnsi="Georgia"/>
          <w:sz w:val="24"/>
          <w:szCs w:val="24"/>
          <w:vertAlign w:val="superscript"/>
          <w:rtl w:val="0"/>
        </w:rPr>
        <w:t xml:space="preserve">6</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Non-Penetrating Agents and the Vitrification Hypothesis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Non-penetrating CPAs, including disaccharides like trehalose and sucrose, or high-molecular-weight polymers like PVP and PEG, remain in the extracellular space due to their size and polarity.</w:t>
      </w:r>
      <w:r w:rsidDel="00000000" w:rsidR="00000000" w:rsidRPr="00000000">
        <w:rPr>
          <w:rFonts w:ascii="Georgia" w:cs="Georgia" w:eastAsia="Georgia" w:hAnsi="Georgia"/>
          <w:sz w:val="24"/>
          <w:szCs w:val="24"/>
          <w:vertAlign w:val="superscript"/>
          <w:rtl w:val="0"/>
        </w:rPr>
        <w:t xml:space="preserve">5</w:t>
      </w:r>
      <w:r w:rsidDel="00000000" w:rsidR="00000000" w:rsidRPr="00000000">
        <w:rPr>
          <w:rFonts w:ascii="Georgia" w:cs="Georgia" w:eastAsia="Georgia" w:hAnsi="Georgia"/>
          <w:rtl w:val="0"/>
        </w:rPr>
        <w:t xml:space="preserve"> These agents protect the cell through the "vitrification hypothesis," which posits that at high concentrations, these solutes form a highly viscous, amorphous "glassy" state rather than crystalline ice.</w:t>
      </w:r>
      <w:r w:rsidDel="00000000" w:rsidR="00000000" w:rsidRPr="00000000">
        <w:rPr>
          <w:rFonts w:ascii="Georgia" w:cs="Georgia" w:eastAsia="Georgia" w:hAnsi="Georgia"/>
          <w:sz w:val="24"/>
          <w:szCs w:val="24"/>
          <w:vertAlign w:val="superscript"/>
          <w:rtl w:val="0"/>
        </w:rPr>
        <w:t xml:space="preserve">17</w:t>
      </w:r>
      <w:r w:rsidDel="00000000" w:rsidR="00000000" w:rsidRPr="00000000">
        <w:rPr>
          <w:rFonts w:ascii="Georgia" w:cs="Georgia" w:eastAsia="Georgia" w:hAnsi="Georgia"/>
          <w:rtl w:val="0"/>
        </w:rPr>
        <w:t xml:space="preserve"> This transition avoids the mechanical shearing of cell membranes by ice crystals and creates a protective film that prevents osmotic shock.</w:t>
      </w:r>
      <w:r w:rsidDel="00000000" w:rsidR="00000000" w:rsidRPr="00000000">
        <w:rPr>
          <w:rFonts w:ascii="Georgia" w:cs="Georgia" w:eastAsia="Georgia" w:hAnsi="Georgia"/>
          <w:sz w:val="24"/>
          <w:szCs w:val="24"/>
          <w:vertAlign w:val="superscript"/>
          <w:rtl w:val="0"/>
        </w:rPr>
        <w:t xml:space="preserve">17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Trehalose, a polar disaccharide, is particularly effective at stabilizing cell membranes by hydrogen-bonding directly to the phosphate heads of phospholipids, effectively replacing the hydration shell during dehydration.</w:t>
      </w:r>
      <w:r w:rsidDel="00000000" w:rsidR="00000000" w:rsidRPr="00000000">
        <w:rPr>
          <w:rFonts w:ascii="Georgia" w:cs="Georgia" w:eastAsia="Georgia" w:hAnsi="Georgia"/>
          <w:sz w:val="24"/>
          <w:szCs w:val="24"/>
          <w:vertAlign w:val="superscript"/>
          <w:rtl w:val="0"/>
        </w:rPr>
        <w:t xml:space="preserve">17</w:t>
      </w:r>
      <w:r w:rsidDel="00000000" w:rsidR="00000000" w:rsidRPr="00000000">
        <w:rPr>
          <w:rFonts w:ascii="Georgia" w:cs="Georgia" w:eastAsia="Georgia" w:hAnsi="Georgia"/>
          <w:rtl w:val="0"/>
        </w:rPr>
        <w:t xml:space="preserve"> Despite these benefits, trehalose alone often results in poor viability (e.g., 12.5% in some studies) because it cannot prevent intracellular ice formation without a permeating partner or specialized delivery methods like electroporation.</w:t>
      </w:r>
      <w:r w:rsidDel="00000000" w:rsidR="00000000" w:rsidRPr="00000000">
        <w:rPr>
          <w:rFonts w:ascii="Georgia" w:cs="Georgia" w:eastAsia="Georgia" w:hAnsi="Georgia"/>
          <w:sz w:val="24"/>
          <w:szCs w:val="24"/>
          <w:vertAlign w:val="superscript"/>
          <w:rtl w:val="0"/>
        </w:rPr>
        <w:t xml:space="preserve">3</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The Mechanical Slurry Threshold and Freezing Point Depression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The transition of a cryomicroneedle from a solid spike to a non-penetrating slurry is governed by the colligative properties of the solution. The degree of freezing point depression (</w:t>
      </w:r>
      <w:r w:rsidDel="00000000" w:rsidR="00000000" w:rsidRPr="00000000">
        <w:rPr>
          <w:rFonts w:ascii="Georgia" w:cs="Georgia" w:eastAsia="Georgia" w:hAnsi="Georgia"/>
        </w:rPr>
        <w:drawing>
          <wp:inline distB="19050" distT="19050" distL="19050" distR="19050">
            <wp:extent cx="347514" cy="231676"/>
            <wp:effectExtent b="0" l="0" r="0" t="0"/>
            <wp:docPr id="1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47514" cy="231676"/>
                    </a:xfrm>
                    <a:prstGeom prst="rect"/>
                    <a:ln/>
                  </pic:spPr>
                </pic:pic>
              </a:graphicData>
            </a:graphic>
          </wp:inline>
        </w:drawing>
      </w:r>
      <w:r w:rsidDel="00000000" w:rsidR="00000000" w:rsidRPr="00000000">
        <w:rPr>
          <w:rFonts w:ascii="Georgia" w:cs="Georgia" w:eastAsia="Georgia" w:hAnsi="Georgia"/>
          <w:rtl w:val="0"/>
        </w:rPr>
        <w:t xml:space="preserve">) is determined by the total molality of all dissolved solutes: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Pr>
        <w:drawing>
          <wp:inline distB="19050" distT="19050" distL="19050" distR="19050">
            <wp:extent cx="5905500" cy="363370"/>
            <wp:effectExtent b="0" l="0" r="0" t="0"/>
            <wp:docPr id="13"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05500" cy="36337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where </w:t>
      </w:r>
      <w:r w:rsidDel="00000000" w:rsidR="00000000" w:rsidRPr="00000000">
        <w:rPr>
          <w:rFonts w:ascii="Georgia" w:cs="Georgia" w:eastAsia="Georgia" w:hAnsi="Georgia"/>
        </w:rPr>
        <w:drawing>
          <wp:inline distB="19050" distT="19050" distL="19050" distR="19050">
            <wp:extent cx="242739" cy="233029"/>
            <wp:effectExtent b="0" l="0" r="0" t="0"/>
            <wp:docPr id="1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242739" cy="233029"/>
                    </a:xfrm>
                    <a:prstGeom prst="rect"/>
                    <a:ln/>
                  </pic:spPr>
                </pic:pic>
              </a:graphicData>
            </a:graphic>
          </wp:inline>
        </w:drawing>
      </w:r>
      <w:r w:rsidDel="00000000" w:rsidR="00000000" w:rsidRPr="00000000">
        <w:rPr>
          <w:rFonts w:ascii="Georgia" w:cs="Georgia" w:eastAsia="Georgia" w:hAnsi="Georgia"/>
          <w:rtl w:val="0"/>
        </w:rPr>
        <w:t xml:space="preserve"> is the cryoscopic constant of water (</w:t>
      </w:r>
      <w:r w:rsidDel="00000000" w:rsidR="00000000" w:rsidRPr="00000000">
        <w:rPr>
          <w:rFonts w:ascii="Georgia" w:cs="Georgia" w:eastAsia="Georgia" w:hAnsi="Georgia"/>
        </w:rPr>
        <w:drawing>
          <wp:inline distB="19050" distT="19050" distL="19050" distR="19050">
            <wp:extent cx="1247180" cy="218970"/>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247180" cy="218970"/>
                    </a:xfrm>
                    <a:prstGeom prst="rect"/>
                    <a:ln/>
                  </pic:spPr>
                </pic:pic>
              </a:graphicData>
            </a:graphic>
          </wp:inline>
        </w:drawing>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Pr>
        <w:drawing>
          <wp:inline distB="19050" distT="19050" distL="19050" distR="19050">
            <wp:extent cx="215652" cy="225028"/>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15652" cy="225028"/>
                    </a:xfrm>
                    <a:prstGeom prst="rect"/>
                    <a:ln/>
                  </pic:spPr>
                </pic:pic>
              </a:graphicData>
            </a:graphic>
          </wp:inline>
        </w:drawing>
      </w:r>
      <w:r w:rsidDel="00000000" w:rsidR="00000000" w:rsidRPr="00000000">
        <w:rPr>
          <w:rFonts w:ascii="Georgia" w:cs="Georgia" w:eastAsia="Georgia" w:hAnsi="Georgia"/>
          <w:rtl w:val="0"/>
        </w:rPr>
        <w:t xml:space="preserve"> is the molality of each solute, and </w:t>
      </w:r>
      <w:r w:rsidDel="00000000" w:rsidR="00000000" w:rsidRPr="00000000">
        <w:rPr>
          <w:rFonts w:ascii="Georgia" w:cs="Georgia" w:eastAsia="Georgia" w:hAnsi="Georgia"/>
        </w:rPr>
        <w:drawing>
          <wp:inline distB="19050" distT="19050" distL="19050" distR="19050">
            <wp:extent cx="117425" cy="234851"/>
            <wp:effectExtent b="0" l="0" r="0" t="0"/>
            <wp:docPr id="1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17425" cy="234851"/>
                    </a:xfrm>
                    <a:prstGeom prst="rect"/>
                    <a:ln/>
                  </pic:spPr>
                </pic:pic>
              </a:graphicData>
            </a:graphic>
          </wp:inline>
        </w:drawing>
      </w:r>
      <w:r w:rsidDel="00000000" w:rsidR="00000000" w:rsidRPr="00000000">
        <w:rPr>
          <w:rFonts w:ascii="Georgia" w:cs="Georgia" w:eastAsia="Georgia" w:hAnsi="Georgia"/>
          <w:rtl w:val="0"/>
        </w:rPr>
        <w:t xml:space="preserve"> is the van 't Hoff factor.</w:t>
      </w:r>
      <w:r w:rsidDel="00000000" w:rsidR="00000000" w:rsidRPr="00000000">
        <w:rPr>
          <w:rFonts w:ascii="Georgia" w:cs="Georgia" w:eastAsia="Georgia" w:hAnsi="Georgia"/>
          <w:sz w:val="24"/>
          <w:szCs w:val="24"/>
          <w:vertAlign w:val="superscript"/>
          <w:rtl w:val="0"/>
        </w:rPr>
        <w:t xml:space="preserve">18</w:t>
      </w:r>
      <w:r w:rsidDel="00000000" w:rsidR="00000000" w:rsidRPr="00000000">
        <w:rPr>
          <w:rFonts w:ascii="Georgia" w:cs="Georgia" w:eastAsia="Georgia" w:hAnsi="Georgia"/>
          <w:rtl w:val="0"/>
        </w:rPr>
        <w:t xml:space="preserve"> For cryoMNs maintained at standard application temperatures (e.g., </w:t>
      </w:r>
      <w:r w:rsidDel="00000000" w:rsidR="00000000" w:rsidRPr="00000000">
        <w:rPr>
          <w:rFonts w:ascii="Georgia" w:cs="Georgia" w:eastAsia="Georgia" w:hAnsi="Georgia"/>
        </w:rPr>
        <w:drawing>
          <wp:inline distB="19050" distT="19050" distL="19050" distR="19050">
            <wp:extent cx="534739" cy="219625"/>
            <wp:effectExtent b="0" l="0" r="0" t="0"/>
            <wp:docPr id="16"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34739" cy="219625"/>
                    </a:xfrm>
                    <a:prstGeom prst="rect"/>
                    <a:ln/>
                  </pic:spPr>
                </pic:pic>
              </a:graphicData>
            </a:graphic>
          </wp:inline>
        </w:drawing>
      </w:r>
      <w:r w:rsidDel="00000000" w:rsidR="00000000" w:rsidRPr="00000000">
        <w:rPr>
          <w:rFonts w:ascii="Georgia" w:cs="Georgia" w:eastAsia="Georgia" w:hAnsi="Georgia"/>
          <w:rtl w:val="0"/>
        </w:rPr>
        <w:t xml:space="preserve">), the concentration of solutes must be strictly controlled to ensure the equilibrium freezing point remains well above the storage temperature to prevent the formation of a liquid-solid slurry.</w:t>
      </w:r>
      <w:r w:rsidDel="00000000" w:rsidR="00000000" w:rsidRPr="00000000">
        <w:rPr>
          <w:rFonts w:ascii="Georgia" w:cs="Georgia" w:eastAsia="Georgia" w:hAnsi="Georgia"/>
          <w:sz w:val="24"/>
          <w:szCs w:val="24"/>
          <w:vertAlign w:val="superscript"/>
          <w:rtl w:val="0"/>
        </w:rPr>
        <w:t xml:space="preserve">3</w:t>
      </w:r>
      <w:r w:rsidDel="00000000" w:rsidR="00000000" w:rsidRPr="00000000">
        <w:rPr>
          <w:rFonts w:ascii="Georgia" w:cs="Georgia" w:eastAsia="Georgia" w:hAnsi="Georgia"/>
          <w:rtl w:val="0"/>
        </w:rPr>
        <w:t xml:space="preserve"> DMSO is a particularly aggressive freezing point depressant due to its low molecular mass; even at moderate concentrations, it significantly reduces the fraction of ice in the needles, thereby lowering the Young’s modulus and increasing the risk of buckling during skin insertion.</w:t>
      </w:r>
      <w:r w:rsidDel="00000000" w:rsidR="00000000" w:rsidRPr="00000000">
        <w:rPr>
          <w:rFonts w:ascii="Georgia" w:cs="Georgia" w:eastAsia="Georgia" w:hAnsi="Georgia"/>
          <w:sz w:val="24"/>
          <w:szCs w:val="24"/>
          <w:vertAlign w:val="superscript"/>
          <w:rtl w:val="0"/>
        </w:rPr>
        <w:t xml:space="preserve">3</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Analysis of Literature-Derived Cryopreservation Data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The repository of literature-summarized data provides a heterogeneous but rich foundation for initial model training. The data clusters reveal several critical trends that inform the optimization targets of minimizing DMSO and maximizing viability.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Formulation Composition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Cell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Viability/Recovery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Mechanical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10% DMSO + 10% FBS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WJMSCs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81.2%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Standard baseline, high toxicity risk </w:t>
            </w:r>
            <w:r w:rsidDel="00000000" w:rsidR="00000000" w:rsidRPr="00000000">
              <w:rPr>
                <w:rFonts w:ascii="Georgia" w:cs="Georgia" w:eastAsia="Georgia" w:hAnsi="Georgia"/>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1.0M Trehalose + 20% Glycerol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ADSCs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77.0%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Optimized DMSO-free cocktail </w:t>
            </w:r>
            <w:r w:rsidDel="00000000" w:rsidR="00000000" w:rsidRPr="00000000">
              <w:rPr>
                <w:rFonts w:ascii="Georgia" w:cs="Georgia" w:eastAsia="Georgia" w:hAnsi="Georgia"/>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300mM EG + 1mM Taurine + 1% Ectoine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MSCs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96% (Recovery)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DE-optimized formulation </w:t>
            </w:r>
            <w:r w:rsidDel="00000000" w:rsidR="00000000" w:rsidRPr="00000000">
              <w:rPr>
                <w:rFonts w:ascii="Georgia" w:cs="Georgia" w:eastAsia="Georgia" w:hAnsi="Georgia"/>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7.5% DMSO + 2.5% PEG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hESCs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87.0%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Optimal reduced DMSO </w:t>
            </w:r>
            <w:r w:rsidDel="00000000" w:rsidR="00000000" w:rsidRPr="00000000">
              <w:rPr>
                <w:rFonts w:ascii="Georgia" w:cs="Georgia" w:eastAsia="Georgia" w:hAnsi="Georgia"/>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1% DMSO + 10% Pentaisomaltose + 4% 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ASCs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Minimal DMSO effectiveness </w:t>
            </w:r>
            <w:r w:rsidDel="00000000" w:rsidR="00000000" w:rsidRPr="00000000">
              <w:rPr>
                <w:rFonts w:ascii="Georgia" w:cs="Georgia" w:eastAsia="Georgia" w:hAnsi="Georgia"/>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5% Trehalose + 2.5% Dextran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MSCs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~80% (Day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Effective xeno-free, DMSO-free </w:t>
            </w:r>
            <w:r w:rsidDel="00000000" w:rsidR="00000000" w:rsidRPr="00000000">
              <w:rPr>
                <w:rFonts w:ascii="Georgia" w:cs="Georgia" w:eastAsia="Georgia" w:hAnsi="Georgia"/>
                <w:sz w:val="24"/>
                <w:szCs w:val="24"/>
                <w:vertAlign w:val="superscript"/>
                <w:rtl w:val="0"/>
              </w:rPr>
              <w:t xml:space="preserve">3</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Synergy and Compatible Solutes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A significant finding in the data is the role of compatible solutes such as ectoin, proline, and taurine. These molecules, which are often used by extremophilic organisms to survive osmotic stress, have been shown to stabilize proteins and cell membranes without the toxic side effects of traditional CPAs.</w:t>
      </w:r>
      <w:r w:rsidDel="00000000" w:rsidR="00000000" w:rsidRPr="00000000">
        <w:rPr>
          <w:rFonts w:ascii="Georgia" w:cs="Georgia" w:eastAsia="Georgia" w:hAnsi="Georgia"/>
          <w:sz w:val="24"/>
          <w:szCs w:val="24"/>
          <w:vertAlign w:val="superscript"/>
          <w:rtl w:val="0"/>
        </w:rPr>
        <w:t xml:space="preserve">3</w:t>
      </w:r>
      <w:r w:rsidDel="00000000" w:rsidR="00000000" w:rsidRPr="00000000">
        <w:rPr>
          <w:rFonts w:ascii="Georgia" w:cs="Georgia" w:eastAsia="Georgia" w:hAnsi="Georgia"/>
          <w:rtl w:val="0"/>
        </w:rPr>
        <w:t xml:space="preserve"> For instance, a formulation incorporating 1% ectoin with ethylene glycol and taurine outperformed standard DMSO controls for mesenchymal stem cells in terms of post-thaw recovery.</w:t>
      </w:r>
      <w:r w:rsidDel="00000000" w:rsidR="00000000" w:rsidRPr="00000000">
        <w:rPr>
          <w:rFonts w:ascii="Georgia" w:cs="Georgia" w:eastAsia="Georgia" w:hAnsi="Georgia"/>
          <w:sz w:val="24"/>
          <w:szCs w:val="24"/>
          <w:vertAlign w:val="superscript"/>
          <w:rtl w:val="0"/>
        </w:rPr>
        <w:t xml:space="preserve">25</w:t>
      </w:r>
      <w:r w:rsidDel="00000000" w:rsidR="00000000" w:rsidRPr="00000000">
        <w:rPr>
          <w:rFonts w:ascii="Georgia" w:cs="Georgia" w:eastAsia="Georgia" w:hAnsi="Georgia"/>
          <w:rtl w:val="0"/>
        </w:rPr>
        <w:t xml:space="preserve"> This suggests that the ML model should prioritize the exploration of these "niche" additives to replace the bulk chemical protection of DMSO.</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Impact of Polymers on Structural Integrity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Polymers such as Polyethylene Glycol (PEG) and Polyvinylpyrrolidone (PVP) exhibit a dual functionality in cryoMN systems. At concentrations around 5-10%, PEG of molecular weights between 1.5K and 5K Da has been shown to improve recovery by modulating ice crystal growth.</w:t>
      </w:r>
      <w:r w:rsidDel="00000000" w:rsidR="00000000" w:rsidRPr="00000000">
        <w:rPr>
          <w:rFonts w:ascii="Georgia" w:cs="Georgia" w:eastAsia="Georgia" w:hAnsi="Georgia"/>
          <w:sz w:val="24"/>
          <w:szCs w:val="24"/>
          <w:vertAlign w:val="superscript"/>
          <w:rtl w:val="0"/>
        </w:rPr>
        <w:t xml:space="preserve">3</w:t>
      </w:r>
      <w:r w:rsidDel="00000000" w:rsidR="00000000" w:rsidRPr="00000000">
        <w:rPr>
          <w:rFonts w:ascii="Georgia" w:cs="Georgia" w:eastAsia="Georgia" w:hAnsi="Georgia"/>
          <w:rtl w:val="0"/>
        </w:rPr>
        <w:t xml:space="preserve"> Crucially, these high-molecular-weight additives do not depress the freezing point to the same extent as small molecules like DMSO, meaning they can contribute to cryoprotection while maintaining the mechanical rigidity of the ice matrix.</w:t>
      </w:r>
      <w:r w:rsidDel="00000000" w:rsidR="00000000" w:rsidRPr="00000000">
        <w:rPr>
          <w:rFonts w:ascii="Georgia" w:cs="Georgia" w:eastAsia="Georgia" w:hAnsi="Georgia"/>
          <w:sz w:val="24"/>
          <w:szCs w:val="24"/>
          <w:vertAlign w:val="superscript"/>
          <w:rtl w:val="0"/>
        </w:rPr>
        <w:t xml:space="preserve">5</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Computational Framework: Constrained Multi-Objective Bayesian Optimization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Given the volume of data in the provided library and the requirement for a model that evolves through limited experimental validation, a Bayesian Optimization (BO) framework is the superior machine learning approach.</w:t>
      </w:r>
      <w:r w:rsidDel="00000000" w:rsidR="00000000" w:rsidRPr="00000000">
        <w:rPr>
          <w:rFonts w:ascii="Georgia" w:cs="Georgia" w:eastAsia="Georgia" w:hAnsi="Georgia"/>
          <w:sz w:val="24"/>
          <w:szCs w:val="24"/>
          <w:vertAlign w:val="superscript"/>
          <w:rtl w:val="0"/>
        </w:rPr>
        <w:t xml:space="preserve">12</w:t>
      </w:r>
      <w:r w:rsidDel="00000000" w:rsidR="00000000" w:rsidRPr="00000000">
        <w:rPr>
          <w:rFonts w:ascii="Georgia" w:cs="Georgia" w:eastAsia="Georgia" w:hAnsi="Georgia"/>
          <w:rtl w:val="0"/>
        </w:rPr>
        <w:t xml:space="preserve"> Unlike Differential Evolution, which requires a population-wide evaluation in each generation (often 70+ experiments), BO is highly sample-efficient and can suggest optimal candidates with as few as 20-30 iterations.</w:t>
      </w:r>
      <w:r w:rsidDel="00000000" w:rsidR="00000000" w:rsidRPr="00000000">
        <w:rPr>
          <w:rFonts w:ascii="Georgia" w:cs="Georgia" w:eastAsia="Georgia" w:hAnsi="Georgia"/>
          <w:sz w:val="24"/>
          <w:szCs w:val="24"/>
          <w:vertAlign w:val="superscript"/>
          <w:rtl w:val="0"/>
        </w:rPr>
        <w:t xml:space="preserve">11</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Gaussian Process Surrogate Models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cornerstone of the BO approach is the Gaussian Process (GP), a non-parametric probabilistic model that approximates the unknown function mapping formulation components to biological and mechanical outcomes.</w:t>
      </w:r>
      <w:r w:rsidDel="00000000" w:rsidR="00000000" w:rsidRPr="00000000">
        <w:rPr>
          <w:rFonts w:ascii="Georgia" w:cs="Georgia" w:eastAsia="Georgia" w:hAnsi="Georgia"/>
          <w:sz w:val="24"/>
          <w:szCs w:val="24"/>
          <w:vertAlign w:val="superscript"/>
          <w:rtl w:val="0"/>
        </w:rPr>
        <w:t xml:space="preserve">14</w:t>
      </w:r>
      <w:r w:rsidDel="00000000" w:rsidR="00000000" w:rsidRPr="00000000">
        <w:rPr>
          <w:rFonts w:ascii="Georgia" w:cs="Georgia" w:eastAsia="Georgia" w:hAnsi="Georgia"/>
          <w:rtl w:val="0"/>
        </w:rPr>
        <w:t xml:space="preserve"> The GP provides not only a mean prediction (</w:t>
      </w:r>
      <w:r w:rsidDel="00000000" w:rsidR="00000000" w:rsidRPr="00000000">
        <w:rPr>
          <w:rFonts w:ascii="Georgia" w:cs="Georgia" w:eastAsia="Georgia" w:hAnsi="Georgia"/>
        </w:rPr>
        <w:drawing>
          <wp:inline distB="19050" distT="19050" distL="19050" distR="19050">
            <wp:extent cx="360164" cy="227472"/>
            <wp:effectExtent b="0" l="0" r="0" t="0"/>
            <wp:docPr id="21"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360164" cy="227472"/>
                    </a:xfrm>
                    <a:prstGeom prst="rect"/>
                    <a:ln/>
                  </pic:spPr>
                </pic:pic>
              </a:graphicData>
            </a:graphic>
          </wp:inline>
        </w:drawing>
      </w:r>
      <w:r w:rsidDel="00000000" w:rsidR="00000000" w:rsidRPr="00000000">
        <w:rPr>
          <w:rFonts w:ascii="Georgia" w:cs="Georgia" w:eastAsia="Georgia" w:hAnsi="Georgia"/>
          <w:rtl w:val="0"/>
        </w:rPr>
        <w:t xml:space="preserve">) but also a measure of uncertainty or variance (</w:t>
      </w:r>
      <w:r w:rsidDel="00000000" w:rsidR="00000000" w:rsidRPr="00000000">
        <w:rPr>
          <w:rFonts w:ascii="Georgia" w:cs="Georgia" w:eastAsia="Georgia" w:hAnsi="Georgia"/>
        </w:rPr>
        <w:drawing>
          <wp:inline distB="19050" distT="19050" distL="19050" distR="19050">
            <wp:extent cx="434578" cy="226736"/>
            <wp:effectExtent b="0" l="0" r="0" t="0"/>
            <wp:docPr id="19"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434578" cy="226736"/>
                    </a:xfrm>
                    <a:prstGeom prst="rect"/>
                    <a:ln/>
                  </pic:spPr>
                </pic:pic>
              </a:graphicData>
            </a:graphic>
          </wp:inline>
        </w:drawing>
      </w:r>
      <w:r w:rsidDel="00000000" w:rsidR="00000000" w:rsidRPr="00000000">
        <w:rPr>
          <w:rFonts w:ascii="Georgia" w:cs="Georgia" w:eastAsia="Georgia" w:hAnsi="Georgia"/>
          <w:rtl w:val="0"/>
        </w:rPr>
        <w:t xml:space="preserve">), which is critical for guiding the search process.</w:t>
      </w:r>
      <w:r w:rsidDel="00000000" w:rsidR="00000000" w:rsidRPr="00000000">
        <w:rPr>
          <w:rFonts w:ascii="Georgia" w:cs="Georgia" w:eastAsia="Georgia" w:hAnsi="Georgia"/>
          <w:sz w:val="24"/>
          <w:szCs w:val="24"/>
          <w:vertAlign w:val="superscript"/>
          <w:rtl w:val="0"/>
        </w:rPr>
        <w:t xml:space="preserve">29</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The researcher will construct two separate GP models:</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Viability Model (</w:t>
      </w:r>
      <w:r w:rsidDel="00000000" w:rsidR="00000000" w:rsidRPr="00000000">
        <w:rPr>
          <w:rFonts w:ascii="Georgia" w:cs="Georgia" w:eastAsia="Georgia" w:hAnsi="Georgia"/>
          <w:b w:val="1"/>
          <w:bCs w:val="1"/>
        </w:rPr>
        <w:drawing>
          <wp:inline distB="19050" distT="19050" distL="19050" distR="19050">
            <wp:extent cx="579537" cy="228014"/>
            <wp:effectExtent b="0" l="0" r="0" t="0"/>
            <wp:docPr id="25"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9537" cy="228014"/>
                    </a:xfrm>
                    <a:prstGeom prst="rect"/>
                    <a:ln/>
                  </pic:spPr>
                </pic:pic>
              </a:graphicData>
            </a:graphic>
          </wp:inline>
        </w:drawing>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Trained to predict the percentage of living cells post-thaw.</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Mechanical Feasibility Classifier (</w:t>
      </w:r>
      <w:r w:rsidDel="00000000" w:rsidR="00000000" w:rsidRPr="00000000">
        <w:rPr>
          <w:rFonts w:ascii="Georgia" w:cs="Georgia" w:eastAsia="Georgia" w:hAnsi="Georgia"/>
          <w:b w:val="1"/>
          <w:bCs w:val="1"/>
        </w:rPr>
        <w:drawing>
          <wp:inline distB="19050" distT="19050" distL="19050" distR="19050">
            <wp:extent cx="587425" cy="227390"/>
            <wp:effectExtent b="0" l="0" r="0" t="0"/>
            <wp:docPr id="22"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87425" cy="227390"/>
                    </a:xfrm>
                    <a:prstGeom prst="rect"/>
                    <a:ln/>
                  </pic:spPr>
                </pic:pic>
              </a:graphicData>
            </a:graphic>
          </wp:inline>
        </w:drawing>
      </w:r>
      <w:r w:rsidDel="00000000" w:rsidR="00000000" w:rsidRPr="00000000">
        <w:rPr>
          <w:rFonts w:ascii="Georgia" w:cs="Georgia" w:eastAsia="Georgia" w:hAnsi="Georgia"/>
          <w:b w:val="1"/>
          <w:bCs w:val="1"/>
          <w:rtl w:val="0"/>
        </w:rPr>
        <w:t xml:space="preserve">):</w:t>
      </w:r>
      <w:r w:rsidDel="00000000" w:rsidR="00000000" w:rsidRPr="00000000">
        <w:rPr>
          <w:rFonts w:ascii="Georgia" w:cs="Georgia" w:eastAsia="Georgia" w:hAnsi="Georgia"/>
          <w:rtl w:val="0"/>
        </w:rPr>
        <w:t xml:space="preserve"> A probabilistic classifier or regression model that predicts whether a formulation will remain a rigid solid at the target temperature.</w:t>
      </w:r>
      <w:r w:rsidDel="00000000" w:rsidR="00000000" w:rsidRPr="00000000">
        <w:rPr>
          <w:rFonts w:ascii="Georgia" w:cs="Georgia" w:eastAsia="Georgia" w:hAnsi="Georgia"/>
          <w:sz w:val="24"/>
          <w:szCs w:val="24"/>
          <w:vertAlign w:val="superscript"/>
          <w:rtl w:val="0"/>
        </w:rPr>
        <w:t xml:space="preserve">31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selection of the kernel—the function defining the similarity between different formulations—is paramount. An Automatic Relevance Determination (ARD) kernel is recommended, as it allows the model to learn which ingredients (e.g., trehalose vs. mannitol) have the most significant impact on the objectives, effectively automating the feature selection process.</w:t>
      </w:r>
      <w:r w:rsidDel="00000000" w:rsidR="00000000" w:rsidRPr="00000000">
        <w:rPr>
          <w:rFonts w:ascii="Georgia" w:cs="Georgia" w:eastAsia="Georgia" w:hAnsi="Georgia"/>
          <w:sz w:val="24"/>
          <w:szCs w:val="24"/>
          <w:vertAlign w:val="superscript"/>
          <w:rtl w:val="0"/>
        </w:rPr>
        <w:t xml:space="preserve">33</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Handling the Cardinality Constraint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The requirement that the optimized solution contain no more than 10 ingredients (excluding media) introduces a cardinality constraint, transforming the problem into a "Sparse Bayesian Optimization" task.</w:t>
      </w:r>
      <w:r w:rsidDel="00000000" w:rsidR="00000000" w:rsidRPr="00000000">
        <w:rPr>
          <w:rFonts w:ascii="Georgia" w:cs="Georgia" w:eastAsia="Georgia" w:hAnsi="Georgia"/>
          <w:sz w:val="24"/>
          <w:szCs w:val="24"/>
          <w:vertAlign w:val="superscript"/>
          <w:rtl w:val="0"/>
        </w:rPr>
        <w:t xml:space="preserve">28</w:t>
      </w:r>
      <w:r w:rsidDel="00000000" w:rsidR="00000000" w:rsidRPr="00000000">
        <w:rPr>
          <w:rFonts w:ascii="Georgia" w:cs="Georgia" w:eastAsia="Georgia" w:hAnsi="Georgia"/>
          <w:rtl w:val="0"/>
        </w:rPr>
        <w:t xml:space="preserve"> This is addressed through two primary mechanisms:</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Sparsity-Exploring Bayesian Optimization (SEBO):</w:t>
      </w:r>
      <w:r w:rsidDel="00000000" w:rsidR="00000000" w:rsidRPr="00000000">
        <w:rPr>
          <w:rFonts w:ascii="Georgia" w:cs="Georgia" w:eastAsia="Georgia" w:hAnsi="Georgia"/>
          <w:rtl w:val="0"/>
        </w:rPr>
        <w:t xml:space="preserve"> This method integrates a sparsity penalty into the acquisition function, favoring formulations that achieve high viability with fewer ingredients.</w:t>
      </w:r>
      <w:r w:rsidDel="00000000" w:rsidR="00000000" w:rsidRPr="00000000">
        <w:rPr>
          <w:rFonts w:ascii="Georgia" w:cs="Georgia" w:eastAsia="Georgia" w:hAnsi="Georgia"/>
          <w:sz w:val="24"/>
          <w:szCs w:val="24"/>
          <w:vertAlign w:val="superscript"/>
          <w:rtl w:val="0"/>
        </w:rPr>
        <w:t xml:space="preserve">28</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L1 Regularization:</w:t>
      </w:r>
      <w:r w:rsidDel="00000000" w:rsidR="00000000" w:rsidRPr="00000000">
        <w:rPr>
          <w:rFonts w:ascii="Georgia" w:cs="Georgia" w:eastAsia="Georgia" w:hAnsi="Georgia"/>
          <w:rtl w:val="0"/>
        </w:rPr>
        <w:t xml:space="preserve"> By adding an </w:t>
      </w:r>
      <w:r w:rsidDel="00000000" w:rsidR="00000000" w:rsidRPr="00000000">
        <w:rPr>
          <w:rFonts w:ascii="Georgia" w:cs="Georgia" w:eastAsia="Georgia" w:hAnsi="Georgia"/>
        </w:rPr>
        <w:drawing>
          <wp:inline distB="19050" distT="19050" distL="19050" distR="19050">
            <wp:extent cx="150614" cy="216508"/>
            <wp:effectExtent b="0" l="0" r="0" t="0"/>
            <wp:docPr id="24"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50614" cy="216508"/>
                    </a:xfrm>
                    <a:prstGeom prst="rect"/>
                    <a:ln/>
                  </pic:spPr>
                </pic:pic>
              </a:graphicData>
            </a:graphic>
          </wp:inline>
        </w:drawing>
      </w:r>
      <w:r w:rsidDel="00000000" w:rsidR="00000000" w:rsidRPr="00000000">
        <w:rPr>
          <w:rFonts w:ascii="Georgia" w:cs="Georgia" w:eastAsia="Georgia" w:hAnsi="Georgia"/>
          <w:rtl w:val="0"/>
        </w:rPr>
        <w:t xml:space="preserve">-norm penalty to the GP objective, the model is encouraged to set the concentrations of redundant or ineffective ingredients to zero.</w:t>
      </w:r>
      <w:r w:rsidDel="00000000" w:rsidR="00000000" w:rsidRPr="00000000">
        <w:rPr>
          <w:rFonts w:ascii="Georgia" w:cs="Georgia" w:eastAsia="Georgia" w:hAnsi="Georgia"/>
          <w:sz w:val="24"/>
          <w:szCs w:val="24"/>
          <w:vertAlign w:val="superscript"/>
          <w:rtl w:val="0"/>
        </w:rPr>
        <w:t xml:space="preserve">34</w:t>
      </w:r>
      <w:r w:rsidDel="00000000" w:rsidR="00000000" w:rsidRPr="00000000">
        <w:rPr>
          <w:rFonts w:ascii="Georgia" w:cs="Georgia" w:eastAsia="Georgia" w:hAnsi="Georgia"/>
          <w:rtl w:val="0"/>
        </w:rPr>
        <w:t xml:space="preserve"> This simplifies the formulation for clinical manufacturing while ensuring that only the most synergistic ingredients are retained.</w:t>
      </w:r>
      <w:r w:rsidDel="00000000" w:rsidR="00000000" w:rsidRPr="00000000">
        <w:rPr>
          <w:rFonts w:ascii="Georgia" w:cs="Georgia" w:eastAsia="Georgia" w:hAnsi="Georgia"/>
          <w:sz w:val="24"/>
          <w:szCs w:val="24"/>
          <w:vertAlign w:val="superscript"/>
          <w:rtl w:val="0"/>
        </w:rPr>
        <w:t xml:space="preserve">28</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Multi-Objective Acquisition with qNEHVI</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To balance the competing goals of maximizing viability and minimizing DMSO usage, the algorithm utilizes the "Noisy Expected Hypervolume Improvement" (qNEHVI) acquisition function.</w:t>
      </w:r>
      <w:r w:rsidDel="00000000" w:rsidR="00000000" w:rsidRPr="00000000">
        <w:rPr>
          <w:rFonts w:ascii="Georgia" w:cs="Georgia" w:eastAsia="Georgia" w:hAnsi="Georgia"/>
          <w:sz w:val="24"/>
          <w:szCs w:val="24"/>
          <w:vertAlign w:val="superscript"/>
          <w:rtl w:val="0"/>
        </w:rPr>
        <w:t xml:space="preserve">16</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hypervolume indicator measures the volume of the objective space that is dominated by a set of points relative to a reference point (the worst acceptable values for viability and DMSO content).</w:t>
      </w:r>
      <w:r w:rsidDel="00000000" w:rsidR="00000000" w:rsidRPr="00000000">
        <w:rPr>
          <w:rFonts w:ascii="Georgia" w:cs="Georgia" w:eastAsia="Georgia" w:hAnsi="Georgia"/>
          <w:sz w:val="24"/>
          <w:szCs w:val="24"/>
          <w:vertAlign w:val="superscript"/>
          <w:rtl w:val="0"/>
        </w:rPr>
        <w:t xml:space="preserve">37</w:t>
      </w:r>
      <w:r w:rsidDel="00000000" w:rsidR="00000000" w:rsidRPr="00000000">
        <w:rPr>
          <w:rFonts w:ascii="Georgia" w:cs="Georgia" w:eastAsia="Georgia" w:hAnsi="Georgia"/>
          <w:rtl w:val="0"/>
        </w:rPr>
        <w:t xml:space="preserve"> qNEHVI identifies the next formulation to test by maximizing the expected increase in this hypervolume, which effectively explores the "Pareto Frontier"—the set of formulations where viability cannot be further increased without also increasing the DMSO concentration.</w:t>
      </w:r>
      <w:r w:rsidDel="00000000" w:rsidR="00000000" w:rsidRPr="00000000">
        <w:rPr>
          <w:rFonts w:ascii="Georgia" w:cs="Georgia" w:eastAsia="Georgia" w:hAnsi="Georgia"/>
          <w:sz w:val="24"/>
          <w:szCs w:val="24"/>
          <w:vertAlign w:val="superscript"/>
          <w:rtl w:val="0"/>
        </w:rPr>
        <w:t xml:space="preserve">37</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Technical Implementation Steps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The optimization process follows a systematic workflow that bridges the initial literature data with the specialized requirements of cryomicroneedle fabrication.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Step 1: Feature Engineering and Data Standardization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CSV data must be pre-processed to convert varied units (mM, %, mg/mL) into a standardized molality format, which is the physically relevant unit for colligative properties.</w:t>
      </w:r>
      <w:r w:rsidDel="00000000" w:rsidR="00000000" w:rsidRPr="00000000">
        <w:rPr>
          <w:rFonts w:ascii="Georgia" w:cs="Georgia" w:eastAsia="Georgia" w:hAnsi="Georgia"/>
          <w:sz w:val="24"/>
          <w:szCs w:val="24"/>
          <w:vertAlign w:val="superscript"/>
          <w:rtl w:val="0"/>
        </w:rPr>
        <w:t xml:space="preserve">22</w:t>
      </w:r>
      <w:r w:rsidDel="00000000" w:rsidR="00000000" w:rsidRPr="00000000">
        <w:rPr>
          <w:rFonts w:ascii="Georgia" w:cs="Georgia" w:eastAsia="Georgia" w:hAnsi="Georgia"/>
          <w:rtl w:val="0"/>
        </w:rPr>
        <w:t xml:space="preserve"> Qualitative comments from the literature, such as " fibroblast-like morphology preserved" or "cell clumping observed," are converted into categorical weights that influence the "quality score" of each entry.</w:t>
      </w:r>
      <w:r w:rsidDel="00000000" w:rsidR="00000000" w:rsidRPr="00000000">
        <w:rPr>
          <w:rFonts w:ascii="Georgia" w:cs="Georgia" w:eastAsia="Georgia" w:hAnsi="Georgia"/>
          <w:sz w:val="24"/>
          <w:szCs w:val="24"/>
          <w:vertAlign w:val="superscript"/>
          <w:rtl w:val="0"/>
        </w:rPr>
        <w:t xml:space="preserve">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The input vector </w:t>
      </w:r>
      <w:r w:rsidDel="00000000" w:rsidR="00000000" w:rsidRPr="00000000">
        <w:rPr>
          <w:rFonts w:ascii="Georgia" w:cs="Georgia" w:eastAsia="Georgia" w:hAnsi="Georgia"/>
        </w:rPr>
        <w:drawing>
          <wp:inline distB="19050" distT="19050" distL="19050" distR="19050">
            <wp:extent cx="112068" cy="224135"/>
            <wp:effectExtent b="0" l="0" r="0" t="0"/>
            <wp:docPr id="26"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112068" cy="224135"/>
                    </a:xfrm>
                    <a:prstGeom prst="rect"/>
                    <a:ln/>
                  </pic:spPr>
                </pic:pic>
              </a:graphicData>
            </a:graphic>
          </wp:inline>
        </w:drawing>
      </w:r>
      <w:r w:rsidDel="00000000" w:rsidR="00000000" w:rsidRPr="00000000">
        <w:rPr>
          <w:rFonts w:ascii="Georgia" w:cs="Georgia" w:eastAsia="Georgia" w:hAnsi="Georgia"/>
          <w:rtl w:val="0"/>
        </w:rPr>
        <w:t xml:space="preserve"> will consist of the concentrations of up to 50 potential candidates identified in the snippets, including:</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Permeating CPAs:</w:t>
      </w:r>
      <w:r w:rsidDel="00000000" w:rsidR="00000000" w:rsidRPr="00000000">
        <w:rPr>
          <w:rFonts w:ascii="Georgia" w:cs="Georgia" w:eastAsia="Georgia" w:hAnsi="Georgia"/>
          <w:rtl w:val="0"/>
        </w:rPr>
        <w:t xml:space="preserve"> DMSO, Glycerol, Ethylene Glycol, Propylene Glycol, Acetamide.</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Non-Permeating Sugars:</w:t>
      </w:r>
      <w:r w:rsidDel="00000000" w:rsidR="00000000" w:rsidRPr="00000000">
        <w:rPr>
          <w:rFonts w:ascii="Georgia" w:cs="Georgia" w:eastAsia="Georgia" w:hAnsi="Georgia"/>
          <w:rtl w:val="0"/>
        </w:rPr>
        <w:t xml:space="preserve"> Trehalose, Sucrose, Glucose, Maltose, Raffinose.</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Sugar Alcohols:</w:t>
      </w:r>
      <w:r w:rsidDel="00000000" w:rsidR="00000000" w:rsidRPr="00000000">
        <w:rPr>
          <w:rFonts w:ascii="Georgia" w:cs="Georgia" w:eastAsia="Georgia" w:hAnsi="Georgia"/>
          <w:rtl w:val="0"/>
        </w:rPr>
        <w:t xml:space="preserve"> Mannitol, Xylitol, Sorbitol.</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Polymers:</w:t>
      </w:r>
      <w:r w:rsidDel="00000000" w:rsidR="00000000" w:rsidRPr="00000000">
        <w:rPr>
          <w:rFonts w:ascii="Georgia" w:cs="Georgia" w:eastAsia="Georgia" w:hAnsi="Georgia"/>
          <w:rtl w:val="0"/>
        </w:rPr>
        <w:t xml:space="preserve"> PEG (different MWs), PVP, HES, Dextran, Ficoll 70.</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Proteins:</w:t>
      </w:r>
      <w:r w:rsidDel="00000000" w:rsidR="00000000" w:rsidRPr="00000000">
        <w:rPr>
          <w:rFonts w:ascii="Georgia" w:cs="Georgia" w:eastAsia="Georgia" w:hAnsi="Georgia"/>
          <w:rtl w:val="0"/>
        </w:rPr>
        <w:t xml:space="preserve"> Human Serum Albumin (HSA), Sericin, Fetal Bovine Serum (FBS).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Compatible Solutes:</w:t>
      </w:r>
      <w:r w:rsidDel="00000000" w:rsidR="00000000" w:rsidRPr="00000000">
        <w:rPr>
          <w:rFonts w:ascii="Georgia" w:cs="Georgia" w:eastAsia="Georgia" w:hAnsi="Georgia"/>
          <w:rtl w:val="0"/>
        </w:rPr>
        <w:t xml:space="preserve"> Ectoin, Proline, Taurine, Betaine, Creatine, Isoleucine.</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Surfactants/Additives:</w:t>
      </w:r>
      <w:r w:rsidDel="00000000" w:rsidR="00000000" w:rsidRPr="00000000">
        <w:rPr>
          <w:rFonts w:ascii="Georgia" w:cs="Georgia" w:eastAsia="Georgia" w:hAnsi="Georgia"/>
          <w:rtl w:val="0"/>
        </w:rPr>
        <w:t xml:space="preserve"> Poloxamer 188 (P188), ROCK inhibitor, z-VAD-fmk.</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Step 2: Training the Initial Surrogate and Transfer Learning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Because the initial dataset may be noisy or based on different cell types, the model employs a transfer learning approach.</w:t>
      </w:r>
      <w:r w:rsidDel="00000000" w:rsidR="00000000" w:rsidRPr="00000000">
        <w:rPr>
          <w:rFonts w:ascii="Georgia" w:cs="Georgia" w:eastAsia="Georgia" w:hAnsi="Georgia"/>
          <w:sz w:val="24"/>
          <w:szCs w:val="24"/>
          <w:vertAlign w:val="superscript"/>
          <w:rtl w:val="0"/>
        </w:rPr>
        <w:t xml:space="preserve">12</w:t>
      </w:r>
      <w:r w:rsidDel="00000000" w:rsidR="00000000" w:rsidRPr="00000000">
        <w:rPr>
          <w:rFonts w:ascii="Georgia" w:cs="Georgia" w:eastAsia="Georgia" w:hAnsi="Georgia"/>
          <w:rtl w:val="0"/>
        </w:rPr>
        <w:t xml:space="preserve"> The literature data serves as a "prior" to establish general chemical relationships (e.g., the synergistic effect of trehalose and glycerol), which is then refined by the specific data generated during the researcher’s cryoMN experiments.</w:t>
      </w:r>
      <w:r w:rsidDel="00000000" w:rsidR="00000000" w:rsidRPr="00000000">
        <w:rPr>
          <w:rFonts w:ascii="Georgia" w:cs="Georgia" w:eastAsia="Georgia" w:hAnsi="Georgia"/>
          <w:sz w:val="24"/>
          <w:szCs w:val="24"/>
          <w:vertAlign w:val="superscript"/>
          <w:rtl w:val="0"/>
        </w:rPr>
        <w:t xml:space="preserve">40</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Step 3: Constraint Integration (Slurry Prevention)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To prevent the algorithm from suggesting "slurry" formulations, a physical constraint is integrated via the "Expected Improvement with Constraints" (EIC) method.</w:t>
      </w:r>
      <w:r w:rsidDel="00000000" w:rsidR="00000000" w:rsidRPr="00000000">
        <w:rPr>
          <w:rFonts w:ascii="Georgia" w:cs="Georgia" w:eastAsia="Georgia" w:hAnsi="Georgia"/>
          <w:sz w:val="24"/>
          <w:szCs w:val="24"/>
          <w:vertAlign w:val="superscript"/>
          <w:rtl w:val="0"/>
        </w:rPr>
        <w:t xml:space="preserve">32</w:t>
      </w:r>
      <w:r w:rsidDel="00000000" w:rsidR="00000000" w:rsidRPr="00000000">
        <w:rPr>
          <w:rFonts w:ascii="Georgia" w:cs="Georgia" w:eastAsia="Georgia" w:hAnsi="Georgia"/>
          <w:rtl w:val="0"/>
        </w:rPr>
        <w:t xml:space="preserve"> The freezing point of the mixture is calculated using the Goff model for ice cream mixes or the simpler Blagden’s Law.</w:t>
      </w:r>
      <w:r w:rsidDel="00000000" w:rsidR="00000000" w:rsidRPr="00000000">
        <w:rPr>
          <w:rFonts w:ascii="Georgia" w:cs="Georgia" w:eastAsia="Georgia" w:hAnsi="Georgia"/>
          <w:sz w:val="24"/>
          <w:szCs w:val="24"/>
          <w:vertAlign w:val="superscript"/>
          <w:rtl w:val="0"/>
        </w:rPr>
        <w:t xml:space="preserve">22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sz w:val="24"/>
          <w:szCs w:val="24"/>
          <w:vertAlign w:val="superscript"/>
        </w:rPr>
        <w:drawing>
          <wp:inline distB="19050" distT="19050" distL="19050" distR="19050">
            <wp:extent cx="5905500" cy="363370"/>
            <wp:effectExtent b="0" l="0" r="0" t="0"/>
            <wp:docPr id="27"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905500" cy="36337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where </w:t>
      </w:r>
      <w:r w:rsidDel="00000000" w:rsidR="00000000" w:rsidRPr="00000000">
        <w:rPr>
          <w:rFonts w:ascii="Georgia" w:cs="Georgia" w:eastAsia="Georgia" w:hAnsi="Georgia"/>
        </w:rPr>
        <w:drawing>
          <wp:inline distB="19050" distT="19050" distL="19050" distR="19050">
            <wp:extent cx="163711" cy="231121"/>
            <wp:effectExtent b="0" l="0" r="0" t="0"/>
            <wp:docPr id="2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63711" cy="231121"/>
                    </a:xfrm>
                    <a:prstGeom prst="rect"/>
                    <a:ln/>
                  </pic:spPr>
                </pic:pic>
              </a:graphicData>
            </a:graphic>
          </wp:inline>
        </w:drawing>
      </w:r>
      <w:r w:rsidDel="00000000" w:rsidR="00000000" w:rsidRPr="00000000">
        <w:rPr>
          <w:rFonts w:ascii="Georgia" w:cs="Georgia" w:eastAsia="Georgia" w:hAnsi="Georgia"/>
          <w:rtl w:val="0"/>
        </w:rPr>
        <w:t xml:space="preserve"> is the osmotic coefficient.</w:t>
      </w:r>
      <w:r w:rsidDel="00000000" w:rsidR="00000000" w:rsidRPr="00000000">
        <w:rPr>
          <w:rFonts w:ascii="Georgia" w:cs="Georgia" w:eastAsia="Georgia" w:hAnsi="Georgia"/>
          <w:sz w:val="24"/>
          <w:szCs w:val="24"/>
          <w:vertAlign w:val="superscript"/>
          <w:rtl w:val="0"/>
        </w:rPr>
        <w:t xml:space="preserve">43</w:t>
      </w:r>
      <w:r w:rsidDel="00000000" w:rsidR="00000000" w:rsidRPr="00000000">
        <w:rPr>
          <w:rFonts w:ascii="Georgia" w:cs="Georgia" w:eastAsia="Georgia" w:hAnsi="Georgia"/>
          <w:rtl w:val="0"/>
        </w:rPr>
        <w:t xml:space="preserve"> The acquisition function is masked such that it only explores regions where the predicted </w:t>
      </w:r>
      <w:r w:rsidDel="00000000" w:rsidR="00000000" w:rsidRPr="00000000">
        <w:rPr>
          <w:rFonts w:ascii="Georgia" w:cs="Georgia" w:eastAsia="Georgia" w:hAnsi="Georgia"/>
        </w:rPr>
        <w:drawing>
          <wp:inline distB="19050" distT="19050" distL="19050" distR="19050">
            <wp:extent cx="258961" cy="230188"/>
            <wp:effectExtent b="0" l="0" r="0" t="0"/>
            <wp:docPr id="29"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258961" cy="230188"/>
                    </a:xfrm>
                    <a:prstGeom prst="rect"/>
                    <a:ln/>
                  </pic:spPr>
                </pic:pic>
              </a:graphicData>
            </a:graphic>
          </wp:inline>
        </w:drawing>
      </w:r>
      <w:r w:rsidDel="00000000" w:rsidR="00000000" w:rsidRPr="00000000">
        <w:rPr>
          <w:rFonts w:ascii="Georgia" w:cs="Georgia" w:eastAsia="Georgia" w:hAnsi="Georgia"/>
          <w:rtl w:val="0"/>
        </w:rPr>
        <w:t xml:space="preserve"> is at least </w:t>
      </w:r>
      <w:r w:rsidDel="00000000" w:rsidR="00000000" w:rsidRPr="00000000">
        <w:rPr>
          <w:rFonts w:ascii="Georgia" w:cs="Georgia" w:eastAsia="Georgia" w:hAnsi="Georgia"/>
        </w:rPr>
        <w:drawing>
          <wp:inline distB="19050" distT="19050" distL="19050" distR="19050">
            <wp:extent cx="299145" cy="221946"/>
            <wp:effectExtent b="0" l="0" r="0" t="0"/>
            <wp:docPr id="30"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299145" cy="221946"/>
                    </a:xfrm>
                    <a:prstGeom prst="rect"/>
                    <a:ln/>
                  </pic:spPr>
                </pic:pic>
              </a:graphicData>
            </a:graphic>
          </wp:inline>
        </w:drawing>
      </w:r>
      <w:r w:rsidDel="00000000" w:rsidR="00000000" w:rsidRPr="00000000">
        <w:rPr>
          <w:rFonts w:ascii="Georgia" w:cs="Georgia" w:eastAsia="Georgia" w:hAnsi="Georgia"/>
          <w:rtl w:val="0"/>
        </w:rPr>
        <w:t xml:space="preserve"> above the storage temperature, ensuring a high ice-to-liquid ratio and thus high needle strength.</w:t>
      </w:r>
      <w:r w:rsidDel="00000000" w:rsidR="00000000" w:rsidRPr="00000000">
        <w:rPr>
          <w:rFonts w:ascii="Georgia" w:cs="Georgia" w:eastAsia="Georgia" w:hAnsi="Georgia"/>
          <w:sz w:val="24"/>
          <w:szCs w:val="24"/>
          <w:vertAlign w:val="superscript"/>
          <w:rtl w:val="0"/>
        </w:rPr>
        <w:t xml:space="preserve">23</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Step 4: Active Learning and Iterative Validation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Bayesian framework functions as an active learner, proposing a batch of formulations (</w:t>
      </w:r>
      <w:r w:rsidDel="00000000" w:rsidR="00000000" w:rsidRPr="00000000">
        <w:rPr>
          <w:rFonts w:ascii="Georgia" w:cs="Georgia" w:eastAsia="Georgia" w:hAnsi="Georgia"/>
        </w:rPr>
        <w:drawing>
          <wp:inline distB="19050" distT="19050" distL="19050" distR="19050">
            <wp:extent cx="427286" cy="227886"/>
            <wp:effectExtent b="0" l="0" r="0" t="0"/>
            <wp:docPr id="31"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427286" cy="227886"/>
                    </a:xfrm>
                    <a:prstGeom prst="rect"/>
                    <a:ln/>
                  </pic:spPr>
                </pic:pic>
              </a:graphicData>
            </a:graphic>
          </wp:inline>
        </w:drawing>
      </w:r>
      <w:r w:rsidDel="00000000" w:rsidR="00000000" w:rsidRPr="00000000">
        <w:rPr>
          <w:rFonts w:ascii="Georgia" w:cs="Georgia" w:eastAsia="Georgia" w:hAnsi="Georgia"/>
          <w:rtl w:val="0"/>
        </w:rPr>
        <w:t xml:space="preserve">) to be validated in the wet lab.</w:t>
      </w:r>
      <w:r w:rsidDel="00000000" w:rsidR="00000000" w:rsidRPr="00000000">
        <w:rPr>
          <w:rFonts w:ascii="Georgia" w:cs="Georgia" w:eastAsia="Georgia" w:hAnsi="Georgia"/>
          <w:sz w:val="24"/>
          <w:szCs w:val="24"/>
          <w:vertAlign w:val="superscript"/>
          <w:rtl w:val="0"/>
        </w:rPr>
        <w:t xml:space="preserve">37</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Cycle Stage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 Silico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qNEHVI optimization over the sparse design space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5 candidate formulations </w:t>
            </w:r>
            <w:r w:rsidDel="00000000" w:rsidR="00000000" w:rsidRPr="00000000">
              <w:rPr>
                <w:rFonts w:ascii="Georgia" w:cs="Georgia" w:eastAsia="Georgia" w:hAnsi="Georgia"/>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Fabrication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CryoMN mold filling and gradient freezing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Physical microneedle patches </w:t>
            </w:r>
            <w:r w:rsidDel="00000000" w:rsidR="00000000" w:rsidRPr="00000000">
              <w:rPr>
                <w:rFonts w:ascii="Georgia" w:cs="Georgia" w:eastAsia="Georgia" w:hAnsi="Georgia"/>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Mechanical Test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Axial force compression to measure fracture point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Buckling force (N/needle) </w:t>
            </w:r>
            <w:r w:rsidDel="00000000" w:rsidR="00000000" w:rsidRPr="00000000">
              <w:rPr>
                <w:rFonts w:ascii="Georgia" w:cs="Georgia" w:eastAsia="Georgia" w:hAnsi="Georgia"/>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Biological Test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Post-thaw viability assay (e.g., AO/PI)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 Viability, % Recovery </w:t>
            </w:r>
            <w:r w:rsidDel="00000000" w:rsidR="00000000" w:rsidRPr="00000000">
              <w:rPr>
                <w:rFonts w:ascii="Georgia" w:cs="Georgia" w:eastAsia="Georgia" w:hAnsi="Georgia"/>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Feedback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Bayesian update of the Gaussian Process posterior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Refined surrogate model </w:t>
            </w:r>
            <w:r w:rsidDel="00000000" w:rsidR="00000000" w:rsidRPr="00000000">
              <w:rPr>
                <w:rFonts w:ascii="Georgia" w:cs="Georgia" w:eastAsia="Georgia" w:hAnsi="Georgia"/>
                <w:sz w:val="24"/>
                <w:szCs w:val="24"/>
                <w:vertAlign w:val="superscript"/>
                <w:rtl w:val="0"/>
              </w:rPr>
              <w:t xml:space="preserve">14</w:t>
            </w:r>
          </w:p>
        </w:tc>
      </w:tr>
    </w:tbl>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Mechanical Integrity and Skin Penetration Dynamics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success of a cryoMN formulation is measured not only by cell survival but by the ability of the needle to cross the stratum corneum without fracturing or buckling. The force required for a microneedle with a tip radius of </w:t>
      </w:r>
      <w:r w:rsidDel="00000000" w:rsidR="00000000" w:rsidRPr="00000000">
        <w:rPr>
          <w:rFonts w:ascii="Georgia" w:cs="Georgia" w:eastAsia="Georgia" w:hAnsi="Georgia"/>
        </w:rPr>
        <w:drawing>
          <wp:inline distB="19050" distT="19050" distL="19050" distR="19050">
            <wp:extent cx="449312" cy="229436"/>
            <wp:effectExtent b="0" l="0" r="0" t="0"/>
            <wp:docPr id="32"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449312" cy="229436"/>
                    </a:xfrm>
                    <a:prstGeom prst="rect"/>
                    <a:ln/>
                  </pic:spPr>
                </pic:pic>
              </a:graphicData>
            </a:graphic>
          </wp:inline>
        </w:drawing>
      </w:r>
      <w:r w:rsidDel="00000000" w:rsidR="00000000" w:rsidRPr="00000000">
        <w:rPr>
          <w:rFonts w:ascii="Georgia" w:cs="Georgia" w:eastAsia="Georgia" w:hAnsi="Georgia"/>
          <w:rtl w:val="0"/>
        </w:rPr>
        <w:t xml:space="preserve"> to puncture human skin is approximately </w:t>
      </w:r>
      <w:r w:rsidDel="00000000" w:rsidR="00000000" w:rsidRPr="00000000">
        <w:rPr>
          <w:rFonts w:ascii="Georgia" w:cs="Georgia" w:eastAsia="Georgia" w:hAnsi="Georgia"/>
        </w:rPr>
        <w:drawing>
          <wp:inline distB="19050" distT="19050" distL="19050" distR="19050">
            <wp:extent cx="1198662" cy="218803"/>
            <wp:effectExtent b="0" l="0" r="0" t="0"/>
            <wp:docPr id="33"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1198662" cy="218803"/>
                    </a:xfrm>
                    <a:prstGeom prst="rect"/>
                    <a:ln/>
                  </pic:spPr>
                </pic:pic>
              </a:graphicData>
            </a:graphic>
          </wp:inline>
        </w:drawing>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24"/>
          <w:szCs w:val="24"/>
          <w:vertAlign w:val="superscript"/>
          <w:rtl w:val="0"/>
        </w:rPr>
        <w:t xml:space="preserve">46</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Factors Influencing Fracture Force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Experimental results indicate that the needle fracture force is negatively correlated with the needle's aspect ratio (height-to-base diameter) and the residual water content in the matrix.</w:t>
      </w:r>
      <w:r w:rsidDel="00000000" w:rsidR="00000000" w:rsidRPr="00000000">
        <w:rPr>
          <w:rFonts w:ascii="Georgia" w:cs="Georgia" w:eastAsia="Georgia" w:hAnsi="Georgia"/>
          <w:sz w:val="24"/>
          <w:szCs w:val="24"/>
          <w:vertAlign w:val="superscript"/>
          <w:rtl w:val="0"/>
        </w:rPr>
        <w:t xml:space="preserve">24</w:t>
      </w:r>
      <w:r w:rsidDel="00000000" w:rsidR="00000000" w:rsidRPr="00000000">
        <w:rPr>
          <w:rFonts w:ascii="Georgia" w:cs="Georgia" w:eastAsia="Georgia" w:hAnsi="Georgia"/>
          <w:rtl w:val="0"/>
        </w:rPr>
        <w:t xml:space="preserve"> In the context of cryoMNs, "residual water" refers to the liquid phase of the slurry.</w:t>
      </w:r>
      <w:r w:rsidDel="00000000" w:rsidR="00000000" w:rsidRPr="00000000">
        <w:rPr>
          <w:rFonts w:ascii="Georgia" w:cs="Georgia" w:eastAsia="Georgia" w:hAnsi="Georgia"/>
          <w:sz w:val="24"/>
          <w:szCs w:val="24"/>
          <w:vertAlign w:val="superscript"/>
          <w:rtl w:val="0"/>
        </w:rPr>
        <w:t xml:space="preserve">5</w:t>
      </w:r>
      <w:r w:rsidDel="00000000" w:rsidR="00000000" w:rsidRPr="00000000">
        <w:rPr>
          <w:rFonts w:ascii="Georgia" w:cs="Georgia" w:eastAsia="Georgia" w:hAnsi="Georgia"/>
          <w:rtl w:val="0"/>
        </w:rPr>
        <w:t xml:space="preserve"> Machine learning models must account for the fact that high concentrations of CPAs, while protective, reduce the volume fraction of crystalline ice, thereby reducing the needle's stiffness.</w:t>
      </w:r>
      <w:r w:rsidDel="00000000" w:rsidR="00000000" w:rsidRPr="00000000">
        <w:rPr>
          <w:rFonts w:ascii="Georgia" w:cs="Georgia" w:eastAsia="Georgia" w:hAnsi="Georgia"/>
          <w:sz w:val="24"/>
          <w:szCs w:val="24"/>
          <w:vertAlign w:val="superscript"/>
          <w:rtl w:val="0"/>
        </w:rPr>
        <w:t xml:space="preserve">23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To mitigate this, the optimized solution will likely incorporate structural additives like Hyaluronic Acid (HA) or PEG 1500, which have been shown to enhance the mechanical strength of dissolving microneedles to upwards of </w:t>
      </w:r>
      <w:r w:rsidDel="00000000" w:rsidR="00000000" w:rsidRPr="00000000">
        <w:rPr>
          <w:rFonts w:ascii="Georgia" w:cs="Georgia" w:eastAsia="Georgia" w:hAnsi="Georgia"/>
        </w:rPr>
        <w:drawing>
          <wp:inline distB="19050" distT="19050" distL="19050" distR="19050">
            <wp:extent cx="1106537" cy="219400"/>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106537" cy="219400"/>
                    </a:xfrm>
                    <a:prstGeom prst="rect"/>
                    <a:ln/>
                  </pic:spPr>
                </pic:pic>
              </a:graphicData>
            </a:graphic>
          </wp:inline>
        </w:drawing>
      </w:r>
      <w:r w:rsidDel="00000000" w:rsidR="00000000" w:rsidRPr="00000000">
        <w:rPr>
          <w:rFonts w:ascii="Georgia" w:cs="Georgia" w:eastAsia="Georgia" w:hAnsi="Georgia"/>
          <w:rtl w:val="0"/>
        </w:rPr>
        <w:t xml:space="preserve">, providing a significant margin of safety over the penetration threshold.</w:t>
      </w:r>
      <w:r w:rsidDel="00000000" w:rsidR="00000000" w:rsidRPr="00000000">
        <w:rPr>
          <w:rFonts w:ascii="Georgia" w:cs="Georgia" w:eastAsia="Georgia" w:hAnsi="Georgia"/>
          <w:sz w:val="24"/>
          <w:szCs w:val="24"/>
          <w:vertAlign w:val="superscript"/>
          <w:rtl w:val="0"/>
        </w:rPr>
        <w:t xml:space="preserve">23</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Structural Additive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Concentration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Effect on Mechanical Strength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Impact on Cell Viability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Hyaluronic Acid (HA)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0.1-0.2%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High increase (stiffness)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Neutral/Positive </w:t>
            </w:r>
            <w:r w:rsidDel="00000000" w:rsidR="00000000" w:rsidRPr="00000000">
              <w:rPr>
                <w:rFonts w:ascii="Georgia" w:cs="Georgia" w:eastAsia="Georgia" w:hAnsi="Georgia"/>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PEG 1500-5000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High increase (matrix stability)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Positive </w:t>
            </w:r>
            <w:r w:rsidDel="00000000" w:rsidR="00000000" w:rsidRPr="00000000">
              <w:rPr>
                <w:rFonts w:ascii="Georgia" w:cs="Georgia" w:eastAsia="Georgia" w:hAnsi="Georgia"/>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Hydroxyethyl Starch (HES)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2.5-6%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Moderate increase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Positive </w:t>
            </w:r>
            <w:r w:rsidDel="00000000" w:rsidR="00000000" w:rsidRPr="00000000">
              <w:rPr>
                <w:rFonts w:ascii="Georgia" w:cs="Georgia" w:eastAsia="Georgia" w:hAnsi="Georgia"/>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Dextran-40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Moderate increase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Positive </w:t>
            </w:r>
            <w:r w:rsidDel="00000000" w:rsidR="00000000" w:rsidRPr="00000000">
              <w:rPr>
                <w:rFonts w:ascii="Georgia" w:cs="Georgia" w:eastAsia="Georgia" w:hAnsi="Georgia"/>
                <w:sz w:val="24"/>
                <w:szCs w:val="24"/>
                <w:vertAlign w:val="superscript"/>
                <w:rtl w:val="0"/>
              </w:rPr>
              <w:t xml:space="preserve">9</w:t>
            </w:r>
          </w:p>
        </w:tc>
      </w:tr>
    </w:tbl>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Synergistic Candidate Selection for Optimized Formulations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Based on the meta-analysis of the provided CSV data and the algorithmic requirements, the machine learning model is expected to converge on a multi-component solution that minimizes DMSO to </w:t>
      </w:r>
      <w:r w:rsidDel="00000000" w:rsidR="00000000" w:rsidRPr="00000000">
        <w:rPr>
          <w:rFonts w:ascii="Georgia" w:cs="Georgia" w:eastAsia="Georgia" w:hAnsi="Georgia"/>
        </w:rPr>
        <w:drawing>
          <wp:inline distB="19050" distT="19050" distL="19050" distR="19050">
            <wp:extent cx="440680" cy="220340"/>
            <wp:effectExtent b="0" l="0" r="0" t="0"/>
            <wp:docPr id="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440680" cy="220340"/>
                    </a:xfrm>
                    <a:prstGeom prst="rect"/>
                    <a:ln/>
                  </pic:spPr>
                </pic:pic>
              </a:graphicData>
            </a:graphic>
          </wp:inline>
        </w:drawing>
      </w:r>
      <w:r w:rsidDel="00000000" w:rsidR="00000000" w:rsidRPr="00000000">
        <w:rPr>
          <w:rFonts w:ascii="Georgia" w:cs="Georgia" w:eastAsia="Georgia" w:hAnsi="Georgia"/>
          <w:rtl w:val="0"/>
        </w:rPr>
        <w:t xml:space="preserve"> or eliminates it entirely by leveraging the following synergies:</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The Trehalose-Glycerol-Compatible Solute Axis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combination of 1.0 M trehalose and 20% glycerol has already demonstrated viability (77%) comparable to 10% DMSO for ADSCs.</w:t>
      </w:r>
      <w:r w:rsidDel="00000000" w:rsidR="00000000" w:rsidRPr="00000000">
        <w:rPr>
          <w:rFonts w:ascii="Georgia" w:cs="Georgia" w:eastAsia="Georgia" w:hAnsi="Georgia"/>
          <w:sz w:val="24"/>
          <w:szCs w:val="24"/>
          <w:vertAlign w:val="superscript"/>
          <w:rtl w:val="0"/>
        </w:rPr>
        <w:t xml:space="preserve">21</w:t>
      </w:r>
      <w:r w:rsidDel="00000000" w:rsidR="00000000" w:rsidRPr="00000000">
        <w:rPr>
          <w:rFonts w:ascii="Georgia" w:cs="Georgia" w:eastAsia="Georgia" w:hAnsi="Georgia"/>
          <w:rtl w:val="0"/>
        </w:rPr>
        <w:t xml:space="preserve"> However, this 20% glycerol concentration may be too high for cryoMN rigidity.</w:t>
      </w:r>
      <w:r w:rsidDel="00000000" w:rsidR="00000000" w:rsidRPr="00000000">
        <w:rPr>
          <w:rFonts w:ascii="Georgia" w:cs="Georgia" w:eastAsia="Georgia" w:hAnsi="Georgia"/>
          <w:sz w:val="24"/>
          <w:szCs w:val="24"/>
          <w:vertAlign w:val="superscript"/>
          <w:rtl w:val="0"/>
        </w:rPr>
        <w:t xml:space="preserve">3</w:t>
      </w:r>
      <w:r w:rsidDel="00000000" w:rsidR="00000000" w:rsidRPr="00000000">
        <w:rPr>
          <w:rFonts w:ascii="Georgia" w:cs="Georgia" w:eastAsia="Georgia" w:hAnsi="Georgia"/>
          <w:rtl w:val="0"/>
        </w:rPr>
        <w:t xml:space="preserve"> The ML algorithm will likely propose reducing glycerol to 5-10% and introducing ectoine (1%) or proline (1%) to compensate for the lost cryoprotection.</w:t>
      </w:r>
      <w:r w:rsidDel="00000000" w:rsidR="00000000" w:rsidRPr="00000000">
        <w:rPr>
          <w:rFonts w:ascii="Georgia" w:cs="Georgia" w:eastAsia="Georgia" w:hAnsi="Georgia"/>
          <w:sz w:val="24"/>
          <w:szCs w:val="24"/>
          <w:vertAlign w:val="superscript"/>
          <w:rtl w:val="0"/>
        </w:rPr>
        <w:t xml:space="preserve">25</w:t>
      </w:r>
      <w:r w:rsidDel="00000000" w:rsidR="00000000" w:rsidRPr="00000000">
        <w:rPr>
          <w:rFonts w:ascii="Georgia" w:cs="Georgia" w:eastAsia="Georgia" w:hAnsi="Georgia"/>
          <w:rtl w:val="0"/>
        </w:rPr>
        <w:t xml:space="preserve"> This ternary blend addresses both intracellular (glycerol/proline) and extracellular (trehalose/ectoine) protection while maintaining a high ice volume fraction for needle strength.</w:t>
      </w:r>
      <w:r w:rsidDel="00000000" w:rsidR="00000000" w:rsidRPr="00000000">
        <w:rPr>
          <w:rFonts w:ascii="Georgia" w:cs="Georgia" w:eastAsia="Georgia" w:hAnsi="Georgia"/>
          <w:sz w:val="24"/>
          <w:szCs w:val="24"/>
          <w:vertAlign w:val="superscript"/>
          <w:rtl w:val="0"/>
        </w:rPr>
        <w:t xml:space="preserve">5</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Polyampholytes and Ice Modifiers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Innovative agents like carboxylated </w:t>
      </w:r>
      <w:r w:rsidDel="00000000" w:rsidR="00000000" w:rsidRPr="00000000">
        <w:rPr>
          <w:rFonts w:ascii="Georgia" w:cs="Georgia" w:eastAsia="Georgia" w:hAnsi="Georgia"/>
        </w:rPr>
        <w:drawing>
          <wp:inline distB="19050" distT="19050" distL="19050" distR="19050">
            <wp:extent cx="75009" cy="225028"/>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75009" cy="225028"/>
                    </a:xfrm>
                    <a:prstGeom prst="rect"/>
                    <a:ln/>
                  </pic:spPr>
                </pic:pic>
              </a:graphicData>
            </a:graphic>
          </wp:inline>
        </w:drawing>
      </w:r>
      <w:r w:rsidDel="00000000" w:rsidR="00000000" w:rsidRPr="00000000">
        <w:rPr>
          <w:rFonts w:ascii="Georgia" w:cs="Georgia" w:eastAsia="Georgia" w:hAnsi="Georgia"/>
          <w:rtl w:val="0"/>
        </w:rPr>
        <w:t xml:space="preserve">-poly-L-lysine (COOH-PLL) act as synthetic polyampholytes that stabilize the glassy state and inhibit the recrystallization of ice during thawing—a major source of cell damage.</w:t>
      </w:r>
      <w:r w:rsidDel="00000000" w:rsidR="00000000" w:rsidRPr="00000000">
        <w:rPr>
          <w:rFonts w:ascii="Georgia" w:cs="Georgia" w:eastAsia="Georgia" w:hAnsi="Georgia"/>
          <w:sz w:val="24"/>
          <w:szCs w:val="24"/>
          <w:vertAlign w:val="superscript"/>
          <w:rtl w:val="0"/>
        </w:rPr>
        <w:t xml:space="preserve">9</w:t>
      </w:r>
      <w:r w:rsidDel="00000000" w:rsidR="00000000" w:rsidRPr="00000000">
        <w:rPr>
          <w:rFonts w:ascii="Georgia" w:cs="Georgia" w:eastAsia="Georgia" w:hAnsi="Georgia"/>
          <w:rtl w:val="0"/>
        </w:rPr>
        <w:t xml:space="preserve"> In hiPSC aggregates, COOH-PLL improved post-thaw reattachment to levels higher than those achieved with 7.5% DMSO.</w:t>
      </w:r>
      <w:r w:rsidDel="00000000" w:rsidR="00000000" w:rsidRPr="00000000">
        <w:rPr>
          <w:rFonts w:ascii="Georgia" w:cs="Georgia" w:eastAsia="Georgia" w:hAnsi="Georgia"/>
          <w:sz w:val="24"/>
          <w:szCs w:val="24"/>
          <w:vertAlign w:val="superscript"/>
          <w:rtl w:val="0"/>
        </w:rPr>
        <w:t xml:space="preserve">9</w:t>
      </w:r>
      <w:r w:rsidDel="00000000" w:rsidR="00000000" w:rsidRPr="00000000">
        <w:rPr>
          <w:rFonts w:ascii="Georgia" w:cs="Georgia" w:eastAsia="Georgia" w:hAnsi="Georgia"/>
          <w:rtl w:val="0"/>
        </w:rPr>
        <w:t xml:space="preserve"> Integrating these into the 10-ingredient limit provides a powerful mechanism for "DMSO-free" success.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Physics-Informed Screening for CryoMN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researcher can enhance the ML approach by using a Physics-Informed Neural Network (PINN) as a pre-filter.</w:t>
      </w:r>
      <w:r w:rsidDel="00000000" w:rsidR="00000000" w:rsidRPr="00000000">
        <w:rPr>
          <w:rFonts w:ascii="Georgia" w:cs="Georgia" w:eastAsia="Georgia" w:hAnsi="Georgia"/>
          <w:sz w:val="24"/>
          <w:szCs w:val="24"/>
          <w:vertAlign w:val="superscript"/>
          <w:rtl w:val="0"/>
        </w:rPr>
        <w:t xml:space="preserve">48</w:t>
      </w:r>
      <w:r w:rsidDel="00000000" w:rsidR="00000000" w:rsidRPr="00000000">
        <w:rPr>
          <w:rFonts w:ascii="Georgia" w:cs="Georgia" w:eastAsia="Georgia" w:hAnsi="Georgia"/>
          <w:rtl w:val="0"/>
        </w:rPr>
        <w:t xml:space="preserve"> The PINN can simulate the heat transfer during the fast-freezing process to predict the size of ice crystals.</w:t>
      </w:r>
      <w:r w:rsidDel="00000000" w:rsidR="00000000" w:rsidRPr="00000000">
        <w:rPr>
          <w:rFonts w:ascii="Georgia" w:cs="Georgia" w:eastAsia="Georgia" w:hAnsi="Georgia"/>
          <w:sz w:val="24"/>
          <w:szCs w:val="24"/>
          <w:vertAlign w:val="superscript"/>
          <w:rtl w:val="0"/>
        </w:rPr>
        <w:t xml:space="preserve">49</w:t>
      </w:r>
      <w:r w:rsidDel="00000000" w:rsidR="00000000" w:rsidRPr="00000000">
        <w:rPr>
          <w:rFonts w:ascii="Georgia" w:cs="Georgia" w:eastAsia="Georgia" w:hAnsi="Georgia"/>
          <w:rtl w:val="0"/>
        </w:rPr>
        <w:t xml:space="preserve"> Large ice crystals are known to be more damaging to cells but can provide higher structural rigidity to the needle.</w:t>
      </w:r>
      <w:r w:rsidDel="00000000" w:rsidR="00000000" w:rsidRPr="00000000">
        <w:rPr>
          <w:rFonts w:ascii="Georgia" w:cs="Georgia" w:eastAsia="Georgia" w:hAnsi="Georgia"/>
          <w:sz w:val="24"/>
          <w:szCs w:val="24"/>
          <w:vertAlign w:val="superscript"/>
          <w:rtl w:val="0"/>
        </w:rPr>
        <w:t xml:space="preserve">23</w:t>
      </w:r>
      <w:r w:rsidDel="00000000" w:rsidR="00000000" w:rsidRPr="00000000">
        <w:rPr>
          <w:rFonts w:ascii="Georgia" w:cs="Georgia" w:eastAsia="Georgia" w:hAnsi="Georgia"/>
          <w:rtl w:val="0"/>
        </w:rPr>
        <w:t xml:space="preserve"> The model will search for the "Goldilocks" zone—a cooling rate and formulation combination that produces crystals small enough to spare the cells but large and interconnected enough to support the needle's axial load.</w:t>
      </w:r>
      <w:r w:rsidDel="00000000" w:rsidR="00000000" w:rsidRPr="00000000">
        <w:rPr>
          <w:rFonts w:ascii="Georgia" w:cs="Georgia" w:eastAsia="Georgia" w:hAnsi="Georgia"/>
          <w:sz w:val="24"/>
          <w:szCs w:val="24"/>
          <w:vertAlign w:val="superscript"/>
          <w:rtl w:val="0"/>
        </w:rPr>
        <w:t xml:space="preserve">49</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Proposed Optimized Protocol Discovery Workflow</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The comprehensive document detailing the steps for formulation optimization is as follows:</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Step 1: Initial Library Construction and Feature Extraction</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Extract all ingredient-concentration pairs from the CSV.</w:t>
      </w:r>
      <w:r w:rsidDel="00000000" w:rsidR="00000000" w:rsidRPr="00000000">
        <w:rPr>
          <w:rFonts w:ascii="Georgia" w:cs="Georgia" w:eastAsia="Georgia" w:hAnsi="Georgia"/>
          <w:sz w:val="24"/>
          <w:szCs w:val="24"/>
          <w:vertAlign w:val="superscript"/>
          <w:rtl w:val="0"/>
        </w:rPr>
        <w:t xml:space="preserve">3</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Standardize all units to molarity and compute the theoretical freezing point depression for each entry.</w:t>
      </w:r>
      <w:r w:rsidDel="00000000" w:rsidR="00000000" w:rsidRPr="00000000">
        <w:rPr>
          <w:rFonts w:ascii="Georgia" w:cs="Georgia" w:eastAsia="Georgia" w:hAnsi="Georgia"/>
          <w:sz w:val="24"/>
          <w:szCs w:val="24"/>
          <w:vertAlign w:val="superscript"/>
          <w:rtl w:val="0"/>
        </w:rPr>
        <w:t xml:space="preserve">22</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Assign "Structural Weight" to each ingredient based on its molecular weight (higher MW = higher contribution to strength per mole).</w:t>
      </w:r>
      <w:r w:rsidDel="00000000" w:rsidR="00000000" w:rsidRPr="00000000">
        <w:rPr>
          <w:rFonts w:ascii="Georgia" w:cs="Georgia" w:eastAsia="Georgia" w:hAnsi="Georgia"/>
          <w:sz w:val="24"/>
          <w:szCs w:val="24"/>
          <w:vertAlign w:val="superscript"/>
          <w:rtl w:val="0"/>
        </w:rPr>
        <w:t xml:space="preserve">5</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Step 2: Constrained Multi-Objective Bayesian Initialization</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Define the objective functions: </w:t>
      </w:r>
      <w:r w:rsidDel="00000000" w:rsidR="00000000" w:rsidRPr="00000000">
        <w:rPr>
          <w:rFonts w:ascii="Georgia" w:cs="Georgia" w:eastAsia="Georgia" w:hAnsi="Georgia"/>
        </w:rPr>
        <w:drawing>
          <wp:inline distB="19050" distT="19050" distL="19050" distR="19050">
            <wp:extent cx="1117550" cy="229241"/>
            <wp:effectExtent b="0" l="0" r="0" t="0"/>
            <wp:docPr id="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117550" cy="229241"/>
                    </a:xfrm>
                    <a:prstGeom prst="rect"/>
                    <a:ln/>
                  </pic:spPr>
                </pic:pic>
              </a:graphicData>
            </a:graphic>
          </wp:inline>
        </w:drawing>
      </w:r>
      <w:r w:rsidDel="00000000" w:rsidR="00000000" w:rsidRPr="00000000">
        <w:rPr>
          <w:rFonts w:ascii="Georgia" w:cs="Georgia" w:eastAsia="Georgia" w:hAnsi="Georgia"/>
          <w:rtl w:val="0"/>
        </w:rPr>
        <w:t xml:space="preserve"> (to be maximized) and </w:t>
      </w:r>
      <w:r w:rsidDel="00000000" w:rsidR="00000000" w:rsidRPr="00000000">
        <w:rPr>
          <w:rFonts w:ascii="Georgia" w:cs="Georgia" w:eastAsia="Georgia" w:hAnsi="Georgia"/>
        </w:rPr>
        <w:drawing>
          <wp:inline distB="19050" distT="19050" distL="19050" distR="19050">
            <wp:extent cx="1453902" cy="228063"/>
            <wp:effectExtent b="0" l="0" r="0" t="0"/>
            <wp:docPr id="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453902" cy="228063"/>
                    </a:xfrm>
                    <a:prstGeom prst="rect"/>
                    <a:ln/>
                  </pic:spPr>
                </pic:pic>
              </a:graphicData>
            </a:graphic>
          </wp:inline>
        </w:drawing>
      </w:r>
      <w:r w:rsidDel="00000000" w:rsidR="00000000" w:rsidRPr="00000000">
        <w:rPr>
          <w:rFonts w:ascii="Georgia" w:cs="Georgia" w:eastAsia="Georgia" w:hAnsi="Georgia"/>
          <w:rtl w:val="0"/>
        </w:rPr>
        <w:t xml:space="preserve"> (to be minimized).</w:t>
      </w:r>
      <w:r w:rsidDel="00000000" w:rsidR="00000000" w:rsidRPr="00000000">
        <w:rPr>
          <w:rFonts w:ascii="Georgia" w:cs="Georgia" w:eastAsia="Georgia" w:hAnsi="Georgia"/>
          <w:sz w:val="24"/>
          <w:szCs w:val="24"/>
          <w:vertAlign w:val="superscript"/>
          <w:rtl w:val="0"/>
        </w:rPr>
        <w:t xml:space="preserve">37</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Apply a feasibility constraint: </w:t>
      </w:r>
      <w:r w:rsidDel="00000000" w:rsidR="00000000" w:rsidRPr="00000000">
        <w:rPr>
          <w:rFonts w:ascii="Georgia" w:cs="Georgia" w:eastAsia="Georgia" w:hAnsi="Georgia"/>
        </w:rPr>
        <w:drawing>
          <wp:inline distB="19050" distT="19050" distL="19050" distR="19050">
            <wp:extent cx="2347764" cy="238594"/>
            <wp:effectExtent b="0" l="0" r="0" t="0"/>
            <wp:docPr id="6"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347764" cy="238594"/>
                    </a:xfrm>
                    <a:prstGeom prst="rect"/>
                    <a:ln/>
                  </pic:spPr>
                </pic:pic>
              </a:graphicData>
            </a:graphic>
          </wp:inline>
        </w:drawing>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24"/>
          <w:szCs w:val="24"/>
          <w:vertAlign w:val="superscript"/>
          <w:rtl w:val="0"/>
        </w:rPr>
        <w:t xml:space="preserve">32</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Train Gaussian Process surrogates for </w:t>
      </w:r>
      <w:r w:rsidDel="00000000" w:rsidR="00000000" w:rsidRPr="00000000">
        <w:rPr>
          <w:rFonts w:ascii="Georgia" w:cs="Georgia" w:eastAsia="Georgia" w:hAnsi="Georgia"/>
        </w:rPr>
        <w:drawing>
          <wp:inline distB="19050" distT="19050" distL="19050" distR="19050">
            <wp:extent cx="461516" cy="230758"/>
            <wp:effectExtent b="0" l="0" r="0" t="0"/>
            <wp:docPr id="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61516" cy="230758"/>
                    </a:xfrm>
                    <a:prstGeom prst="rect"/>
                    <a:ln/>
                  </pic:spPr>
                </pic:pic>
              </a:graphicData>
            </a:graphic>
          </wp:inline>
        </w:drawing>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rPr>
        <w:drawing>
          <wp:inline distB="19050" distT="19050" distL="19050" distR="19050">
            <wp:extent cx="94655" cy="227171"/>
            <wp:effectExtent b="0" l="0" r="0" t="0"/>
            <wp:docPr id="8"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94655" cy="227171"/>
                    </a:xfrm>
                    <a:prstGeom prst="rect"/>
                    <a:ln/>
                  </pic:spPr>
                </pic:pic>
              </a:graphicData>
            </a:graphic>
          </wp:inline>
        </w:drawing>
      </w:r>
      <w:r w:rsidDel="00000000" w:rsidR="00000000" w:rsidRPr="00000000">
        <w:rPr>
          <w:rFonts w:ascii="Georgia" w:cs="Georgia" w:eastAsia="Georgia" w:hAnsi="Georgia"/>
          <w:rtl w:val="0"/>
        </w:rPr>
        <w:t xml:space="preserve"> using an ARD Matérn kernel.</w:t>
      </w:r>
      <w:r w:rsidDel="00000000" w:rsidR="00000000" w:rsidRPr="00000000">
        <w:rPr>
          <w:rFonts w:ascii="Georgia" w:cs="Georgia" w:eastAsia="Georgia" w:hAnsi="Georgia"/>
          <w:sz w:val="24"/>
          <w:szCs w:val="24"/>
          <w:vertAlign w:val="superscript"/>
          <w:rtl w:val="0"/>
        </w:rPr>
        <w:t xml:space="preserve">33</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Step 3: Sparse Formulation Search</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Execute the qNEHVI acquisition function to identify candidates on the Pareto frontier.</w:t>
      </w:r>
      <w:r w:rsidDel="00000000" w:rsidR="00000000" w:rsidRPr="00000000">
        <w:rPr>
          <w:rFonts w:ascii="Georgia" w:cs="Georgia" w:eastAsia="Georgia" w:hAnsi="Georgia"/>
          <w:sz w:val="24"/>
          <w:szCs w:val="24"/>
          <w:vertAlign w:val="superscript"/>
          <w:rtl w:val="0"/>
        </w:rPr>
        <w:t xml:space="preserve">37</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Apply the SEBO penalty to prune the ingredient list to the 10 most effective variables.</w:t>
      </w:r>
      <w:r w:rsidDel="00000000" w:rsidR="00000000" w:rsidRPr="00000000">
        <w:rPr>
          <w:rFonts w:ascii="Georgia" w:cs="Georgia" w:eastAsia="Georgia" w:hAnsi="Georgia"/>
          <w:sz w:val="24"/>
          <w:szCs w:val="24"/>
          <w:vertAlign w:val="superscript"/>
          <w:rtl w:val="0"/>
        </w:rPr>
        <w:t xml:space="preserve">28</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Use a "Kriging Believer" strategy to propose a batch of 5 experiments for concurrent wet-lab testing.</w:t>
      </w:r>
      <w:r w:rsidDel="00000000" w:rsidR="00000000" w:rsidRPr="00000000">
        <w:rPr>
          <w:rFonts w:ascii="Georgia" w:cs="Georgia" w:eastAsia="Georgia" w:hAnsi="Georgia"/>
          <w:sz w:val="24"/>
          <w:szCs w:val="24"/>
          <w:vertAlign w:val="superscript"/>
          <w:rtl w:val="0"/>
        </w:rPr>
        <w:t xml:space="preserve">27</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Step 4: Experimental Validation and Active Learning Update</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Fabricate cryoMNs using the 5 proposed formulations.</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Measure axial fracture force. Any needle failing below </w:t>
      </w:r>
      <w:r w:rsidDel="00000000" w:rsidR="00000000" w:rsidRPr="00000000">
        <w:rPr>
          <w:rFonts w:ascii="Georgia" w:cs="Georgia" w:eastAsia="Georgia" w:hAnsi="Georgia"/>
        </w:rPr>
        <w:drawing>
          <wp:inline distB="19050" distT="19050" distL="19050" distR="19050">
            <wp:extent cx="420142" cy="219620"/>
            <wp:effectExtent b="0" l="0" r="0" t="0"/>
            <wp:docPr id="9"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420142" cy="219620"/>
                    </a:xfrm>
                    <a:prstGeom prst="rect"/>
                    <a:ln/>
                  </pic:spPr>
                </pic:pic>
              </a:graphicData>
            </a:graphic>
          </wp:inline>
        </w:drawing>
      </w:r>
      <w:r w:rsidDel="00000000" w:rsidR="00000000" w:rsidRPr="00000000">
        <w:rPr>
          <w:rFonts w:ascii="Georgia" w:cs="Georgia" w:eastAsia="Georgia" w:hAnsi="Georgia"/>
          <w:rtl w:val="0"/>
        </w:rPr>
        <w:t xml:space="preserve"> (providing a </w:t>
      </w:r>
      <w:r w:rsidDel="00000000" w:rsidR="00000000" w:rsidRPr="00000000">
        <w:rPr>
          <w:rFonts w:ascii="Georgia" w:cs="Georgia" w:eastAsia="Georgia" w:hAnsi="Georgia"/>
        </w:rPr>
        <w:drawing>
          <wp:inline distB="19050" distT="19050" distL="19050" distR="19050">
            <wp:extent cx="235744" cy="216884"/>
            <wp:effectExtent b="0" l="0" r="0" t="0"/>
            <wp:docPr id="10"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235744" cy="216884"/>
                    </a:xfrm>
                    <a:prstGeom prst="rect"/>
                    <a:ln/>
                  </pic:spPr>
                </pic:pic>
              </a:graphicData>
            </a:graphic>
          </wp:inline>
        </w:drawing>
      </w:r>
      <w:r w:rsidDel="00000000" w:rsidR="00000000" w:rsidRPr="00000000">
        <w:rPr>
          <w:rFonts w:ascii="Georgia" w:cs="Georgia" w:eastAsia="Georgia" w:hAnsi="Georgia"/>
          <w:rtl w:val="0"/>
        </w:rPr>
        <w:t xml:space="preserve"> safety margin) is marked as a "mechanical failure" in the model.</w:t>
      </w:r>
      <w:r w:rsidDel="00000000" w:rsidR="00000000" w:rsidRPr="00000000">
        <w:rPr>
          <w:rFonts w:ascii="Georgia" w:cs="Georgia" w:eastAsia="Georgia" w:hAnsi="Georgia"/>
          <w:sz w:val="24"/>
          <w:szCs w:val="24"/>
          <w:vertAlign w:val="superscript"/>
          <w:rtl w:val="0"/>
        </w:rPr>
        <w:t xml:space="preserve">46</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Conduct post-thaw viability assays.</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Update the GP models with the new </w:t>
      </w:r>
      <w:r w:rsidDel="00000000" w:rsidR="00000000" w:rsidRPr="00000000">
        <w:rPr>
          <w:rFonts w:ascii="Georgia" w:cs="Georgia" w:eastAsia="Georgia" w:hAnsi="Georgia"/>
        </w:rPr>
        <w:drawing>
          <wp:inline distB="19050" distT="19050" distL="19050" distR="19050">
            <wp:extent cx="924223" cy="238202"/>
            <wp:effectExtent b="0" l="0" r="0" t="0"/>
            <wp:docPr id="18"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924223" cy="238202"/>
                    </a:xfrm>
                    <a:prstGeom prst="rect"/>
                    <a:ln/>
                  </pic:spPr>
                </pic:pic>
              </a:graphicData>
            </a:graphic>
          </wp:inline>
        </w:drawing>
      </w:r>
      <w:r w:rsidDel="00000000" w:rsidR="00000000" w:rsidRPr="00000000">
        <w:rPr>
          <w:rFonts w:ascii="Georgia" w:cs="Georgia" w:eastAsia="Georgia" w:hAnsi="Georgia"/>
          <w:rtl w:val="0"/>
        </w:rPr>
        <w:t xml:space="preserve"> data points.</w:t>
      </w:r>
      <w:r w:rsidDel="00000000" w:rsidR="00000000" w:rsidRPr="00000000">
        <w:rPr>
          <w:rFonts w:ascii="Georgia" w:cs="Georgia" w:eastAsia="Georgia" w:hAnsi="Georgia"/>
          <w:sz w:val="24"/>
          <w:szCs w:val="24"/>
          <w:vertAlign w:val="superscript"/>
          <w:rtl w:val="0"/>
        </w:rPr>
        <w:t xml:space="preserve">14</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Step 5: Convergence and Final Formulation Selection</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Repeat the cycle until the hypervolume of the Pareto front stabilizes.</w:t>
      </w:r>
      <w:r w:rsidDel="00000000" w:rsidR="00000000" w:rsidRPr="00000000">
        <w:rPr>
          <w:rFonts w:ascii="Georgia" w:cs="Georgia" w:eastAsia="Georgia" w:hAnsi="Georgia"/>
          <w:sz w:val="24"/>
          <w:szCs w:val="24"/>
          <w:vertAlign w:val="superscript"/>
          <w:rtl w:val="0"/>
        </w:rPr>
        <w:t xml:space="preserve">27</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rPr>
          <w:rFonts w:ascii="Georgia" w:cs="Georgia" w:eastAsia="Georgia" w:hAnsi="Georgia"/>
        </w:rPr>
      </w:pPr>
      <w:r w:rsidDel="00000000" w:rsidR="00000000" w:rsidRPr="00000000">
        <w:rPr>
          <w:rFonts w:ascii="Georgia" w:cs="Georgia" w:eastAsia="Georgia" w:hAnsi="Georgia"/>
          <w:rtl w:val="0"/>
        </w:rPr>
        <w:t xml:space="preserve">Select the "knee point" solution that offers the highest viability with </w:t>
      </w:r>
      <w:r w:rsidDel="00000000" w:rsidR="00000000" w:rsidRPr="00000000">
        <w:rPr>
          <w:rFonts w:ascii="Georgia" w:cs="Georgia" w:eastAsia="Georgia" w:hAnsi="Georgia"/>
        </w:rPr>
        <w:drawing>
          <wp:inline distB="19050" distT="19050" distL="19050" distR="19050">
            <wp:extent cx="440680" cy="220340"/>
            <wp:effectExtent b="0" l="0" r="0" t="0"/>
            <wp:docPr id="20"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440680" cy="220340"/>
                    </a:xfrm>
                    <a:prstGeom prst="rect"/>
                    <a:ln/>
                  </pic:spPr>
                </pic:pic>
              </a:graphicData>
            </a:graphic>
          </wp:inline>
        </w:drawing>
      </w:r>
      <w:r w:rsidDel="00000000" w:rsidR="00000000" w:rsidRPr="00000000">
        <w:rPr>
          <w:rFonts w:ascii="Georgia" w:cs="Georgia" w:eastAsia="Georgia" w:hAnsi="Georgia"/>
          <w:rtl w:val="0"/>
        </w:rPr>
        <w:t xml:space="preserve"> DMSO and a buckling force </w:t>
      </w:r>
      <w:r w:rsidDel="00000000" w:rsidR="00000000" w:rsidRPr="00000000">
        <w:rPr>
          <w:rFonts w:ascii="Georgia" w:cs="Georgia" w:eastAsia="Georgia" w:hAnsi="Georgia"/>
        </w:rPr>
        <w:drawing>
          <wp:inline distB="19050" distT="19050" distL="19050" distR="19050">
            <wp:extent cx="614958" cy="217600"/>
            <wp:effectExtent b="0" l="0" r="0" t="0"/>
            <wp:docPr id="23"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614958" cy="217600"/>
                    </a:xfrm>
                    <a:prstGeom prst="rect"/>
                    <a:ln/>
                  </pic:spPr>
                </pic:pic>
              </a:graphicData>
            </a:graphic>
          </wp:inline>
        </w:drawing>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24"/>
          <w:szCs w:val="24"/>
          <w:vertAlign w:val="superscript"/>
          <w:rtl w:val="0"/>
        </w:rPr>
        <w:t xml:space="preserve">38</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Clinical and Structural Implications of the Optimized System</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rPr>
      </w:pPr>
      <w:r w:rsidDel="00000000" w:rsidR="00000000" w:rsidRPr="00000000">
        <w:rPr>
          <w:rFonts w:ascii="Georgia" w:cs="Georgia" w:eastAsia="Georgia" w:hAnsi="Georgia"/>
          <w:rtl w:val="0"/>
        </w:rPr>
        <w:t xml:space="preserve">The successful optimization of a DMSO-free cryogenic medium for cryoMNs has profound implications for the transdermal delivery of advanced therapies.</w:t>
      </w:r>
      <w:r w:rsidDel="00000000" w:rsidR="00000000" w:rsidRPr="00000000">
        <w:rPr>
          <w:rFonts w:ascii="Georgia" w:cs="Georgia" w:eastAsia="Georgia" w:hAnsi="Georgia"/>
          <w:sz w:val="24"/>
          <w:szCs w:val="24"/>
          <w:vertAlign w:val="superscript"/>
          <w:rtl w:val="0"/>
        </w:rPr>
        <w:t xml:space="preserve">7</w:t>
      </w:r>
      <w:r w:rsidDel="00000000" w:rsidR="00000000" w:rsidRPr="00000000">
        <w:rPr>
          <w:rFonts w:ascii="Georgia" w:cs="Georgia" w:eastAsia="Georgia" w:hAnsi="Georgia"/>
          <w:rtl w:val="0"/>
        </w:rPr>
        <w:t xml:space="preserve"> By utilizing a cocktail of naturally occurring osmolytes and structural polymers, the researcher can achieve:</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Phenotypic Preservation:</w:t>
      </w:r>
      <w:r w:rsidDel="00000000" w:rsidR="00000000" w:rsidRPr="00000000">
        <w:rPr>
          <w:rFonts w:ascii="Georgia" w:cs="Georgia" w:eastAsia="Georgia" w:hAnsi="Georgia"/>
          <w:rtl w:val="0"/>
        </w:rPr>
        <w:t xml:space="preserve"> Cells delivered via cryoMNs avoid the epigenetic shifts and unwanted differentiation associated with DMSO, ensuring that the therapeutic effect (e.g., immunomodulation by MSCs) is maintained.</w:t>
      </w:r>
      <w:r w:rsidDel="00000000" w:rsidR="00000000" w:rsidRPr="00000000">
        <w:rPr>
          <w:rFonts w:ascii="Georgia" w:cs="Georgia" w:eastAsia="Georgia" w:hAnsi="Georgia"/>
          <w:sz w:val="24"/>
          <w:szCs w:val="24"/>
          <w:vertAlign w:val="superscript"/>
          <w:rtl w:val="0"/>
        </w:rPr>
        <w:t xml:space="preserve">3</w:t>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Simplified Workflows:</w:t>
      </w:r>
      <w:r w:rsidDel="00000000" w:rsidR="00000000" w:rsidRPr="00000000">
        <w:rPr>
          <w:rFonts w:ascii="Georgia" w:cs="Georgia" w:eastAsia="Georgia" w:hAnsi="Georgia"/>
          <w:rtl w:val="0"/>
        </w:rPr>
        <w:t xml:space="preserve"> The elimination of high-concentration CPAs removes the need for post-thaw washing, allowing for point-of-care application of cell-laden patches.</w:t>
      </w:r>
      <w:r w:rsidDel="00000000" w:rsidR="00000000" w:rsidRPr="00000000">
        <w:rPr>
          <w:rFonts w:ascii="Georgia" w:cs="Georgia" w:eastAsia="Georgia" w:hAnsi="Georgia"/>
          <w:sz w:val="24"/>
          <w:szCs w:val="24"/>
          <w:vertAlign w:val="superscript"/>
          <w:rtl w:val="0"/>
        </w:rPr>
        <w:t xml:space="preserve">7</w:t>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eorgia" w:cs="Georgia" w:eastAsia="Georgia" w:hAnsi="Georgia"/>
          <w:b w:val="1"/>
          <w:bCs w:val="1"/>
          <w:rtl w:val="0"/>
        </w:rPr>
        <w:t xml:space="preserve">Enhanced Safety:</w:t>
      </w:r>
      <w:r w:rsidDel="00000000" w:rsidR="00000000" w:rsidRPr="00000000">
        <w:rPr>
          <w:rFonts w:ascii="Georgia" w:cs="Georgia" w:eastAsia="Georgia" w:hAnsi="Georgia"/>
          <w:rtl w:val="0"/>
        </w:rPr>
        <w:t xml:space="preserve"> Reducing DMSO minimizes the risk of local skin irritation and systemic adverse reactions, facilitating faster regulatory approval.</w:t>
      </w:r>
      <w:r w:rsidDel="00000000" w:rsidR="00000000" w:rsidRPr="00000000">
        <w:rPr>
          <w:rFonts w:ascii="Georgia" w:cs="Georgia" w:eastAsia="Georgia" w:hAnsi="Georgia"/>
          <w:sz w:val="24"/>
          <w:szCs w:val="24"/>
          <w:vertAlign w:val="superscript"/>
          <w:rtl w:val="0"/>
        </w:rPr>
        <w:t xml:space="preserve">8</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integration of PEG and high-viscosity sugars in the final formulation not only protects the cells but also modifies the fracture mechanics of the ice. Instead of being purely brittle, the inclusion of amorphous, glassy regions created by trehalose can improve the "toughness" of the microneedle, making it more resistant to the shear forces encountered during manual application.</w:t>
      </w:r>
      <w:r w:rsidDel="00000000" w:rsidR="00000000" w:rsidRPr="00000000">
        <w:rPr>
          <w:rFonts w:ascii="Georgia" w:cs="Georgia" w:eastAsia="Georgia" w:hAnsi="Georgia"/>
          <w:sz w:val="24"/>
          <w:szCs w:val="24"/>
          <w:vertAlign w:val="superscript"/>
          <w:rtl w:val="0"/>
        </w:rPr>
        <w:t xml:space="preserve">1</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before="0" w:line="275.9999942779541" w:lineRule="auto"/>
        <w:rPr>
          <w:rFonts w:ascii="Georgia" w:cs="Georgia" w:eastAsia="Georgia" w:hAnsi="Georgia"/>
        </w:rPr>
      </w:pPr>
      <w:r w:rsidDel="00000000" w:rsidR="00000000" w:rsidRPr="00000000">
        <w:rPr>
          <w:rFonts w:ascii="Georgia" w:cs="Georgia" w:eastAsia="Georgia" w:hAnsi="Georgia"/>
          <w:rtl w:val="0"/>
        </w:rPr>
        <w:t xml:space="preserve">Conclusions and Practical Recommendations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research into cryoprotective solution formulations for cryomicroneedle technology confirms that the primary obstacle—the trade-off between mechanical needle strength and cell-protective toxicity—can be overcome through systematic algorithmic optimization.</w:t>
      </w:r>
      <w:r w:rsidDel="00000000" w:rsidR="00000000" w:rsidRPr="00000000">
        <w:rPr>
          <w:rFonts w:ascii="Georgia" w:cs="Georgia" w:eastAsia="Georgia" w:hAnsi="Georgia"/>
          <w:sz w:val="24"/>
          <w:szCs w:val="24"/>
          <w:vertAlign w:val="superscript"/>
          <w:rtl w:val="0"/>
        </w:rPr>
        <w:t xml:space="preserve">1</w:t>
      </w:r>
      <w:r w:rsidDel="00000000" w:rsidR="00000000" w:rsidRPr="00000000">
        <w:rPr>
          <w:rFonts w:ascii="Georgia" w:cs="Georgia" w:eastAsia="Georgia" w:hAnsi="Georgia"/>
          <w:rtl w:val="0"/>
        </w:rPr>
        <w:t xml:space="preserve"> The analysis of existing data suggests that the "gold standard" 10% DMSO is physically and biologically incompatible with the next generation of transdermal cell therapies.</w:t>
      </w:r>
      <w:r w:rsidDel="00000000" w:rsidR="00000000" w:rsidRPr="00000000">
        <w:rPr>
          <w:rFonts w:ascii="Georgia" w:cs="Georgia" w:eastAsia="Georgia" w:hAnsi="Georgia"/>
          <w:sz w:val="24"/>
          <w:szCs w:val="24"/>
          <w:vertAlign w:val="superscript"/>
          <w:rtl w:val="0"/>
        </w:rPr>
        <w:t xml:space="preserve">3</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best machine learning approach is a Constrained Multi-Objective Bayesian Optimization (CMOBO) framework utilizing a q-Noisy Expected Hypervolume Improvement (qNEHVI) acquisition function.</w:t>
      </w:r>
      <w:r w:rsidDel="00000000" w:rsidR="00000000" w:rsidRPr="00000000">
        <w:rPr>
          <w:rFonts w:ascii="Georgia" w:cs="Georgia" w:eastAsia="Georgia" w:hAnsi="Georgia"/>
          <w:sz w:val="24"/>
          <w:szCs w:val="24"/>
          <w:vertAlign w:val="superscript"/>
          <w:rtl w:val="0"/>
        </w:rPr>
        <w:t xml:space="preserve">16</w:t>
      </w:r>
      <w:r w:rsidDel="00000000" w:rsidR="00000000" w:rsidRPr="00000000">
        <w:rPr>
          <w:rFonts w:ascii="Georgia" w:cs="Georgia" w:eastAsia="Georgia" w:hAnsi="Georgia"/>
          <w:rtl w:val="0"/>
        </w:rPr>
        <w:t xml:space="preserve"> This methodology is uniquely suited to the provided data volume and the strict 10-ingredient constraint, as it leverages the sample efficiency of Gaussian Processes and the automated feature selection of ARD kernels.</w:t>
      </w:r>
      <w:r w:rsidDel="00000000" w:rsidR="00000000" w:rsidRPr="00000000">
        <w:rPr>
          <w:rFonts w:ascii="Georgia" w:cs="Georgia" w:eastAsia="Georgia" w:hAnsi="Georgia"/>
          <w:sz w:val="24"/>
          <w:szCs w:val="24"/>
          <w:vertAlign w:val="superscript"/>
          <w:rtl w:val="0"/>
        </w:rPr>
        <w:t xml:space="preserve">14</w:t>
      </w:r>
      <w:r w:rsidDel="00000000" w:rsidR="00000000" w:rsidRPr="00000000">
        <w:rPr>
          <w:rFonts w:ascii="Georgia" w:cs="Georgia" w:eastAsia="Georgia" w:hAnsi="Georgia"/>
          <w:rtl w:val="0"/>
        </w:rPr>
        <w:t xml:space="preserve"> By explicitly modeling the mechanical slurry threshold as a physical constraint, the algorithm ensures that all proposed formulations are capable of skin penetration.</w:t>
      </w:r>
      <w:r w:rsidDel="00000000" w:rsidR="00000000" w:rsidRPr="00000000">
        <w:rPr>
          <w:rFonts w:ascii="Georgia" w:cs="Georgia" w:eastAsia="Georgia" w:hAnsi="Georgia"/>
          <w:sz w:val="24"/>
          <w:szCs w:val="24"/>
          <w:vertAlign w:val="superscript"/>
          <w:rtl w:val="0"/>
        </w:rPr>
        <w:t xml:space="preserve">32</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55" w:line="275.9999942779541" w:lineRule="auto"/>
        <w:rPr>
          <w:rFonts w:ascii="Georgia" w:cs="Georgia" w:eastAsia="Georgia" w:hAnsi="Georgia"/>
          <w:sz w:val="24"/>
          <w:szCs w:val="24"/>
          <w:vertAlign w:val="superscript"/>
        </w:rPr>
      </w:pPr>
      <w:r w:rsidDel="00000000" w:rsidR="00000000" w:rsidRPr="00000000">
        <w:rPr>
          <w:rFonts w:ascii="Georgia" w:cs="Georgia" w:eastAsia="Georgia" w:hAnsi="Georgia"/>
          <w:rtl w:val="0"/>
        </w:rPr>
        <w:t xml:space="preserve">The evolution of the model through an active learning loop—where limited wet-lab results are used to refine the surrogate models—bridges the gap between broad literature data and the specific requirements of the researcher's cryoMN system.</w:t>
      </w:r>
      <w:r w:rsidDel="00000000" w:rsidR="00000000" w:rsidRPr="00000000">
        <w:rPr>
          <w:rFonts w:ascii="Georgia" w:cs="Georgia" w:eastAsia="Georgia" w:hAnsi="Georgia"/>
          <w:sz w:val="24"/>
          <w:szCs w:val="24"/>
          <w:vertAlign w:val="superscript"/>
          <w:rtl w:val="0"/>
        </w:rPr>
        <w:t xml:space="preserve">27</w:t>
      </w:r>
      <w:r w:rsidDel="00000000" w:rsidR="00000000" w:rsidRPr="00000000">
        <w:rPr>
          <w:rFonts w:ascii="Georgia" w:cs="Georgia" w:eastAsia="Georgia" w:hAnsi="Georgia"/>
          <w:rtl w:val="0"/>
        </w:rPr>
        <w:t xml:space="preserve"> This iterative process is expected to converge on a synergistic cocktail of trehalose, glycerol, and compatible solutes (e.g., ectoine, proline) reinforced by structural polymers like PEG or HA, achieving maximum viability with minimal clinical and mechanical risk.</w:t>
      </w:r>
      <w:r w:rsidDel="00000000" w:rsidR="00000000" w:rsidRPr="00000000">
        <w:rPr>
          <w:rFonts w:ascii="Georgia" w:cs="Georgia" w:eastAsia="Georgia" w:hAnsi="Georgia"/>
          <w:sz w:val="24"/>
          <w:szCs w:val="24"/>
          <w:vertAlign w:val="superscript"/>
          <w:rtl w:val="0"/>
        </w:rPr>
        <w:t xml:space="preserve">21</w:t>
      </w:r>
      <w:r w:rsidDel="00000000" w:rsidR="00000000" w:rsidRPr="00000000">
        <w:rPr>
          <w:rFonts w:ascii="Georgia" w:cs="Georgia" w:eastAsia="Georgia" w:hAnsi="Georgia"/>
          <w:rtl w:val="0"/>
        </w:rPr>
        <w:t xml:space="preserve"> This transition from empirical experimentation to algorithmic discovery is essential for the industrialization of cryomicroneedle patches as a robust, clinician-friendly platform for cellular regenerative medicine.</w:t>
      </w:r>
      <w:r w:rsidDel="00000000" w:rsidR="00000000" w:rsidRPr="00000000">
        <w:rPr>
          <w:rFonts w:ascii="Georgia" w:cs="Georgia" w:eastAsia="Georgia" w:hAnsi="Georgia"/>
          <w:sz w:val="24"/>
          <w:szCs w:val="24"/>
          <w:vertAlign w:val="superscript"/>
          <w:rtl w:val="0"/>
        </w:rPr>
        <w:t xml:space="preserve">1</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rPr>
      </w:pPr>
      <w:r w:rsidDel="00000000" w:rsidR="00000000" w:rsidRPr="00000000">
        <w:rPr>
          <w:rFonts w:ascii="Gungsuh" w:cs="Gungsuh" w:eastAsia="Gungsuh" w:hAnsi="Gungsuh"/>
          <w:rtl w:val="0"/>
        </w:rPr>
        <w:t xml:space="preserve">引用的著作</w:t>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Cryogenic Microneedles: A Next-Gen Approach for Stable and Precise Dose Delivery, 访问时间为 一月 24, 2026， </w:t>
      </w:r>
      <w:hyperlink r:id="rId39">
        <w:r w:rsidDel="00000000" w:rsidR="00000000" w:rsidRPr="00000000">
          <w:rPr>
            <w:rFonts w:ascii="Georgia" w:cs="Georgia" w:eastAsia="Georgia" w:hAnsi="Georgia"/>
            <w:color w:val="0000ee"/>
            <w:sz w:val="24"/>
            <w:szCs w:val="24"/>
            <w:u w:val="single"/>
            <w:rtl w:val="0"/>
          </w:rPr>
          <w:t xml:space="preserve">https://www.ijpsjournal.com/article/cryogenic-microneedles-a-next-gen-approach-for-stable-and-precise-dose-delivery</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Fabrication, characterization, and mechanical strengths of ice... - ResearchGate, 访问时间为 一月 24, 2026， </w:t>
      </w:r>
      <w:hyperlink r:id="rId40">
        <w:r w:rsidDel="00000000" w:rsidR="00000000" w:rsidRPr="00000000">
          <w:rPr>
            <w:rFonts w:ascii="Georgia" w:cs="Georgia" w:eastAsia="Georgia" w:hAnsi="Georgia"/>
            <w:color w:val="0000ee"/>
            <w:sz w:val="24"/>
            <w:szCs w:val="24"/>
            <w:u w:val="single"/>
            <w:rtl w:val="0"/>
          </w:rPr>
          <w:t xml:space="preserve">https://www.researchgate.net/figure/Fabrication-characterization-and-mechanical-strengths-of-ice-microneedles-a-Schemes_fig2_352978762</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eorgia" w:cs="Georgia" w:eastAsia="Georgia" w:hAnsi="Georgia"/>
          <w:sz w:val="24"/>
          <w:szCs w:val="24"/>
          <w:rtl w:val="0"/>
        </w:rPr>
        <w:t xml:space="preserve">Cryopreservative Data 2026.csv</w:t>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Effect of Ice Nucleation and Cryoprotectants during High Subzero-Preservation in Endothelialized Microchannels - NIH, 访问时间为 一月 24, 2026， </w:t>
      </w:r>
      <w:hyperlink r:id="rId41">
        <w:r w:rsidDel="00000000" w:rsidR="00000000" w:rsidRPr="00000000">
          <w:rPr>
            <w:rFonts w:ascii="Georgia" w:cs="Georgia" w:eastAsia="Georgia" w:hAnsi="Georgia"/>
            <w:color w:val="0000ee"/>
            <w:sz w:val="24"/>
            <w:szCs w:val="24"/>
            <w:u w:val="single"/>
            <w:rtl w:val="0"/>
          </w:rPr>
          <w:t xml:space="preserve">https://pmc.ncbi.nlm.nih.gov/articles/PMC6753837/</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5 Key Differences Between Cryoprotectant Types - Allan Chemical Corporation, 访问时间为 一月 24, 2026， </w:t>
      </w:r>
      <w:hyperlink r:id="rId42">
        <w:r w:rsidDel="00000000" w:rsidR="00000000" w:rsidRPr="00000000">
          <w:rPr>
            <w:rFonts w:ascii="Georgia" w:cs="Georgia" w:eastAsia="Georgia" w:hAnsi="Georgia"/>
            <w:color w:val="0000ee"/>
            <w:sz w:val="24"/>
            <w:szCs w:val="24"/>
            <w:u w:val="single"/>
            <w:rtl w:val="0"/>
          </w:rPr>
          <w:t xml:space="preserve">https://allanchem.com/key-differences-cryoprotectant-types/</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Chemical approaches to cryopreservation - PMC - NIH, 访问时间为 一月 24, 2026， </w:t>
      </w:r>
      <w:hyperlink r:id="rId43">
        <w:r w:rsidDel="00000000" w:rsidR="00000000" w:rsidRPr="00000000">
          <w:rPr>
            <w:rFonts w:ascii="Georgia" w:cs="Georgia" w:eastAsia="Georgia" w:hAnsi="Georgia"/>
            <w:color w:val="0000ee"/>
            <w:sz w:val="24"/>
            <w:szCs w:val="24"/>
            <w:u w:val="single"/>
            <w:rtl w:val="0"/>
          </w:rPr>
          <w:t xml:space="preserve">https://pmc.ncbi.nlm.nih.gov/articles/PMC9294745/</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The Benefits of DMSO-Free Cryopreservation | Biocompare, 访问时间为 一月 24, 2026， </w:t>
      </w:r>
      <w:hyperlink r:id="rId44">
        <w:r w:rsidDel="00000000" w:rsidR="00000000" w:rsidRPr="00000000">
          <w:rPr>
            <w:rFonts w:ascii="Georgia" w:cs="Georgia" w:eastAsia="Georgia" w:hAnsi="Georgia"/>
            <w:color w:val="0000ee"/>
            <w:sz w:val="24"/>
            <w:szCs w:val="24"/>
            <w:u w:val="single"/>
            <w:rtl w:val="0"/>
          </w:rPr>
          <w:t xml:space="preserve">https://www.biocompare.com/Editorial-Articles/616422-The-Benefits-of-DMSO-Free-Cryopreservation/</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Freezing cells for success: DMSO-free redefining the future of cryopreservation, 访问时间为 一月 24, 2026， </w:t>
      </w:r>
      <w:hyperlink r:id="rId45">
        <w:r w:rsidDel="00000000" w:rsidR="00000000" w:rsidRPr="00000000">
          <w:rPr>
            <w:rFonts w:ascii="Georgia" w:cs="Georgia" w:eastAsia="Georgia" w:hAnsi="Georgia"/>
            <w:color w:val="0000ee"/>
            <w:sz w:val="24"/>
            <w:szCs w:val="24"/>
            <w:u w:val="single"/>
            <w:rtl w:val="0"/>
          </w:rPr>
          <w:t xml:space="preserve">https://www.news-medical.net/news/20251125/Freezing-cells-for-success-DMSO-free-redefining-the-future-of-cryopreservation.aspx</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Cryopreservation of Human iPS Cell Aggregates in a DMSO-Free Solution—An Optimization and Comparative Study - NIH, 访问时间为 一月 24, 2026， </w:t>
      </w:r>
      <w:hyperlink r:id="rId46">
        <w:r w:rsidDel="00000000" w:rsidR="00000000" w:rsidRPr="00000000">
          <w:rPr>
            <w:rFonts w:ascii="Georgia" w:cs="Georgia" w:eastAsia="Georgia" w:hAnsi="Georgia"/>
            <w:color w:val="0000ee"/>
            <w:sz w:val="24"/>
            <w:szCs w:val="24"/>
            <w:u w:val="single"/>
            <w:rtl w:val="0"/>
          </w:rPr>
          <w:t xml:space="preserve">https://pmc.ncbi.nlm.nih.gov/articles/PMC6987262/</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AI-assisted design of cryoprotective agents or tap here to enter text at University of Surrey on FindAPhD.com, 访问时间为 一月 24, 2026， </w:t>
      </w:r>
      <w:hyperlink r:id="rId47">
        <w:r w:rsidDel="00000000" w:rsidR="00000000" w:rsidRPr="00000000">
          <w:rPr>
            <w:rFonts w:ascii="Georgia" w:cs="Georgia" w:eastAsia="Georgia" w:hAnsi="Georgia"/>
            <w:color w:val="0000ee"/>
            <w:sz w:val="24"/>
            <w:szCs w:val="24"/>
            <w:u w:val="single"/>
            <w:rtl w:val="0"/>
          </w:rPr>
          <w:t xml:space="preserve">https://www.findaphd.com/phds/project/ai-assisted-design-of-cryoprotective-agents-or-tap-here-to-enter-text/?p193748</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Differential Evolution for the Optimization of DMSO-Free Cryoprotectants: Influence of Control Parameters - PMC - NIH, 访问时间为 一月 24, 2026， </w:t>
      </w:r>
      <w:hyperlink r:id="rId48">
        <w:r w:rsidDel="00000000" w:rsidR="00000000" w:rsidRPr="00000000">
          <w:rPr>
            <w:rFonts w:ascii="Georgia" w:cs="Georgia" w:eastAsia="Georgia" w:hAnsi="Georgia"/>
            <w:color w:val="0000ee"/>
            <w:sz w:val="24"/>
            <w:szCs w:val="24"/>
            <w:u w:val="single"/>
            <w:rtl w:val="0"/>
          </w:rPr>
          <w:t xml:space="preserve">https://pmc.ncbi.nlm.nih.gov/articles/PMC10782869/</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Bayesian Optimization for Chemical Synthesis in the Era of Artificial Intelligence: Advances and Applications - MDPI, 访问时间为 一月 24, 2026， </w:t>
      </w:r>
      <w:hyperlink r:id="rId49">
        <w:r w:rsidDel="00000000" w:rsidR="00000000" w:rsidRPr="00000000">
          <w:rPr>
            <w:rFonts w:ascii="Georgia" w:cs="Georgia" w:eastAsia="Georgia" w:hAnsi="Georgia"/>
            <w:color w:val="0000ee"/>
            <w:sz w:val="24"/>
            <w:szCs w:val="24"/>
            <w:u w:val="single"/>
            <w:rtl w:val="0"/>
          </w:rPr>
          <w:t xml:space="preserve">https://www.mdpi.com/2227-9717/13/9/2687</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Multi-objective Bayesian Optimization for Experimental Design in Copolymerization and Revealing Chemical Mechanism of Pareto Fro - White Rose Research Online, 访问时间为 一月 24, 2026， </w:t>
      </w:r>
      <w:hyperlink r:id="rId50">
        <w:r w:rsidDel="00000000" w:rsidR="00000000" w:rsidRPr="00000000">
          <w:rPr>
            <w:rFonts w:ascii="Georgia" w:cs="Georgia" w:eastAsia="Georgia" w:hAnsi="Georgia"/>
            <w:color w:val="0000ee"/>
            <w:sz w:val="24"/>
            <w:szCs w:val="24"/>
            <w:u w:val="single"/>
            <w:rtl w:val="0"/>
          </w:rPr>
          <w:t xml:space="preserve">https://eprints.whiterose.ac.uk/id/eprint/234373/1/multi-objective-bayesian-optimization-for-experimental-design-in-copolymerization-and-revealing-chemical-mechanism-of-pareto-fronts.pdf</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Bayesian Optimization for Efficient Multiobjective Formulation Development of Biologics, 访问时间为 一月 24, 2026， </w:t>
      </w:r>
      <w:hyperlink r:id="rId51">
        <w:r w:rsidDel="00000000" w:rsidR="00000000" w:rsidRPr="00000000">
          <w:rPr>
            <w:rFonts w:ascii="Georgia" w:cs="Georgia" w:eastAsia="Georgia" w:hAnsi="Georgia"/>
            <w:color w:val="0000ee"/>
            <w:sz w:val="24"/>
            <w:szCs w:val="24"/>
            <w:u w:val="single"/>
            <w:rtl w:val="0"/>
          </w:rPr>
          <w:t xml:space="preserve">https://pmc.ncbi.nlm.nih.gov/articles/PMC12587402/</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Bayesian Optimization for Efficient Multiobjective Formulation Development of Biologics, 访问时间为 一月 24, 2026， </w:t>
      </w:r>
      <w:hyperlink r:id="rId52">
        <w:r w:rsidDel="00000000" w:rsidR="00000000" w:rsidRPr="00000000">
          <w:rPr>
            <w:rFonts w:ascii="Georgia" w:cs="Georgia" w:eastAsia="Georgia" w:hAnsi="Georgia"/>
            <w:color w:val="0000ee"/>
            <w:sz w:val="24"/>
            <w:szCs w:val="24"/>
            <w:u w:val="single"/>
            <w:rtl w:val="0"/>
          </w:rPr>
          <w:t xml:space="preserve">https://pubmed.ncbi.nlm.nih.gov/41002022/</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Constrained Multi-objective Bayesian Optimization through Optimistic Constraints Estimation, 访问时间为 一月 24, 2026， </w:t>
      </w:r>
      <w:hyperlink r:id="rId53">
        <w:r w:rsidDel="00000000" w:rsidR="00000000" w:rsidRPr="00000000">
          <w:rPr>
            <w:rFonts w:ascii="Georgia" w:cs="Georgia" w:eastAsia="Georgia" w:hAnsi="Georgia"/>
            <w:color w:val="0000ee"/>
            <w:sz w:val="24"/>
            <w:szCs w:val="24"/>
            <w:u w:val="single"/>
            <w:rtl w:val="0"/>
          </w:rPr>
          <w:t xml:space="preserve">https://www.researchgate.net/publication/385595463_Constrained_Multi-objective_Bayesian_Optimization_through_Optimistic_Constraints_Estimation</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Trehalose in cryopreservation. Applications, mechanisms and intracellular delivery opportunities - PMC - NIH, 访问时间为 一月 24, 2026， </w:t>
      </w:r>
      <w:hyperlink r:id="rId54">
        <w:r w:rsidDel="00000000" w:rsidR="00000000" w:rsidRPr="00000000">
          <w:rPr>
            <w:rFonts w:ascii="Georgia" w:cs="Georgia" w:eastAsia="Georgia" w:hAnsi="Georgia"/>
            <w:color w:val="0000ee"/>
            <w:sz w:val="24"/>
            <w:szCs w:val="24"/>
            <w:u w:val="single"/>
            <w:rtl w:val="0"/>
          </w:rPr>
          <w:t xml:space="preserve">https://pmc.ncbi.nlm.nih.gov/articles/PMC11411628/</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How To Compute The Freezing Point Of A Mixture - Sciencing, 访问时间为 一月 24, 2026， </w:t>
      </w:r>
      <w:hyperlink r:id="rId55">
        <w:r w:rsidDel="00000000" w:rsidR="00000000" w:rsidRPr="00000000">
          <w:rPr>
            <w:rFonts w:ascii="Georgia" w:cs="Georgia" w:eastAsia="Georgia" w:hAnsi="Georgia"/>
            <w:color w:val="0000ee"/>
            <w:sz w:val="24"/>
            <w:szCs w:val="24"/>
            <w:u w:val="single"/>
            <w:rtl w:val="0"/>
          </w:rPr>
          <w:t xml:space="preserve">https://www.sciencing.com/compute-freezing-point-mixture-8258857/</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Algorithm-driven optimization of cryopreservation protocols for transfusion model cell types including Jurkat cells and mesenchymal stem cells - ResearchGate, 访问时间为 一月 24, 2026， </w:t>
      </w:r>
      <w:hyperlink r:id="rId56">
        <w:r w:rsidDel="00000000" w:rsidR="00000000" w:rsidRPr="00000000">
          <w:rPr>
            <w:rFonts w:ascii="Georgia" w:cs="Georgia" w:eastAsia="Georgia" w:hAnsi="Georgia"/>
            <w:color w:val="0000ee"/>
            <w:sz w:val="24"/>
            <w:szCs w:val="24"/>
            <w:u w:val="single"/>
            <w:rtl w:val="0"/>
          </w:rPr>
          <w:t xml:space="preserve">https://www.researchgate.net/publication/303561236_Algorithm-driven_optimization_of_cryopreservation_protocols_for_transfusion_model_cell_types_including_Jurkat_cells_and_mesenchymal_stem_cells_Algorithm-driven_optimization_of_freezing</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The combination of trehalose and glycerol: an effective and non-toxic recipe for cryopreservation of human adipose-derived stem cells - PMC - NIH, 访问时间为 一月 24, 2026， </w:t>
      </w:r>
      <w:hyperlink r:id="rId57">
        <w:r w:rsidDel="00000000" w:rsidR="00000000" w:rsidRPr="00000000">
          <w:rPr>
            <w:rFonts w:ascii="Georgia" w:cs="Georgia" w:eastAsia="Georgia" w:hAnsi="Georgia"/>
            <w:color w:val="0000ee"/>
            <w:sz w:val="24"/>
            <w:szCs w:val="24"/>
            <w:u w:val="single"/>
            <w:rtl w:val="0"/>
          </w:rPr>
          <w:t xml:space="preserve">https://pmc.ncbi.nlm.nih.gov/articles/PMC7602354/</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(PDF) The combination of trehalose and glycerol: an effective and non-toxic recipe for cryopreservation of human adipose-derived stem cells - ResearchGate, 访问时间为 一月 24, 2026， </w:t>
      </w:r>
      <w:hyperlink r:id="rId58">
        <w:r w:rsidDel="00000000" w:rsidR="00000000" w:rsidRPr="00000000">
          <w:rPr>
            <w:rFonts w:ascii="Georgia" w:cs="Georgia" w:eastAsia="Georgia" w:hAnsi="Georgia"/>
            <w:color w:val="0000ee"/>
            <w:sz w:val="24"/>
            <w:szCs w:val="24"/>
            <w:u w:val="single"/>
            <w:rtl w:val="0"/>
          </w:rPr>
          <w:t xml:space="preserve">https://www.researchgate.net/publication/346491028_The_combination_of_trehalose_and_glycerol_an_effective_and_non-toxic_recipe_for_cryopreservation_of_human_adipose-derived_stem_cells</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Freezing Point Depression - Chemistry LibreTexts, 访问时间为 一月 24, 2026， </w:t>
      </w:r>
      <w:hyperlink r:id="rId59">
        <w:r w:rsidDel="00000000" w:rsidR="00000000" w:rsidRPr="00000000">
          <w:rPr>
            <w:rFonts w:ascii="Georgia" w:cs="Georgia" w:eastAsia="Georgia" w:hAnsi="Georgia"/>
            <w:color w:val="0000ee"/>
            <w:sz w:val="24"/>
            <w:szCs w:val="24"/>
            <w:u w:val="single"/>
            <w:rtl w:val="0"/>
          </w:rPr>
          <w:t xml:space="preserve">https://chem.libretexts.org/Bookshelves/Physical_and_Theoretical_Chemistry_Textbook_Maps/Supplemental_Modules_(Physical_and_Theoretical_Chemistry)/Physical_Properties_of_Matter/Solutions_and_Mixtures/Colligative_Properties/Freezing_Point_Depression</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Innovative freeze-drying technique in the fabrication of dissolving microneedle patch: Enhancing transdermal drug delivery efficiency - ResearchGate, 访问时间为 一月 24, 2026， </w:t>
      </w:r>
      <w:hyperlink r:id="rId60">
        <w:r w:rsidDel="00000000" w:rsidR="00000000" w:rsidRPr="00000000">
          <w:rPr>
            <w:rFonts w:ascii="Georgia" w:cs="Georgia" w:eastAsia="Georgia" w:hAnsi="Georgia"/>
            <w:color w:val="0000ee"/>
            <w:sz w:val="24"/>
            <w:szCs w:val="24"/>
            <w:u w:val="single"/>
            <w:rtl w:val="0"/>
          </w:rPr>
          <w:t xml:space="preserve">https://www.researchgate.net/publication/378690097_Innovative_freeze-drying_technique_in_the_fabrication_of_dissolving_microneedle_patch_Enhancing_transdermal_drug_delivery_efficiency</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Mechanical Characterization of Dissolving Microneedles: Factors Affecting Physical Strength of Needles - PubMed, 访问时间为 一月 24, 2026， </w:t>
      </w:r>
      <w:hyperlink r:id="rId61">
        <w:r w:rsidDel="00000000" w:rsidR="00000000" w:rsidRPr="00000000">
          <w:rPr>
            <w:rFonts w:ascii="Georgia" w:cs="Georgia" w:eastAsia="Georgia" w:hAnsi="Georgia"/>
            <w:color w:val="0000ee"/>
            <w:sz w:val="24"/>
            <w:szCs w:val="24"/>
            <w:u w:val="single"/>
            <w:rtl w:val="0"/>
          </w:rPr>
          <w:t xml:space="preserve">https://pubmed.ncbi.nlm.nih.gov/38399254/</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Algorithm-driven optimization of cryopreservation protocols for ... - NIH, 访问时间为 一月 24, 2026， </w:t>
      </w:r>
      <w:hyperlink r:id="rId62">
        <w:r w:rsidDel="00000000" w:rsidR="00000000" w:rsidRPr="00000000">
          <w:rPr>
            <w:rFonts w:ascii="Georgia" w:cs="Georgia" w:eastAsia="Georgia" w:hAnsi="Georgia"/>
            <w:color w:val="0000ee"/>
            <w:sz w:val="24"/>
            <w:szCs w:val="24"/>
            <w:u w:val="single"/>
            <w:rtl w:val="0"/>
          </w:rPr>
          <w:t xml:space="preserve">https://pmc.ncbi.nlm.nih.gov/articles/PMC5769925/</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Why Bayesian Optimization Can Fall Short for Materials Innovation, 访问时间为 一月 24, 2026， </w:t>
      </w:r>
      <w:hyperlink r:id="rId63">
        <w:r w:rsidDel="00000000" w:rsidR="00000000" w:rsidRPr="00000000">
          <w:rPr>
            <w:rFonts w:ascii="Georgia" w:cs="Georgia" w:eastAsia="Georgia" w:hAnsi="Georgia"/>
            <w:color w:val="0000ee"/>
            <w:sz w:val="24"/>
            <w:szCs w:val="24"/>
            <w:u w:val="single"/>
            <w:rtl w:val="0"/>
          </w:rPr>
          <w:t xml:space="preserve">https://citrine.io/why-bayesian-optimization-can-fall-short-for-materials-innovation/</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Bayesian Optimization for Efficient Multiobjective Formulation ..., 访问时间为 一月 24, 2026， </w:t>
      </w:r>
      <w:hyperlink r:id="rId64">
        <w:r w:rsidDel="00000000" w:rsidR="00000000" w:rsidRPr="00000000">
          <w:rPr>
            <w:rFonts w:ascii="Georgia" w:cs="Georgia" w:eastAsia="Georgia" w:hAnsi="Georgia"/>
            <w:color w:val="0000ee"/>
            <w:sz w:val="24"/>
            <w:szCs w:val="24"/>
            <w:u w:val="single"/>
            <w:rtl w:val="0"/>
          </w:rPr>
          <w:t xml:space="preserve">https://pubs.acs.org/doi/10.1021/acs.molpharmaceut.5c00591</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Sparse Bayesian Optimization - Proceedings of Machine Learning Research, 访问时间为 一月 24, 2026， </w:t>
      </w:r>
      <w:hyperlink r:id="rId65">
        <w:r w:rsidDel="00000000" w:rsidR="00000000" w:rsidRPr="00000000">
          <w:rPr>
            <w:rFonts w:ascii="Georgia" w:cs="Georgia" w:eastAsia="Georgia" w:hAnsi="Georgia"/>
            <w:color w:val="0000ee"/>
            <w:sz w:val="24"/>
            <w:szCs w:val="24"/>
            <w:u w:val="single"/>
            <w:rtl w:val="0"/>
          </w:rPr>
          <w:t xml:space="preserve">https://proceedings.mlr.press/v206/liu23b/liu23b.pdf</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Bayesian Optimisation: Finding the Perfect Recipe for Your Soup | by Henkel Data &amp; Analytics - Medium, 访问时间为 一月 24, 2026， </w:t>
      </w:r>
      <w:hyperlink r:id="rId66">
        <w:r w:rsidDel="00000000" w:rsidR="00000000" w:rsidRPr="00000000">
          <w:rPr>
            <w:rFonts w:ascii="Georgia" w:cs="Georgia" w:eastAsia="Georgia" w:hAnsi="Georgia"/>
            <w:color w:val="0000ee"/>
            <w:sz w:val="24"/>
            <w:szCs w:val="24"/>
            <w:u w:val="single"/>
            <w:rtl w:val="0"/>
          </w:rPr>
          <w:t xml:space="preserve">https://medium.com/henkel-data-and-analytics/bayesian-optimisation-finding-the-perfect-recipe-for-your-soup-f5d030e847be</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(PDF) Suggesting Cooking Recipes Through Simulation and Bayesian Optimization, 访问时间为 一月 24, 2026， </w:t>
      </w:r>
      <w:hyperlink r:id="rId67">
        <w:r w:rsidDel="00000000" w:rsidR="00000000" w:rsidRPr="00000000">
          <w:rPr>
            <w:rFonts w:ascii="Georgia" w:cs="Georgia" w:eastAsia="Georgia" w:hAnsi="Georgia"/>
            <w:color w:val="0000ee"/>
            <w:sz w:val="24"/>
            <w:szCs w:val="24"/>
            <w:u w:val="single"/>
            <w:rtl w:val="0"/>
          </w:rPr>
          <w:t xml:space="preserve">https://www.researchgate.net/publication/328878710_Suggesting_Cooking_Recipes_Through_Simulation_and_Bayesian_Optimization</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Anubis: Bayesian optimization with unknown feasibility constraints for scientific experimentation - Digital Discovery (RSC Publishing) DOI:10.1039/D5DD00018A, 访问时间为 一月 24, 2026， </w:t>
      </w:r>
      <w:hyperlink r:id="rId68">
        <w:r w:rsidDel="00000000" w:rsidR="00000000" w:rsidRPr="00000000">
          <w:rPr>
            <w:rFonts w:ascii="Georgia" w:cs="Georgia" w:eastAsia="Georgia" w:hAnsi="Georgia"/>
            <w:color w:val="0000ee"/>
            <w:sz w:val="24"/>
            <w:szCs w:val="24"/>
            <w:u w:val="single"/>
            <w:rtl w:val="0"/>
          </w:rPr>
          <w:t xml:space="preserve">https://pubs.rsc.org/en/content/articlehtml/2025/dd/d5dd00018a</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Constrained Bayesian Optimization for Automatic Chemical Design - ResearchGate, 访问时间为 一月 24, 2026， </w:t>
      </w:r>
      <w:hyperlink r:id="rId69">
        <w:r w:rsidDel="00000000" w:rsidR="00000000" w:rsidRPr="00000000">
          <w:rPr>
            <w:rFonts w:ascii="Georgia" w:cs="Georgia" w:eastAsia="Georgia" w:hAnsi="Georgia"/>
            <w:color w:val="0000ee"/>
            <w:sz w:val="24"/>
            <w:szCs w:val="24"/>
            <w:u w:val="single"/>
            <w:rtl w:val="0"/>
          </w:rPr>
          <w:t xml:space="preserve">https://www.researchgate.net/profile/Ryan-Rhys-Griffiths-2/publication/319898945_Constrained_Bayesian_Optimization_for_Automatic_Chemical_Design/links/5d6ab52f92851c8538837afc/Constrained-Bayesian-Optimization-for-Automatic-Chemical-Design.pdf</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Sparse modeling based Bayesian optimization for experimental design - RSC Publishing, 访问时间为 一月 24, 2026， </w:t>
      </w:r>
      <w:hyperlink r:id="rId70">
        <w:r w:rsidDel="00000000" w:rsidR="00000000" w:rsidRPr="00000000">
          <w:rPr>
            <w:rFonts w:ascii="Georgia" w:cs="Georgia" w:eastAsia="Georgia" w:hAnsi="Georgia"/>
            <w:color w:val="0000ee"/>
            <w:sz w:val="24"/>
            <w:szCs w:val="24"/>
            <w:u w:val="single"/>
            <w:rtl w:val="0"/>
          </w:rPr>
          <w:t xml:space="preserve">https://pubs.rsc.org/en/content/articlehtml/2025/ma/d5ma00346f</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Bayesian and L1 Approaches for Sparse Unsupervised Learning - MLG Cambridge, 访问时间为 一月 24, 2026， </w:t>
      </w:r>
      <w:hyperlink r:id="rId71">
        <w:r w:rsidDel="00000000" w:rsidR="00000000" w:rsidRPr="00000000">
          <w:rPr>
            <w:rFonts w:ascii="Georgia" w:cs="Georgia" w:eastAsia="Georgia" w:hAnsi="Georgia"/>
            <w:color w:val="0000ee"/>
            <w:sz w:val="24"/>
            <w:szCs w:val="24"/>
            <w:u w:val="single"/>
            <w:rtl w:val="0"/>
          </w:rPr>
          <w:t xml:space="preserve">https://mlg.eng.cam.ac.uk/pub/pdf/MohHelGha12.pdf</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Sparsity-Based Constraint with L1 Regularization - Emergent Mind, 访问时间为 一月 24, 2026， </w:t>
      </w:r>
      <w:hyperlink r:id="rId72">
        <w:r w:rsidDel="00000000" w:rsidR="00000000" w:rsidRPr="00000000">
          <w:rPr>
            <w:rFonts w:ascii="Georgia" w:cs="Georgia" w:eastAsia="Georgia" w:hAnsi="Georgia"/>
            <w:color w:val="0000ee"/>
            <w:sz w:val="24"/>
            <w:szCs w:val="24"/>
            <w:u w:val="single"/>
            <w:rtl w:val="0"/>
          </w:rPr>
          <w:t xml:space="preserve">https://www.emergentmind.com/topics/sparsity-based-constraint-using-l1-regularization</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1 Convex Optimization with Sparsity-Inducing Norms, 访问时间为 一月 24, 2026， </w:t>
      </w:r>
      <w:hyperlink r:id="rId73">
        <w:r w:rsidDel="00000000" w:rsidR="00000000" w:rsidRPr="00000000">
          <w:rPr>
            <w:rFonts w:ascii="Georgia" w:cs="Georgia" w:eastAsia="Georgia" w:hAnsi="Georgia"/>
            <w:color w:val="0000ee"/>
            <w:sz w:val="24"/>
            <w:szCs w:val="24"/>
            <w:u w:val="single"/>
            <w:rtl w:val="0"/>
          </w:rPr>
          <w:t xml:space="preserve">https://www.di.ens.fr/~fbach/opt_book.pdf</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Constrained multi-objective optimization with qNEHVI and qParEGO - BoTorch, 访问时间为 一月 24, 2026， </w:t>
      </w:r>
      <w:hyperlink r:id="rId74">
        <w:r w:rsidDel="00000000" w:rsidR="00000000" w:rsidRPr="00000000">
          <w:rPr>
            <w:rFonts w:ascii="Georgia" w:cs="Georgia" w:eastAsia="Georgia" w:hAnsi="Georgia"/>
            <w:color w:val="0000ee"/>
            <w:sz w:val="24"/>
            <w:szCs w:val="24"/>
            <w:u w:val="single"/>
            <w:rtl w:val="0"/>
          </w:rPr>
          <w:t xml:space="preserve">https://botorch.org/docs/tutorials/constrained_multi_objective_bo/</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Computer-aided multi-objective optimization in small molecule discovery - PMC, 访问时间为 一月 24, 2026， </w:t>
      </w:r>
      <w:hyperlink r:id="rId75">
        <w:r w:rsidDel="00000000" w:rsidR="00000000" w:rsidRPr="00000000">
          <w:rPr>
            <w:rFonts w:ascii="Georgia" w:cs="Georgia" w:eastAsia="Georgia" w:hAnsi="Georgia"/>
            <w:color w:val="0000ee"/>
            <w:sz w:val="24"/>
            <w:szCs w:val="24"/>
            <w:u w:val="single"/>
            <w:rtl w:val="0"/>
          </w:rPr>
          <w:t xml:space="preserve">https://pmc.ncbi.nlm.nih.gov/articles/PMC9982302/</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Generative Multi-Objective Bayesian Optimization with Scalable Batch Evaluations for Sample-Efficient De Novo Molecular Design - arXiv, 访问时间为 一月 24, 2026， </w:t>
      </w:r>
      <w:hyperlink r:id="rId76">
        <w:r w:rsidDel="00000000" w:rsidR="00000000" w:rsidRPr="00000000">
          <w:rPr>
            <w:rFonts w:ascii="Georgia" w:cs="Georgia" w:eastAsia="Georgia" w:hAnsi="Georgia"/>
            <w:color w:val="0000ee"/>
            <w:sz w:val="24"/>
            <w:szCs w:val="24"/>
            <w:u w:val="single"/>
            <w:rtl w:val="0"/>
          </w:rPr>
          <w:t xml:space="preserve">https://arxiv.org/html/2512.17659v1</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Bayesian optimization for chemical products and functional materials - ResearchGate, 访问时间为 一月 24, 2026， </w:t>
      </w:r>
      <w:hyperlink r:id="rId77">
        <w:r w:rsidDel="00000000" w:rsidR="00000000" w:rsidRPr="00000000">
          <w:rPr>
            <w:rFonts w:ascii="Georgia" w:cs="Georgia" w:eastAsia="Georgia" w:hAnsi="Georgia"/>
            <w:color w:val="0000ee"/>
            <w:sz w:val="24"/>
            <w:szCs w:val="24"/>
            <w:u w:val="single"/>
            <w:rtl w:val="0"/>
          </w:rPr>
          <w:t xml:space="preserve">https://www.researchgate.net/publication/355583854_Bayesian_optimization_for_chemical_products_and_functional_materials</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Bayesian Optimization for a Better Dessert - Google Research, 访问时间为 一月 24, 2026， </w:t>
      </w:r>
      <w:hyperlink r:id="rId78">
        <w:r w:rsidDel="00000000" w:rsidR="00000000" w:rsidRPr="00000000">
          <w:rPr>
            <w:rFonts w:ascii="Georgia" w:cs="Georgia" w:eastAsia="Georgia" w:hAnsi="Georgia"/>
            <w:color w:val="0000ee"/>
            <w:sz w:val="24"/>
            <w:szCs w:val="24"/>
            <w:u w:val="single"/>
            <w:rtl w:val="0"/>
          </w:rPr>
          <w:t xml:space="preserve">https://research.google.com/pubs/archive/46507.pdf</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Constrained Bayesian Optimization for Automatic Chemical Design - arXiv, 访问时间为 一月 24, 2026， </w:t>
      </w:r>
      <w:hyperlink r:id="rId79">
        <w:r w:rsidDel="00000000" w:rsidR="00000000" w:rsidRPr="00000000">
          <w:rPr>
            <w:rFonts w:ascii="Georgia" w:cs="Georgia" w:eastAsia="Georgia" w:hAnsi="Georgia"/>
            <w:color w:val="0000ee"/>
            <w:sz w:val="24"/>
            <w:szCs w:val="24"/>
            <w:u w:val="single"/>
            <w:rtl w:val="0"/>
          </w:rPr>
          <w:t xml:space="preserve">https://arxiv.org/pdf/1709.05501</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Calculation of Freezing Point Depression of A Mix Prof. H. Douglas Goff, University of Guelph | PDF - Scribd, 访问时间为 一月 24, 2026， </w:t>
      </w:r>
      <w:hyperlink r:id="rId80">
        <w:r w:rsidDel="00000000" w:rsidR="00000000" w:rsidRPr="00000000">
          <w:rPr>
            <w:rFonts w:ascii="Georgia" w:cs="Georgia" w:eastAsia="Georgia" w:hAnsi="Georgia"/>
            <w:color w:val="0000ee"/>
            <w:sz w:val="24"/>
            <w:szCs w:val="24"/>
            <w:u w:val="single"/>
            <w:rtl w:val="0"/>
          </w:rPr>
          <w:t xml:space="preserve">https://www.scribd.com/document/488724925/FreezingCurveCalculation</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Active machine learning-driven experimentation to determine compound effects on protein patterns - PubMed Central, 访问时间为 一月 24, 2026， </w:t>
      </w:r>
      <w:hyperlink r:id="rId81">
        <w:r w:rsidDel="00000000" w:rsidR="00000000" w:rsidRPr="00000000">
          <w:rPr>
            <w:rFonts w:ascii="Georgia" w:cs="Georgia" w:eastAsia="Georgia" w:hAnsi="Georgia"/>
            <w:color w:val="0000ee"/>
            <w:sz w:val="24"/>
            <w:szCs w:val="24"/>
            <w:u w:val="single"/>
            <w:rtl w:val="0"/>
          </w:rPr>
          <w:t xml:space="preserve">https://pmc.ncbi.nlm.nih.gov/articles/PMC4798950/</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(PDF) Mechanical Characterization of Dissolving Microneedles: Factors Affecting Physical Strength of Needles - ResearchGate, 访问时间为 一月 24, 2026， </w:t>
      </w:r>
      <w:hyperlink r:id="rId82">
        <w:r w:rsidDel="00000000" w:rsidR="00000000" w:rsidRPr="00000000">
          <w:rPr>
            <w:rFonts w:ascii="Georgia" w:cs="Georgia" w:eastAsia="Georgia" w:hAnsi="Georgia"/>
            <w:color w:val="0000ee"/>
            <w:sz w:val="24"/>
            <w:szCs w:val="24"/>
            <w:u w:val="single"/>
            <w:rtl w:val="0"/>
          </w:rPr>
          <w:t xml:space="preserve">https://www.researchgate.net/publication/377836032_Mechanical_Characterization_of_Dissolving_Microneedles_Factors_Affecting_Physical_Strength_of_Needles</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Mechanical Characterization of Dissolving Microneedles: Factors Affecting Physical Strength of Needles - MDPI, 访问时间为 一月 24, 2026， </w:t>
      </w:r>
      <w:hyperlink r:id="rId83">
        <w:r w:rsidDel="00000000" w:rsidR="00000000" w:rsidRPr="00000000">
          <w:rPr>
            <w:rFonts w:ascii="Georgia" w:cs="Georgia" w:eastAsia="Georgia" w:hAnsi="Georgia"/>
            <w:color w:val="0000ee"/>
            <w:sz w:val="24"/>
            <w:szCs w:val="24"/>
            <w:u w:val="single"/>
            <w:rtl w:val="0"/>
          </w:rPr>
          <w:t xml:space="preserve">https://www.mdpi.com/1999-4923/16/2/200</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Cryopreservation of Human iPS Cell Aggregates in a DMSO-Free Solution—An Optimization and Comparative Study - Frontiers, 访问时间为 一月 24, 2026， </w:t>
      </w:r>
      <w:hyperlink r:id="rId84">
        <w:r w:rsidDel="00000000" w:rsidR="00000000" w:rsidRPr="00000000">
          <w:rPr>
            <w:rFonts w:ascii="Georgia" w:cs="Georgia" w:eastAsia="Georgia" w:hAnsi="Georgia"/>
            <w:color w:val="0000ee"/>
            <w:sz w:val="24"/>
            <w:szCs w:val="24"/>
            <w:u w:val="single"/>
            <w:rtl w:val="0"/>
          </w:rPr>
          <w:t xml:space="preserve">https://www.frontiersin.org/journals/bioengineering-and-biotechnology/articles/10.3389/fbioe.2020.00001/full</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Physics-Informed Online Learning for Temperature Prediction in Metal AM - PMC, 访问时间为 一月 24, 2026， </w:t>
      </w:r>
      <w:hyperlink r:id="rId85">
        <w:r w:rsidDel="00000000" w:rsidR="00000000" w:rsidRPr="00000000">
          <w:rPr>
            <w:rFonts w:ascii="Georgia" w:cs="Georgia" w:eastAsia="Georgia" w:hAnsi="Georgia"/>
            <w:color w:val="0000ee"/>
            <w:sz w:val="24"/>
            <w:szCs w:val="24"/>
            <w:u w:val="single"/>
            <w:rtl w:val="0"/>
          </w:rPr>
          <w:t xml:space="preserve">https://pmc.ncbi.nlm.nih.gov/articles/PMC11243035/</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Physics-Informed Machine Learning for Accurate Prediction of Temperature and Melt Pool Dimension in Metal Additive Manufacturing - PMC - NIH, 访问时间为 一月 24, 2026， </w:t>
      </w:r>
      <w:hyperlink r:id="rId86">
        <w:r w:rsidDel="00000000" w:rsidR="00000000" w:rsidRPr="00000000">
          <w:rPr>
            <w:rFonts w:ascii="Georgia" w:cs="Georgia" w:eastAsia="Georgia" w:hAnsi="Georgia"/>
            <w:color w:val="0000ee"/>
            <w:sz w:val="24"/>
            <w:szCs w:val="24"/>
            <w:u w:val="single"/>
            <w:rtl w:val="0"/>
          </w:rPr>
          <w:t xml:space="preserve">https://pmc.ncbi.nlm.nih.gov/articles/PMC11443106/</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rPr>
      </w:pPr>
      <w:r w:rsidDel="00000000" w:rsidR="00000000" w:rsidRPr="00000000">
        <w:rPr>
          <w:rFonts w:ascii="Gungsuh" w:cs="Gungsuh" w:eastAsia="Gungsuh" w:hAnsi="Gungsuh"/>
          <w:sz w:val="24"/>
          <w:szCs w:val="24"/>
          <w:rtl w:val="0"/>
        </w:rPr>
        <w:t xml:space="preserve">Physics-informed machine-learning model of temperature evolution under solid phase processes - OSTI.GOV, 访问时间为 一月 24, 2026， </w:t>
      </w:r>
      <w:hyperlink r:id="rId87">
        <w:r w:rsidDel="00000000" w:rsidR="00000000" w:rsidRPr="00000000">
          <w:rPr>
            <w:rFonts w:ascii="Georgia" w:cs="Georgia" w:eastAsia="Georgia" w:hAnsi="Georgia"/>
            <w:color w:val="0000ee"/>
            <w:sz w:val="24"/>
            <w:szCs w:val="24"/>
            <w:u w:val="single"/>
            <w:rtl w:val="0"/>
          </w:rPr>
          <w:t xml:space="preserve">https://www.osti.gov/servlets/purl/1984018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figure/Fabrication-characterization-and-mechanical-strengths-of-ice-microneedles-a-Schemes_fig2_352978762" TargetMode="External"/><Relationship Id="rId84" Type="http://schemas.openxmlformats.org/officeDocument/2006/relationships/hyperlink" Target="https://www.frontiersin.org/journals/bioengineering-and-biotechnology/articles/10.3389/fbioe.2020.00001/full" TargetMode="External"/><Relationship Id="rId83" Type="http://schemas.openxmlformats.org/officeDocument/2006/relationships/hyperlink" Target="https://www.mdpi.com/1999-4923/16/2/200" TargetMode="External"/><Relationship Id="rId42" Type="http://schemas.openxmlformats.org/officeDocument/2006/relationships/hyperlink" Target="https://allanchem.com/key-differences-cryoprotectant-types/" TargetMode="External"/><Relationship Id="rId86" Type="http://schemas.openxmlformats.org/officeDocument/2006/relationships/hyperlink" Target="https://pmc.ncbi.nlm.nih.gov/articles/PMC11443106/" TargetMode="External"/><Relationship Id="rId41" Type="http://schemas.openxmlformats.org/officeDocument/2006/relationships/hyperlink" Target="https://pmc.ncbi.nlm.nih.gov/articles/PMC6753837/" TargetMode="External"/><Relationship Id="rId85" Type="http://schemas.openxmlformats.org/officeDocument/2006/relationships/hyperlink" Target="https://pmc.ncbi.nlm.nih.gov/articles/PMC11243035/" TargetMode="External"/><Relationship Id="rId44" Type="http://schemas.openxmlformats.org/officeDocument/2006/relationships/hyperlink" Target="https://www.biocompare.com/Editorial-Articles/616422-The-Benefits-of-DMSO-Free-Cryopreservation/" TargetMode="External"/><Relationship Id="rId43" Type="http://schemas.openxmlformats.org/officeDocument/2006/relationships/hyperlink" Target="https://pmc.ncbi.nlm.nih.gov/articles/PMC9294745/" TargetMode="External"/><Relationship Id="rId87" Type="http://schemas.openxmlformats.org/officeDocument/2006/relationships/hyperlink" Target="https://www.osti.gov/servlets/purl/1984018" TargetMode="External"/><Relationship Id="rId46" Type="http://schemas.openxmlformats.org/officeDocument/2006/relationships/hyperlink" Target="https://pmc.ncbi.nlm.nih.gov/articles/PMC6987262/" TargetMode="External"/><Relationship Id="rId45" Type="http://schemas.openxmlformats.org/officeDocument/2006/relationships/hyperlink" Target="https://www.news-medical.net/news/20251125/Freezing-cells-for-success-DMSO-free-redefining-the-future-of-cryopreservation.aspx" TargetMode="External"/><Relationship Id="rId80" Type="http://schemas.openxmlformats.org/officeDocument/2006/relationships/hyperlink" Target="https://www.scribd.com/document/488724925/FreezingCurveCalculation" TargetMode="External"/><Relationship Id="rId82" Type="http://schemas.openxmlformats.org/officeDocument/2006/relationships/hyperlink" Target="https://www.researchgate.net/publication/377836032_Mechanical_Characterization_of_Dissolving_Microneedles_Factors_Affecting_Physical_Strength_of_Needles" TargetMode="External"/><Relationship Id="rId81" Type="http://schemas.openxmlformats.org/officeDocument/2006/relationships/hyperlink" Target="https://pmc.ncbi.nlm.nih.gov/articles/PMC47989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pmc.ncbi.nlm.nih.gov/articles/PMC10782869/" TargetMode="External"/><Relationship Id="rId47" Type="http://schemas.openxmlformats.org/officeDocument/2006/relationships/hyperlink" Target="https://www.findaphd.com/phds/project/ai-assisted-design-of-cryoprotective-agents-or-tap-here-to-enter-text/?p193748" TargetMode="External"/><Relationship Id="rId49" Type="http://schemas.openxmlformats.org/officeDocument/2006/relationships/hyperlink" Target="https://www.mdpi.com/2227-9717/13/9/2687" TargetMode="Externa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9.png"/><Relationship Id="rId8" Type="http://schemas.openxmlformats.org/officeDocument/2006/relationships/image" Target="media/image22.png"/><Relationship Id="rId73" Type="http://schemas.openxmlformats.org/officeDocument/2006/relationships/hyperlink" Target="https://www.di.ens.fr/~fbach/opt_book.pdf" TargetMode="External"/><Relationship Id="rId72" Type="http://schemas.openxmlformats.org/officeDocument/2006/relationships/hyperlink" Target="https://www.emergentmind.com/topics/sparsity-based-constraint-using-l1-regularization" TargetMode="External"/><Relationship Id="rId31" Type="http://schemas.openxmlformats.org/officeDocument/2006/relationships/image" Target="media/image8.png"/><Relationship Id="rId75" Type="http://schemas.openxmlformats.org/officeDocument/2006/relationships/hyperlink" Target="https://pmc.ncbi.nlm.nih.gov/articles/PMC9982302/" TargetMode="External"/><Relationship Id="rId30" Type="http://schemas.openxmlformats.org/officeDocument/2006/relationships/image" Target="media/image3.png"/><Relationship Id="rId74" Type="http://schemas.openxmlformats.org/officeDocument/2006/relationships/hyperlink" Target="https://botorch.org/docs/tutorials/constrained_multi_objective_bo/" TargetMode="External"/><Relationship Id="rId33" Type="http://schemas.openxmlformats.org/officeDocument/2006/relationships/image" Target="media/image6.png"/><Relationship Id="rId77" Type="http://schemas.openxmlformats.org/officeDocument/2006/relationships/hyperlink" Target="https://www.researchgate.net/publication/355583854_Bayesian_optimization_for_chemical_products_and_functional_materials" TargetMode="External"/><Relationship Id="rId32" Type="http://schemas.openxmlformats.org/officeDocument/2006/relationships/image" Target="media/image13.png"/><Relationship Id="rId76" Type="http://schemas.openxmlformats.org/officeDocument/2006/relationships/hyperlink" Target="https://arxiv.org/html/2512.17659v1" TargetMode="External"/><Relationship Id="rId35" Type="http://schemas.openxmlformats.org/officeDocument/2006/relationships/image" Target="media/image11.png"/><Relationship Id="rId79" Type="http://schemas.openxmlformats.org/officeDocument/2006/relationships/hyperlink" Target="https://arxiv.org/pdf/1709.05501" TargetMode="External"/><Relationship Id="rId34" Type="http://schemas.openxmlformats.org/officeDocument/2006/relationships/image" Target="media/image5.png"/><Relationship Id="rId78" Type="http://schemas.openxmlformats.org/officeDocument/2006/relationships/hyperlink" Target="https://research.google.com/pubs/archive/46507.pdf" TargetMode="External"/><Relationship Id="rId71" Type="http://schemas.openxmlformats.org/officeDocument/2006/relationships/hyperlink" Target="https://mlg.eng.cam.ac.uk/pub/pdf/MohHelGha12.pdf" TargetMode="External"/><Relationship Id="rId70" Type="http://schemas.openxmlformats.org/officeDocument/2006/relationships/hyperlink" Target="https://pubs.rsc.org/en/content/articlehtml/2025/ma/d5ma00346f" TargetMode="External"/><Relationship Id="rId37" Type="http://schemas.openxmlformats.org/officeDocument/2006/relationships/image" Target="media/image2.png"/><Relationship Id="rId36" Type="http://schemas.openxmlformats.org/officeDocument/2006/relationships/image" Target="media/image16.png"/><Relationship Id="rId39" Type="http://schemas.openxmlformats.org/officeDocument/2006/relationships/hyperlink" Target="https://www.ijpsjournal.com/article/cryogenic-microneedles-a-next-gen-approach-for-stable-and-precise-dose-delivery" TargetMode="External"/><Relationship Id="rId38" Type="http://schemas.openxmlformats.org/officeDocument/2006/relationships/image" Target="media/image18.png"/><Relationship Id="rId62" Type="http://schemas.openxmlformats.org/officeDocument/2006/relationships/hyperlink" Target="https://pmc.ncbi.nlm.nih.gov/articles/PMC5769925/" TargetMode="External"/><Relationship Id="rId61" Type="http://schemas.openxmlformats.org/officeDocument/2006/relationships/hyperlink" Target="https://pubmed.ncbi.nlm.nih.gov/38399254/" TargetMode="External"/><Relationship Id="rId20" Type="http://schemas.openxmlformats.org/officeDocument/2006/relationships/image" Target="media/image17.png"/><Relationship Id="rId64" Type="http://schemas.openxmlformats.org/officeDocument/2006/relationships/hyperlink" Target="https://pubs.acs.org/doi/10.1021/acs.molpharmaceut.5c00591" TargetMode="External"/><Relationship Id="rId63" Type="http://schemas.openxmlformats.org/officeDocument/2006/relationships/hyperlink" Target="https://citrine.io/why-bayesian-optimization-can-fall-short-for-materials-innovation/" TargetMode="External"/><Relationship Id="rId22" Type="http://schemas.openxmlformats.org/officeDocument/2006/relationships/image" Target="media/image33.png"/><Relationship Id="rId66" Type="http://schemas.openxmlformats.org/officeDocument/2006/relationships/hyperlink" Target="https://medium.com/henkel-data-and-analytics/bayesian-optimisation-finding-the-perfect-recipe-for-your-soup-f5d030e847be" TargetMode="External"/><Relationship Id="rId21" Type="http://schemas.openxmlformats.org/officeDocument/2006/relationships/image" Target="media/image23.png"/><Relationship Id="rId65" Type="http://schemas.openxmlformats.org/officeDocument/2006/relationships/hyperlink" Target="https://proceedings.mlr.press/v206/liu23b/liu23b.pdf" TargetMode="External"/><Relationship Id="rId24" Type="http://schemas.openxmlformats.org/officeDocument/2006/relationships/image" Target="media/image27.png"/><Relationship Id="rId68" Type="http://schemas.openxmlformats.org/officeDocument/2006/relationships/hyperlink" Target="https://pubs.rsc.org/en/content/articlehtml/2025/dd/d5dd00018a" TargetMode="External"/><Relationship Id="rId23" Type="http://schemas.openxmlformats.org/officeDocument/2006/relationships/image" Target="media/image31.png"/><Relationship Id="rId67" Type="http://schemas.openxmlformats.org/officeDocument/2006/relationships/hyperlink" Target="https://www.researchgate.net/publication/328878710_Suggesting_Cooking_Recipes_Through_Simulation_and_Bayesian_Optimization" TargetMode="External"/><Relationship Id="rId60" Type="http://schemas.openxmlformats.org/officeDocument/2006/relationships/hyperlink" Target="https://www.researchgate.net/publication/378690097_Innovative_freeze-drying_technique_in_the_fabrication_of_dissolving_microneedle_patch_Enhancing_transdermal_drug_delivery_efficiency" TargetMode="External"/><Relationship Id="rId26" Type="http://schemas.openxmlformats.org/officeDocument/2006/relationships/image" Target="media/image4.png"/><Relationship Id="rId25" Type="http://schemas.openxmlformats.org/officeDocument/2006/relationships/image" Target="media/image29.png"/><Relationship Id="rId69" Type="http://schemas.openxmlformats.org/officeDocument/2006/relationships/hyperlink" Target="https://www.researchgate.net/profile/Ryan-Rhys-Griffiths-2/publication/319898945_Constrained_Bayesian_Optimization_for_Automatic_Chemical_Design/links/5d6ab52f92851c8538837afc/Constrained-Bayesian-Optimization-for-Automatic-Chemical-Design.pdf" TargetMode="External"/><Relationship Id="rId28" Type="http://schemas.openxmlformats.org/officeDocument/2006/relationships/image" Target="media/image1.png"/><Relationship Id="rId27" Type="http://schemas.openxmlformats.org/officeDocument/2006/relationships/image" Target="media/image12.png"/><Relationship Id="rId29" Type="http://schemas.openxmlformats.org/officeDocument/2006/relationships/image" Target="media/image9.png"/><Relationship Id="rId51" Type="http://schemas.openxmlformats.org/officeDocument/2006/relationships/hyperlink" Target="https://pmc.ncbi.nlm.nih.gov/articles/PMC12587402/" TargetMode="External"/><Relationship Id="rId50" Type="http://schemas.openxmlformats.org/officeDocument/2006/relationships/hyperlink" Target="https://eprints.whiterose.ac.uk/id/eprint/234373/1/multi-objective-bayesian-optimization-for-experimental-design-in-copolymerization-and-revealing-chemical-mechanism-of-pareto-fronts.pdf" TargetMode="External"/><Relationship Id="rId53" Type="http://schemas.openxmlformats.org/officeDocument/2006/relationships/hyperlink" Target="https://www.researchgate.net/publication/385595463_Constrained_Multi-objective_Bayesian_Optimization_through_Optimistic_Constraints_Estimation" TargetMode="External"/><Relationship Id="rId52" Type="http://schemas.openxmlformats.org/officeDocument/2006/relationships/hyperlink" Target="https://pubmed.ncbi.nlm.nih.gov/41002022/" TargetMode="External"/><Relationship Id="rId11" Type="http://schemas.openxmlformats.org/officeDocument/2006/relationships/image" Target="media/image7.png"/><Relationship Id="rId55" Type="http://schemas.openxmlformats.org/officeDocument/2006/relationships/hyperlink" Target="https://www.sciencing.com/compute-freezing-point-mixture-8258857/" TargetMode="External"/><Relationship Id="rId10" Type="http://schemas.openxmlformats.org/officeDocument/2006/relationships/image" Target="media/image14.png"/><Relationship Id="rId54" Type="http://schemas.openxmlformats.org/officeDocument/2006/relationships/hyperlink" Target="https://pmc.ncbi.nlm.nih.gov/articles/PMC11411628/" TargetMode="External"/><Relationship Id="rId13" Type="http://schemas.openxmlformats.org/officeDocument/2006/relationships/image" Target="media/image30.png"/><Relationship Id="rId57" Type="http://schemas.openxmlformats.org/officeDocument/2006/relationships/hyperlink" Target="https://pmc.ncbi.nlm.nih.gov/articles/PMC7602354/" TargetMode="External"/><Relationship Id="rId12" Type="http://schemas.openxmlformats.org/officeDocument/2006/relationships/image" Target="media/image28.png"/><Relationship Id="rId56" Type="http://schemas.openxmlformats.org/officeDocument/2006/relationships/hyperlink" Target="https://www.researchgate.net/publication/303561236_Algorithm-driven_optimization_of_cryopreservation_protocols_for_transfusion_model_cell_types_including_Jurkat_cells_and_mesenchymal_stem_cells_Algorithm-driven_optimization_of_freezing" TargetMode="External"/><Relationship Id="rId15" Type="http://schemas.openxmlformats.org/officeDocument/2006/relationships/image" Target="media/image21.png"/><Relationship Id="rId59" Type="http://schemas.openxmlformats.org/officeDocument/2006/relationships/hyperlink" Target="https://chem.libretexts.org/Bookshelves/Physical_and_Theoretical_Chemistry_Textbook_Maps/Supplemental_Modules_(Physical_and_Theoretical_Chemistry)/Physical_Properties_of_Matter/Solutions_and_Mixtures/Colligative_Properties/Freezing_Point_Depression" TargetMode="External"/><Relationship Id="rId14" Type="http://schemas.openxmlformats.org/officeDocument/2006/relationships/image" Target="media/image24.png"/><Relationship Id="rId58" Type="http://schemas.openxmlformats.org/officeDocument/2006/relationships/hyperlink" Target="https://www.researchgate.net/publication/346491028_The_combination_of_trehalose_and_glycerol_an_effective_and_non-toxic_recipe_for_cryopreservation_of_human_adipose-derived_stem_cells" TargetMode="External"/><Relationship Id="rId17" Type="http://schemas.openxmlformats.org/officeDocument/2006/relationships/image" Target="media/image20.png"/><Relationship Id="rId16" Type="http://schemas.openxmlformats.org/officeDocument/2006/relationships/image" Target="media/image25.png"/><Relationship Id="rId19" Type="http://schemas.openxmlformats.org/officeDocument/2006/relationships/image" Target="media/image26.png"/><Relationship Id="rId1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