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pPr>
      <w:r>
        <w:rPr>
          <w:rFonts w:hint="eastAsia"/>
        </w:rPr>
        <w:t>2</w:t>
      </w:r>
      <w:r>
        <w:t>023-2024-2</w:t>
      </w:r>
      <w:r>
        <w:rPr>
          <w:rFonts w:hint="eastAsia"/>
        </w:rPr>
        <w:t>信安班《国际私法》第</w:t>
      </w:r>
      <w:r>
        <w:t>2</w:t>
      </w:r>
      <w:r>
        <w:rPr>
          <w:rFonts w:hint="eastAsia"/>
        </w:rPr>
        <w:t>次智慧树作业</w:t>
      </w:r>
    </w:p>
    <w:p>
      <w:pPr>
        <w:pageBreakBefore w:val="0"/>
        <w:widowControl w:val="0"/>
        <w:kinsoku/>
        <w:wordWrap/>
        <w:overflowPunct/>
        <w:topLinePunct w:val="0"/>
        <w:autoSpaceDE/>
        <w:autoSpaceDN/>
        <w:bidi w:val="0"/>
        <w:adjustRightInd/>
        <w:snapToGrid/>
        <w:spacing w:line="360" w:lineRule="auto"/>
        <w:textAlignment w:val="auto"/>
      </w:pPr>
    </w:p>
    <w:p>
      <w:pPr>
        <w:pageBreakBefore w:val="0"/>
        <w:widowControl w:val="0"/>
        <w:kinsoku/>
        <w:wordWrap/>
        <w:overflowPunct/>
        <w:topLinePunct w:val="0"/>
        <w:autoSpaceDE/>
        <w:autoSpaceDN/>
        <w:bidi w:val="0"/>
        <w:adjustRightInd/>
        <w:snapToGrid/>
        <w:spacing w:line="360" w:lineRule="auto"/>
        <w:textAlignment w:val="auto"/>
        <w:rPr>
          <w:rFonts w:hint="default" w:eastAsiaTheme="minorEastAsia"/>
          <w:sz w:val="32"/>
          <w:szCs w:val="32"/>
          <w:lang w:val="en-US" w:eastAsia="zh-CN"/>
        </w:rPr>
      </w:pPr>
      <w:r>
        <w:rPr>
          <w:rFonts w:hint="eastAsia"/>
          <w:sz w:val="32"/>
          <w:szCs w:val="32"/>
        </w:rPr>
        <w:t>学号：</w:t>
      </w:r>
      <w:r>
        <w:rPr>
          <w:rFonts w:hint="eastAsia"/>
          <w:sz w:val="32"/>
          <w:szCs w:val="32"/>
          <w:lang w:val="en-US" w:eastAsia="zh-CN"/>
        </w:rPr>
        <w:t>2113203</w:t>
      </w:r>
    </w:p>
    <w:p>
      <w:pPr>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32"/>
          <w:szCs w:val="32"/>
          <w:lang w:val="en-US" w:eastAsia="zh-CN"/>
        </w:rPr>
      </w:pPr>
      <w:r>
        <w:rPr>
          <w:rFonts w:hint="eastAsia"/>
          <w:sz w:val="32"/>
          <w:szCs w:val="32"/>
        </w:rPr>
        <w:t>姓名：</w:t>
      </w:r>
      <w:r>
        <w:rPr>
          <w:rFonts w:hint="eastAsia"/>
          <w:sz w:val="32"/>
          <w:szCs w:val="32"/>
          <w:lang w:val="en-US" w:eastAsia="zh-CN"/>
        </w:rPr>
        <w:t>付政烨</w:t>
      </w:r>
    </w:p>
    <w:p>
      <w:pPr>
        <w:pageBreakBefore w:val="0"/>
        <w:widowControl w:val="0"/>
        <w:kinsoku/>
        <w:wordWrap/>
        <w:overflowPunct/>
        <w:topLinePunct w:val="0"/>
        <w:autoSpaceDE/>
        <w:autoSpaceDN/>
        <w:bidi w:val="0"/>
        <w:adjustRightInd/>
        <w:snapToGrid/>
        <w:spacing w:line="360" w:lineRule="auto"/>
        <w:textAlignment w:val="auto"/>
        <w:rPr>
          <w:sz w:val="32"/>
          <w:szCs w:val="32"/>
        </w:rPr>
      </w:pPr>
      <w:r>
        <w:rPr>
          <w:rFonts w:hint="eastAsia"/>
          <w:sz w:val="32"/>
          <w:szCs w:val="32"/>
        </w:rPr>
        <w:t>成绩：</w:t>
      </w:r>
    </w:p>
    <w:p>
      <w:pPr>
        <w:pageBreakBefore w:val="0"/>
        <w:widowControl w:val="0"/>
        <w:kinsoku/>
        <w:wordWrap/>
        <w:overflowPunct/>
        <w:topLinePunct w:val="0"/>
        <w:autoSpaceDE/>
        <w:autoSpaceDN/>
        <w:bidi w:val="0"/>
        <w:adjustRightInd/>
        <w:snapToGrid/>
        <w:spacing w:line="360" w:lineRule="auto"/>
        <w:textAlignment w:val="auto"/>
      </w:pP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Style w:val="3"/>
        <w:pageBreakBefore w:val="0"/>
        <w:widowControl w:val="0"/>
        <w:kinsoku/>
        <w:wordWrap/>
        <w:overflowPunct/>
        <w:topLinePunct w:val="0"/>
        <w:autoSpaceDE/>
        <w:autoSpaceDN/>
        <w:bidi w:val="0"/>
        <w:adjustRightInd/>
        <w:snapToGrid/>
        <w:spacing w:line="360" w:lineRule="auto"/>
        <w:textAlignment w:val="auto"/>
      </w:pPr>
      <w:r>
        <w:rPr>
          <w:rFonts w:hint="eastAsia"/>
        </w:rPr>
        <w:t>选择并陈述理由</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Times New Roman" w:hAnsi="Times New Roman" w:eastAsia="宋体"/>
          <w:sz w:val="24"/>
        </w:rPr>
        <w:t>（本题备选项中有一个或多个是正确的，请将正确答案的代码填在题干后的括号内，同时陈述你做出该选择的具体理由，</w:t>
      </w:r>
      <w:r>
        <w:rPr>
          <w:rFonts w:ascii="Times New Roman" w:hAnsi="Times New Roman" w:eastAsia="宋体"/>
          <w:sz w:val="24"/>
        </w:rPr>
        <w:t>只做选择不陈述理由者不得分。</w:t>
      </w:r>
      <w:r>
        <w:rPr>
          <w:rFonts w:hint="eastAsia" w:ascii="Times New Roman" w:hAnsi="Times New Roman" w:eastAsia="宋体"/>
          <w:sz w:val="24"/>
        </w:rPr>
        <w:t>每小题</w:t>
      </w:r>
      <w:r>
        <w:rPr>
          <w:rFonts w:ascii="Times New Roman" w:hAnsi="Times New Roman" w:eastAsia="宋体"/>
          <w:sz w:val="24"/>
        </w:rPr>
        <w:t>10分，共100分）</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Style w:val="11"/>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eastAsia="宋体"/>
          <w:sz w:val="24"/>
        </w:rPr>
      </w:pPr>
      <w:r>
        <w:rPr>
          <w:rFonts w:hint="eastAsia" w:ascii="Times New Roman" w:hAnsi="Times New Roman" w:eastAsia="宋体"/>
          <w:sz w:val="24"/>
        </w:rPr>
        <w:t xml:space="preserve">“知识产权的侵权责任，适用被请求保护地法律，当事人也可以在侵权行为发生后协议选择适用法院地法律。”属于（ </w:t>
      </w:r>
      <w:r>
        <w:rPr>
          <w:rFonts w:ascii="Times New Roman" w:hAnsi="Times New Roman" w:eastAsia="宋体"/>
          <w:sz w:val="24"/>
        </w:rPr>
        <w:t xml:space="preserve">  </w:t>
      </w:r>
      <w:r>
        <w:rPr>
          <w:rFonts w:hint="eastAsia" w:ascii="Times New Roman" w:hAnsi="Times New Roman" w:eastAsia="宋体"/>
          <w:sz w:val="24"/>
          <w:lang w:val="en-US" w:eastAsia="zh-CN"/>
        </w:rPr>
        <w:t>C</w:t>
      </w:r>
      <w:r>
        <w:rPr>
          <w:rFonts w:ascii="Times New Roman" w:hAnsi="Times New Roman" w:eastAsia="宋体"/>
          <w:sz w:val="24"/>
        </w:rPr>
        <w:t xml:space="preserve">     </w:t>
      </w:r>
      <w:r>
        <w:rPr>
          <w:rFonts w:hint="eastAsia" w:ascii="Times New Roman" w:hAnsi="Times New Roman" w:eastAsia="宋体"/>
          <w:sz w:val="24"/>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A.</w:t>
      </w:r>
      <w:r>
        <w:rPr>
          <w:rFonts w:ascii="Times New Roman" w:hAnsi="Times New Roman" w:eastAsia="宋体"/>
          <w:sz w:val="24"/>
        </w:rPr>
        <w:tab/>
      </w:r>
      <w:r>
        <w:rPr>
          <w:rFonts w:hint="eastAsia" w:ascii="Times New Roman" w:hAnsi="Times New Roman" w:eastAsia="宋体"/>
          <w:sz w:val="24"/>
        </w:rPr>
        <w:t>双边冲突规范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w:t>
      </w:r>
      <w:r>
        <w:rPr>
          <w:rFonts w:ascii="Times New Roman" w:hAnsi="Times New Roman" w:eastAsia="宋体"/>
          <w:sz w:val="24"/>
        </w:rPr>
        <w:tab/>
      </w:r>
      <w:r>
        <w:rPr>
          <w:rFonts w:hint="eastAsia" w:ascii="Times New Roman" w:hAnsi="Times New Roman" w:eastAsia="宋体"/>
          <w:sz w:val="24"/>
        </w:rPr>
        <w:t>单边冲突规范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C.</w:t>
      </w:r>
      <w:r>
        <w:rPr>
          <w:rFonts w:ascii="Times New Roman" w:hAnsi="Times New Roman" w:eastAsia="宋体"/>
          <w:sz w:val="24"/>
        </w:rPr>
        <w:tab/>
      </w:r>
      <w:r>
        <w:rPr>
          <w:rFonts w:hint="eastAsia" w:ascii="Times New Roman" w:hAnsi="Times New Roman" w:eastAsia="宋体"/>
          <w:sz w:val="24"/>
        </w:rPr>
        <w:t>有条件选择型冲突规范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D.</w:t>
      </w:r>
      <w:r>
        <w:rPr>
          <w:rFonts w:ascii="Times New Roman" w:hAnsi="Times New Roman" w:eastAsia="宋体"/>
          <w:sz w:val="24"/>
        </w:rPr>
        <w:tab/>
      </w:r>
      <w:r>
        <w:rPr>
          <w:rFonts w:hint="eastAsia" w:ascii="Times New Roman" w:hAnsi="Times New Roman" w:eastAsia="宋体"/>
          <w:sz w:val="24"/>
        </w:rPr>
        <w:t>无条件选择型冲突规范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Times New Roman" w:hAnsi="Times New Roman" w:eastAsia="宋体"/>
          <w:b/>
          <w:bCs/>
          <w:sz w:val="24"/>
        </w:rPr>
        <w:t>理由：</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drawing>
          <wp:inline distT="0" distB="0" distL="114300" distR="114300">
            <wp:extent cx="2293620" cy="637540"/>
            <wp:effectExtent l="0" t="0" r="5080" b="10160"/>
            <wp:docPr id="1" name="图片 1" descr="po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o_diagram"/>
                    <pic:cNvPicPr>
                      <a:picLocks noChangeAspect="1"/>
                    </pic:cNvPicPr>
                  </pic:nvPicPr>
                  <pic:blipFill>
                    <a:blip r:embed="rId4"/>
                    <a:stretch>
                      <a:fillRect/>
                    </a:stretch>
                  </pic:blipFill>
                  <pic:spPr>
                    <a:xfrm>
                      <a:off x="0" y="0"/>
                      <a:ext cx="2293620" cy="637540"/>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范围：</w:t>
      </w:r>
      <w:r>
        <w:rPr>
          <w:rFonts w:hint="eastAsia" w:ascii="华文楷体" w:hAnsi="华文楷体" w:eastAsia="华文楷体" w:cs="华文楷体"/>
          <w:sz w:val="21"/>
          <w:szCs w:val="21"/>
        </w:rPr>
        <w:t>知识产权的侵权责任</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关键词：使用</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系属：</w:t>
      </w:r>
      <w:r>
        <w:rPr>
          <w:rFonts w:hint="eastAsia" w:ascii="华文楷体" w:hAnsi="华文楷体" w:eastAsia="华文楷体" w:cs="华文楷体"/>
          <w:sz w:val="21"/>
          <w:szCs w:val="21"/>
        </w:rPr>
        <w:t>被请求保护地法律，当事人也可以在侵权行为发生后协议选择适用法院地法律</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rPr>
      </w:pPr>
      <w:r>
        <w:rPr>
          <w:rFonts w:hint="eastAsia" w:ascii="华文楷体" w:hAnsi="华文楷体" w:eastAsia="华文楷体" w:cs="华文楷体"/>
          <w:sz w:val="21"/>
          <w:szCs w:val="21"/>
          <w:lang w:val="en-US" w:eastAsia="zh-CN"/>
        </w:rPr>
        <w:t>连接点：</w:t>
      </w:r>
      <w:r>
        <w:rPr>
          <w:rFonts w:hint="eastAsia" w:ascii="华文楷体" w:hAnsi="华文楷体" w:eastAsia="华文楷体" w:cs="华文楷体"/>
          <w:sz w:val="21"/>
          <w:szCs w:val="21"/>
        </w:rPr>
        <w:t>被请求保护地</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法院地</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同时</w:t>
      </w:r>
      <w:r>
        <w:rPr>
          <w:rFonts w:hint="eastAsia" w:ascii="华文楷体" w:hAnsi="华文楷体" w:eastAsia="华文楷体" w:cs="华文楷体"/>
          <w:sz w:val="21"/>
          <w:szCs w:val="21"/>
        </w:rPr>
        <w:t>“也可以”，是一种选择的意思，所以应该是选择型冲突规范。</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发生后</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体现先后顺序，所以是有条件选择型冲突规范。</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sz w:val="24"/>
        </w:rPr>
      </w:pPr>
    </w:p>
    <w:p>
      <w:pPr>
        <w:pStyle w:val="11"/>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eastAsia="宋体"/>
          <w:sz w:val="24"/>
        </w:rPr>
      </w:pPr>
      <w:r>
        <w:rPr>
          <w:rFonts w:hint="eastAsia" w:ascii="Times New Roman" w:hAnsi="Times New Roman" w:eastAsia="宋体"/>
          <w:sz w:val="24"/>
        </w:rPr>
        <w:t xml:space="preserve">“遗嘱方式，符合遗嘱人立遗嘱时或者死亡时经常居所地法律、国籍国法律或者遗嘱行为地法律的，遗嘱均为成立。”属于（ </w:t>
      </w:r>
      <w:r>
        <w:rPr>
          <w:rFonts w:ascii="Times New Roman" w:hAnsi="Times New Roman" w:eastAsia="宋体"/>
          <w:sz w:val="24"/>
        </w:rPr>
        <w:t xml:space="preserve"> </w:t>
      </w:r>
      <w:r>
        <w:rPr>
          <w:rFonts w:hint="eastAsia" w:ascii="Times New Roman" w:hAnsi="Times New Roman" w:eastAsia="宋体"/>
          <w:sz w:val="24"/>
          <w:lang w:val="en-US" w:eastAsia="zh-CN"/>
        </w:rPr>
        <w:t>D</w:t>
      </w:r>
      <w:r>
        <w:rPr>
          <w:rFonts w:ascii="Times New Roman" w:hAnsi="Times New Roman" w:eastAsia="宋体"/>
          <w:sz w:val="24"/>
        </w:rPr>
        <w:t xml:space="preserve">    </w:t>
      </w:r>
      <w:r>
        <w:rPr>
          <w:rFonts w:hint="eastAsia" w:ascii="Times New Roman" w:hAnsi="Times New Roman" w:eastAsia="宋体"/>
          <w:sz w:val="24"/>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A.</w:t>
      </w:r>
      <w:r>
        <w:rPr>
          <w:rFonts w:ascii="Times New Roman" w:hAnsi="Times New Roman" w:eastAsia="宋体"/>
          <w:sz w:val="24"/>
        </w:rPr>
        <w:tab/>
      </w:r>
      <w:r>
        <w:rPr>
          <w:rFonts w:ascii="Times New Roman" w:hAnsi="Times New Roman" w:eastAsia="宋体"/>
          <w:sz w:val="24"/>
        </w:rPr>
        <w:t>双边冲突规范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w:t>
      </w:r>
      <w:r>
        <w:rPr>
          <w:rFonts w:ascii="Times New Roman" w:hAnsi="Times New Roman" w:eastAsia="宋体"/>
          <w:sz w:val="24"/>
        </w:rPr>
        <w:tab/>
      </w:r>
      <w:r>
        <w:rPr>
          <w:rFonts w:ascii="Times New Roman" w:hAnsi="Times New Roman" w:eastAsia="宋体"/>
          <w:sz w:val="24"/>
        </w:rPr>
        <w:t>单边冲突规范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C.</w:t>
      </w:r>
      <w:r>
        <w:rPr>
          <w:rFonts w:ascii="Times New Roman" w:hAnsi="Times New Roman" w:eastAsia="宋体"/>
          <w:sz w:val="24"/>
        </w:rPr>
        <w:tab/>
      </w:r>
      <w:r>
        <w:rPr>
          <w:rFonts w:ascii="Times New Roman" w:hAnsi="Times New Roman" w:eastAsia="宋体"/>
          <w:sz w:val="24"/>
        </w:rPr>
        <w:t>有条件选择型冲突规范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D.</w:t>
      </w:r>
      <w:r>
        <w:rPr>
          <w:rFonts w:ascii="Times New Roman" w:hAnsi="Times New Roman" w:eastAsia="宋体"/>
          <w:sz w:val="24"/>
        </w:rPr>
        <w:tab/>
      </w:r>
      <w:r>
        <w:rPr>
          <w:rFonts w:ascii="Times New Roman" w:hAnsi="Times New Roman" w:eastAsia="宋体"/>
          <w:sz w:val="24"/>
        </w:rPr>
        <w:t>无条件选择型冲突规范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b/>
          <w:bCs/>
          <w:sz w:val="24"/>
        </w:rPr>
      </w:pPr>
      <w:r>
        <w:rPr>
          <w:rFonts w:hint="eastAsia" w:ascii="Times New Roman" w:hAnsi="Times New Roman" w:eastAsia="宋体"/>
          <w:b/>
          <w:bCs/>
          <w:sz w:val="24"/>
        </w:rPr>
        <w:t>理由：</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Times New Roman" w:hAnsi="Times New Roman" w:eastAsia="宋体"/>
          <w:sz w:val="24"/>
          <w:lang w:eastAsia="zh-CN"/>
        </w:rPr>
        <w:drawing>
          <wp:inline distT="0" distB="0" distL="114300" distR="114300">
            <wp:extent cx="2293620" cy="637540"/>
            <wp:effectExtent l="0" t="0" r="5080" b="10160"/>
            <wp:docPr id="2" name="图片 2" descr="po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o_diagram"/>
                    <pic:cNvPicPr>
                      <a:picLocks noChangeAspect="1"/>
                    </pic:cNvPicPr>
                  </pic:nvPicPr>
                  <pic:blipFill>
                    <a:blip r:embed="rId4"/>
                    <a:stretch>
                      <a:fillRect/>
                    </a:stretch>
                  </pic:blipFill>
                  <pic:spPr>
                    <a:xfrm>
                      <a:off x="0" y="0"/>
                      <a:ext cx="2293620" cy="637540"/>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范围：</w:t>
      </w:r>
      <w:r>
        <w:rPr>
          <w:rFonts w:hint="eastAsia" w:ascii="华文楷体" w:hAnsi="华文楷体" w:eastAsia="华文楷体" w:cs="华文楷体"/>
          <w:sz w:val="21"/>
          <w:szCs w:val="21"/>
        </w:rPr>
        <w:t>遗嘱方式</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关键词：符合</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系属：遗嘱人立遗嘱时或者死亡时经常居所地法律、国籍国法律或者遗嘱行为地法律的，遗嘱均为成立</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连接点：遗嘱人立遗嘱时或者死亡时经常居所地</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国籍国或者遗嘱行为地。</w:t>
      </w:r>
      <w:r>
        <w:rPr>
          <w:rFonts w:hint="eastAsia" w:ascii="华文楷体" w:hAnsi="华文楷体" w:eastAsia="华文楷体" w:cs="华文楷体"/>
          <w:sz w:val="21"/>
          <w:szCs w:val="21"/>
        </w:rPr>
        <w:t>“系属”中“连结点”有</w:t>
      </w:r>
      <w:r>
        <w:rPr>
          <w:rFonts w:hint="eastAsia" w:ascii="华文楷体" w:hAnsi="华文楷体" w:eastAsia="华文楷体" w:cs="华文楷体"/>
          <w:sz w:val="21"/>
          <w:szCs w:val="21"/>
          <w:lang w:val="en-US" w:eastAsia="zh-CN"/>
        </w:rPr>
        <w:t>三</w:t>
      </w:r>
      <w:r>
        <w:rPr>
          <w:rFonts w:hint="eastAsia" w:ascii="华文楷体" w:hAnsi="华文楷体" w:eastAsia="华文楷体" w:cs="华文楷体"/>
          <w:sz w:val="21"/>
          <w:szCs w:val="21"/>
        </w:rPr>
        <w:t>个</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遗嘱人立遗嘱时或者死亡时经常居所地</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国籍国或者遗嘱行为地</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，只需选择其中之一就能确定准据法的冲突规范</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同时选择没有必须按照顺序要求，因此是</w:t>
      </w:r>
      <w:r>
        <w:rPr>
          <w:rFonts w:hint="eastAsia" w:ascii="华文楷体" w:hAnsi="华文楷体" w:eastAsia="华文楷体" w:cs="华文楷体"/>
          <w:sz w:val="21"/>
          <w:szCs w:val="21"/>
        </w:rPr>
        <w:t>无条件选择型冲突规范</w:t>
      </w:r>
      <w:r>
        <w:rPr>
          <w:rFonts w:hint="eastAsia" w:ascii="华文楷体" w:hAnsi="华文楷体" w:eastAsia="华文楷体" w:cs="华文楷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Style w:val="11"/>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ascii="Times New Roman" w:hAnsi="Times New Roman" w:eastAsia="宋体"/>
          <w:sz w:val="24"/>
        </w:rPr>
      </w:pPr>
      <w:r>
        <w:rPr>
          <w:rFonts w:hint="eastAsia" w:ascii="Times New Roman" w:hAnsi="Times New Roman" w:eastAsia="宋体"/>
          <w:sz w:val="24"/>
        </w:rPr>
        <w:t xml:space="preserve">“遗嘱效力，适用遗嘱人立遗嘱时或者死亡时经常居所地法律或者国籍国法律。”属于（ </w:t>
      </w:r>
      <w:r>
        <w:rPr>
          <w:rFonts w:ascii="Times New Roman" w:hAnsi="Times New Roman" w:eastAsia="宋体"/>
          <w:sz w:val="24"/>
        </w:rPr>
        <w:t xml:space="preserve">  </w:t>
      </w:r>
      <w:r>
        <w:rPr>
          <w:rFonts w:hint="eastAsia" w:ascii="Times New Roman" w:hAnsi="Times New Roman" w:eastAsia="宋体"/>
          <w:sz w:val="24"/>
          <w:lang w:val="en-US" w:eastAsia="zh-CN"/>
        </w:rPr>
        <w:t>D</w:t>
      </w:r>
      <w:r>
        <w:rPr>
          <w:rFonts w:ascii="Times New Roman" w:hAnsi="Times New Roman" w:eastAsia="宋体"/>
          <w:sz w:val="24"/>
        </w:rPr>
        <w:t xml:space="preserve">   </w:t>
      </w:r>
      <w:r>
        <w:rPr>
          <w:rFonts w:hint="eastAsia" w:ascii="Times New Roman" w:hAnsi="Times New Roman" w:eastAsia="宋体"/>
          <w:sz w:val="24"/>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A.</w:t>
      </w:r>
      <w:r>
        <w:rPr>
          <w:rFonts w:ascii="Times New Roman" w:hAnsi="Times New Roman" w:eastAsia="宋体"/>
          <w:sz w:val="24"/>
        </w:rPr>
        <w:tab/>
      </w:r>
      <w:r>
        <w:rPr>
          <w:rFonts w:ascii="Times New Roman" w:hAnsi="Times New Roman" w:eastAsia="宋体"/>
          <w:sz w:val="24"/>
        </w:rPr>
        <w:t>双边冲突规范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w:t>
      </w:r>
      <w:r>
        <w:rPr>
          <w:rFonts w:ascii="Times New Roman" w:hAnsi="Times New Roman" w:eastAsia="宋体"/>
          <w:sz w:val="24"/>
        </w:rPr>
        <w:tab/>
      </w:r>
      <w:r>
        <w:rPr>
          <w:rFonts w:ascii="Times New Roman" w:hAnsi="Times New Roman" w:eastAsia="宋体"/>
          <w:sz w:val="24"/>
        </w:rPr>
        <w:t>单边冲突规范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C.</w:t>
      </w:r>
      <w:r>
        <w:rPr>
          <w:rFonts w:ascii="Times New Roman" w:hAnsi="Times New Roman" w:eastAsia="宋体"/>
          <w:sz w:val="24"/>
        </w:rPr>
        <w:tab/>
      </w:r>
      <w:r>
        <w:rPr>
          <w:rFonts w:ascii="Times New Roman" w:hAnsi="Times New Roman" w:eastAsia="宋体"/>
          <w:sz w:val="24"/>
        </w:rPr>
        <w:t>有条件选择型冲突规范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D.</w:t>
      </w:r>
      <w:r>
        <w:rPr>
          <w:rFonts w:ascii="Times New Roman" w:hAnsi="Times New Roman" w:eastAsia="宋体"/>
          <w:sz w:val="24"/>
        </w:rPr>
        <w:tab/>
      </w:r>
      <w:r>
        <w:rPr>
          <w:rFonts w:ascii="Times New Roman" w:hAnsi="Times New Roman" w:eastAsia="宋体"/>
          <w:sz w:val="24"/>
        </w:rPr>
        <w:t>无条件选择型冲突规范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b/>
          <w:bCs/>
          <w:sz w:val="24"/>
        </w:rPr>
      </w:pPr>
      <w:r>
        <w:rPr>
          <w:rFonts w:hint="eastAsia" w:ascii="Times New Roman" w:hAnsi="Times New Roman" w:eastAsia="宋体"/>
          <w:b/>
          <w:bCs/>
          <w:sz w:val="24"/>
        </w:rPr>
        <w:t>理由：</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Times New Roman" w:hAnsi="Times New Roman" w:eastAsia="宋体"/>
          <w:sz w:val="24"/>
          <w:lang w:eastAsia="zh-CN"/>
        </w:rPr>
        <w:drawing>
          <wp:inline distT="0" distB="0" distL="114300" distR="114300">
            <wp:extent cx="2293620" cy="637540"/>
            <wp:effectExtent l="0" t="0" r="5080" b="10160"/>
            <wp:docPr id="3" name="图片 3" descr="po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o_diagram"/>
                    <pic:cNvPicPr>
                      <a:picLocks noChangeAspect="1"/>
                    </pic:cNvPicPr>
                  </pic:nvPicPr>
                  <pic:blipFill>
                    <a:blip r:embed="rId4"/>
                    <a:stretch>
                      <a:fillRect/>
                    </a:stretch>
                  </pic:blipFill>
                  <pic:spPr>
                    <a:xfrm>
                      <a:off x="0" y="0"/>
                      <a:ext cx="2293620" cy="637540"/>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范围：遗嘱效力</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关键词：适用</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系属：遗嘱人立遗嘱时或者死亡时经常居所地法律或者国籍国法律</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连接点：遗嘱人立遗嘱时或者死亡时经常居所地或者国籍国</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文楷体" w:hAnsi="华文楷体" w:eastAsia="华文楷体" w:cs="华文楷体"/>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“系属”中“连结点”有</w:t>
      </w:r>
      <w:r>
        <w:rPr>
          <w:rFonts w:hint="eastAsia" w:ascii="华文楷体" w:hAnsi="华文楷体" w:eastAsia="华文楷体" w:cs="华文楷体"/>
          <w:sz w:val="21"/>
          <w:szCs w:val="21"/>
          <w:lang w:val="en-US" w:eastAsia="zh-CN"/>
        </w:rPr>
        <w:t>两</w:t>
      </w:r>
      <w:r>
        <w:rPr>
          <w:rFonts w:hint="eastAsia" w:ascii="华文楷体" w:hAnsi="华文楷体" w:eastAsia="华文楷体" w:cs="华文楷体"/>
          <w:sz w:val="21"/>
          <w:szCs w:val="21"/>
        </w:rPr>
        <w:t>个</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遗嘱人立遗嘱时或者死亡时经常居所地或者国籍国</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，只需选择其中之一就能确定准据法的冲突规范</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同时选择没有必须按照顺序要求，因此是</w:t>
      </w:r>
      <w:r>
        <w:rPr>
          <w:rFonts w:hint="eastAsia" w:ascii="华文楷体" w:hAnsi="华文楷体" w:eastAsia="华文楷体" w:cs="华文楷体"/>
          <w:sz w:val="21"/>
          <w:szCs w:val="21"/>
        </w:rPr>
        <w:t>无条件选择型冲突规范</w:t>
      </w:r>
      <w:r>
        <w:rPr>
          <w:rFonts w:hint="eastAsia" w:ascii="华文楷体" w:hAnsi="华文楷体" w:eastAsia="华文楷体" w:cs="华文楷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ageBreakBefore w:val="0"/>
        <w:widowControl w:val="0"/>
        <w:numPr>
          <w:ilvl w:val="0"/>
          <w:numId w:val="1"/>
        </w:numPr>
        <w:kinsoku/>
        <w:wordWrap/>
        <w:overflowPunct/>
        <w:topLinePunct w:val="0"/>
        <w:autoSpaceDE/>
        <w:autoSpaceDN/>
        <w:bidi w:val="0"/>
        <w:adjustRightInd/>
        <w:snapToGrid/>
        <w:spacing w:line="360" w:lineRule="auto"/>
        <w:ind w:left="360" w:leftChars="0" w:hanging="360" w:firstLineChars="0"/>
        <w:textAlignment w:val="auto"/>
        <w:rPr>
          <w:rFonts w:ascii="Times New Roman" w:hAnsi="Times New Roman" w:eastAsia="宋体"/>
          <w:sz w:val="24"/>
        </w:rPr>
      </w:pPr>
      <w:r>
        <w:rPr>
          <w:rFonts w:ascii="Times New Roman" w:hAnsi="Times New Roman" w:eastAsia="宋体"/>
          <w:sz w:val="24"/>
        </w:rPr>
        <w:t>日本国公民小岛川子女士与新加坡公民卡卡先生经常居所地均在德国柏林，2017年6月两人被德国某公司劳务派遣至中国天津工作，2022年12月1日两人向天津市民政局申请结婚登记。依据我国国际私法，下列选项正确的是</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ascii="Times New Roman" w:hAnsi="Times New Roman" w:eastAsia="宋体"/>
          <w:sz w:val="24"/>
        </w:rPr>
      </w:pPr>
      <w:r>
        <w:rPr>
          <w:rFonts w:ascii="Times New Roman" w:hAnsi="Times New Roman" w:eastAsia="宋体"/>
          <w:sz w:val="24"/>
        </w:rPr>
        <w:t xml:space="preserve">（ </w:t>
      </w:r>
      <w:r>
        <w:rPr>
          <w:rFonts w:hint="eastAsia" w:ascii="Times New Roman" w:hAnsi="Times New Roman" w:eastAsia="宋体"/>
          <w:sz w:val="24"/>
          <w:lang w:val="en-US" w:eastAsia="zh-CN"/>
        </w:rPr>
        <w:t xml:space="preserve">  B</w:t>
      </w:r>
      <w:r>
        <w:rPr>
          <w:rFonts w:ascii="Times New Roman" w:hAnsi="Times New Roman" w:eastAsia="宋体"/>
          <w:sz w:val="24"/>
        </w:rPr>
        <w:t xml:space="preserve"> </w:t>
      </w:r>
      <w:r>
        <w:rPr>
          <w:rFonts w:hint="eastAsia" w:ascii="Times New Roman" w:hAnsi="Times New Roman" w:eastAsia="宋体"/>
          <w:sz w:val="24"/>
          <w:lang w:val="en-US" w:eastAsia="zh-CN"/>
        </w:rPr>
        <w:t>C</w:t>
      </w:r>
      <w:r>
        <w:rPr>
          <w:rFonts w:ascii="Times New Roman" w:hAnsi="Times New Roman" w:eastAsia="宋体"/>
          <w:sz w:val="24"/>
        </w:rPr>
        <w:t xml:space="preserve">   ）</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eastAsia="zh-CN"/>
        </w:rPr>
      </w:pPr>
      <w:r>
        <w:rPr>
          <w:rFonts w:ascii="Times New Roman" w:hAnsi="Times New Roman" w:eastAsia="宋体"/>
          <w:sz w:val="24"/>
        </w:rPr>
        <w:t>A. 结婚手续只能适用中国法</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法律适用法</w:t>
      </w:r>
      <w:r>
        <w:rPr>
          <w:rFonts w:hint="eastAsia" w:ascii="华文楷体" w:hAnsi="华文楷体" w:eastAsia="华文楷体" w:cs="华文楷体"/>
          <w:sz w:val="21"/>
          <w:szCs w:val="21"/>
          <w:lang w:eastAsia="zh-CN"/>
        </w:rPr>
        <w:t>》第二十二条：结婚手续，符合婚姻缔结地法律、一方当事人经常居所地法律或者国籍国法律的，均为有效。</w:t>
      </w:r>
      <w:r>
        <w:rPr>
          <w:rFonts w:hint="eastAsia" w:ascii="华文楷体" w:hAnsi="华文楷体" w:eastAsia="华文楷体" w:cs="华文楷体"/>
          <w:sz w:val="21"/>
          <w:szCs w:val="21"/>
          <w:lang w:val="en-US" w:eastAsia="zh-CN"/>
        </w:rPr>
        <w:t>所以， 结婚手续可以适用中国法（婚姻缔结地）、德国法（经常居所地）、日本和新加坡（国籍国），A项错误，B项正确。</w:t>
      </w:r>
      <w:r>
        <w:rPr>
          <w:rFonts w:hint="eastAsia" w:ascii="华文楷体" w:hAnsi="华文楷体" w:eastAsia="华文楷体" w:cs="华文楷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B．结婚手续符合日本法、新加坡法、中国法和德国法中的任何一个，即为有效。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eastAsia="zh-CN"/>
        </w:rPr>
      </w:pPr>
      <w:r>
        <w:rPr>
          <w:rFonts w:ascii="Times New Roman" w:hAnsi="Times New Roman" w:eastAsia="宋体"/>
          <w:color w:val="auto"/>
          <w:sz w:val="24"/>
        </w:rPr>
        <w:t>C. 法定结婚年龄问题应适用德国法</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结婚条件包括结婚年龄，《解释一》</w:t>
      </w:r>
      <w:r>
        <w:rPr>
          <w:rFonts w:hint="eastAsia" w:ascii="华文楷体" w:hAnsi="华文楷体" w:eastAsia="华文楷体" w:cs="华文楷体"/>
          <w:sz w:val="21"/>
          <w:szCs w:val="21"/>
          <w:lang w:eastAsia="zh-CN"/>
        </w:rPr>
        <w:t>第二十一条 结婚条件，适用当事人共同经常居所地法律；日本国公民小岛川子女士与新加坡公民卡卡先生经常居所地均在德国柏林，</w:t>
      </w:r>
      <w:r>
        <w:rPr>
          <w:rFonts w:hint="eastAsia" w:ascii="华文楷体" w:hAnsi="华文楷体" w:eastAsia="华文楷体" w:cs="华文楷体"/>
          <w:sz w:val="21"/>
          <w:szCs w:val="21"/>
          <w:lang w:val="en-US" w:eastAsia="zh-CN"/>
        </w:rPr>
        <w:t>故适用德国法。C正确</w:t>
      </w:r>
      <w:r>
        <w:rPr>
          <w:rFonts w:hint="eastAsia" w:ascii="华文楷体" w:hAnsi="华文楷体" w:eastAsia="华文楷体" w:cs="华文楷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D．两人婚后产生的夫妻财产关系问题应适用中国法</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法律适用法</w:t>
      </w:r>
      <w:r>
        <w:rPr>
          <w:rFonts w:hint="eastAsia" w:ascii="华文楷体" w:hAnsi="华文楷体" w:eastAsia="华文楷体" w:cs="华文楷体"/>
          <w:sz w:val="21"/>
          <w:szCs w:val="21"/>
          <w:lang w:eastAsia="zh-CN"/>
        </w:rPr>
        <w:t>》第二十四条：夫妻财产关系，当事人可以协议选择适用一方当事人经常居所地法律、国籍国法律或者主要财产所在地法律。当事人没有选择的，适用共同经常居所地法律；没有共同经常居所地的，适用共同国籍国法律。</w:t>
      </w:r>
      <w:r>
        <w:rPr>
          <w:rFonts w:hint="eastAsia" w:ascii="华文楷体" w:hAnsi="华文楷体" w:eastAsia="华文楷体" w:cs="华文楷体"/>
          <w:sz w:val="21"/>
          <w:szCs w:val="21"/>
          <w:lang w:val="en-US" w:eastAsia="zh-CN"/>
        </w:rPr>
        <w:t>本题属于双方</w:t>
      </w:r>
      <w:r>
        <w:rPr>
          <w:rFonts w:hint="eastAsia" w:ascii="华文楷体" w:hAnsi="华文楷体" w:eastAsia="华文楷体" w:cs="华文楷体"/>
          <w:sz w:val="21"/>
          <w:szCs w:val="21"/>
          <w:lang w:eastAsia="zh-CN"/>
        </w:rPr>
        <w:t>当事人没有选择的</w:t>
      </w:r>
      <w:r>
        <w:rPr>
          <w:rFonts w:hint="eastAsia" w:ascii="华文楷体" w:hAnsi="华文楷体" w:eastAsia="华文楷体" w:cs="华文楷体"/>
          <w:sz w:val="21"/>
          <w:szCs w:val="21"/>
          <w:lang w:val="en-US" w:eastAsia="zh-CN"/>
        </w:rPr>
        <w:t>情况，使用共同经常居所地法律，即德国法律。D项错误。</w:t>
      </w:r>
      <w:r>
        <w:rPr>
          <w:rFonts w:hint="eastAsia" w:ascii="华文楷体" w:hAnsi="华文楷体" w:eastAsia="华文楷体" w:cs="华文楷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5. 英国人约翰逊为北京中国梦股份有限公司职工，2000年起一直居住在天津市南开区，2008年5月被该公司劳务派遣到日本东京工作，2015年6月因病回天津。2018年1月，约翰逊离职到英国伦敦治病，2020年6月回天津，2022年1月失踪，至今下落不明。约翰逊的妻子向天津市南开区人民法院申请宣告约翰逊失踪。依我国国际私法，下列选项正确的是（    </w:t>
      </w:r>
      <w:r>
        <w:rPr>
          <w:rFonts w:hint="eastAsia" w:ascii="Times New Roman" w:hAnsi="Times New Roman" w:eastAsia="宋体"/>
          <w:sz w:val="24"/>
          <w:lang w:val="en-US" w:eastAsia="zh-CN"/>
        </w:rPr>
        <w:t>A B</w:t>
      </w:r>
      <w:r>
        <w:rPr>
          <w:rFonts w:ascii="Times New Roman" w:hAnsi="Times New Roman" w:eastAsia="宋体"/>
          <w:sz w:val="24"/>
        </w:rPr>
        <w:t xml:space="preserve">       ）</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A．天津市南开区人民法院对该案享有法定管辖权</w:t>
      </w:r>
      <w:r>
        <w:rPr>
          <w:rFonts w:hint="eastAsia" w:ascii="华文楷体" w:hAnsi="华文楷体" w:eastAsia="华文楷体" w:cs="华文楷体"/>
          <w:sz w:val="21"/>
          <w:szCs w:val="21"/>
          <w:lang w:val="en-US" w:eastAsia="zh-CN"/>
        </w:rPr>
        <w:t>（管辖权问题属于民事诉讼程序问题，依据我国《民事诉讼法》第4条，应适用法院地法律。本案由中国法院受理，因此应适用我国《民事诉讼法》解决管辖权问题。依据《民事诉讼法》第270条规定，涉外民事诉讼优先适用第四编规定，第四编没有规定的，适用我国国内民事诉讼法的规定。依据《民事诉讼法》第22条，对自然人提起的民事诉讼，原则上由被告住所地人民法院管辖。被告住所地和经常居住地不一致的，由经常居住地法院管辖。本题中约翰逊的住所地与经常居所地均为天津市南开区，故天津市南开区人民法院对该案享有法定管辖权，A项正确）</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B．宣告失踪的准据法应是中华人民共和国法律</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C．宣告失踪的准据法应是日本法律</w:t>
      </w:r>
      <w:r>
        <w:rPr>
          <w:rFonts w:hint="eastAsia" w:ascii="华文楷体" w:hAnsi="华文楷体" w:eastAsia="华文楷体" w:cs="华文楷体"/>
          <w:sz w:val="21"/>
          <w:szCs w:val="21"/>
          <w:lang w:val="en-US" w:eastAsia="zh-CN"/>
        </w:rPr>
        <w:t>（《法律适用法》第十三条：宣告失踪或者宣告死亡，适用自然人经常居所地法律。《解释一》第十三条：自然人在涉外民事关系产生或者变更、终止时已经连续居住一年以上且作为其生活中心的地方，人民法院可以认定为涉外民事关系法律适用法规定的自然人的经常居所地，但就医、劳务派遣、公务等情形除外。本题中，日本对应劳务派遣，英国对应就医，均不属于经常居所地的范畴，故判断约翰逊的经常居所地仍在中国，宣告失踪的准据法应是中华人民共和国法律。B项正确，C项错误）</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eastAsia="zh-CN"/>
        </w:rPr>
      </w:pPr>
      <w:r>
        <w:rPr>
          <w:rFonts w:ascii="Times New Roman" w:hAnsi="Times New Roman" w:eastAsia="宋体"/>
          <w:sz w:val="24"/>
        </w:rPr>
        <w:t>D．2008年至2015年期间，约翰逊的经常居所地在日本东京</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解释一</w:t>
      </w:r>
      <w:r>
        <w:rPr>
          <w:rFonts w:hint="eastAsia" w:ascii="华文楷体" w:hAnsi="华文楷体" w:eastAsia="华文楷体" w:cs="华文楷体"/>
          <w:sz w:val="21"/>
          <w:szCs w:val="21"/>
          <w:lang w:eastAsia="zh-CN"/>
        </w:rPr>
        <w:t>》第十三条：自然人在涉外民事关系产生或者变更、终止时已经连续居住一年以上且作为其生活中心的地方，人民法院可以认定为涉外民事关系法律适用法规定的自然人的经常居所地，但就医、劳务派遣、公务等情形除外。</w:t>
      </w:r>
      <w:r>
        <w:rPr>
          <w:rFonts w:hint="eastAsia" w:ascii="华文楷体" w:hAnsi="华文楷体" w:eastAsia="华文楷体" w:cs="华文楷体"/>
          <w:sz w:val="21"/>
          <w:szCs w:val="21"/>
          <w:lang w:val="en-US" w:eastAsia="zh-CN"/>
        </w:rPr>
        <w:t>题目中，</w:t>
      </w:r>
      <w:r>
        <w:rPr>
          <w:rFonts w:hint="eastAsia" w:ascii="华文楷体" w:hAnsi="华文楷体" w:eastAsia="华文楷体" w:cs="华文楷体"/>
          <w:sz w:val="21"/>
          <w:szCs w:val="21"/>
          <w:lang w:eastAsia="zh-CN"/>
        </w:rPr>
        <w:t>2008年至2015年期间</w:t>
      </w:r>
      <w:r>
        <w:rPr>
          <w:rFonts w:hint="eastAsia" w:ascii="华文楷体" w:hAnsi="华文楷体" w:eastAsia="华文楷体" w:cs="华文楷体"/>
          <w:sz w:val="21"/>
          <w:szCs w:val="21"/>
          <w:lang w:val="en-US" w:eastAsia="zh-CN"/>
        </w:rPr>
        <w:t>约翰逊属于</w:t>
      </w:r>
      <w:r>
        <w:rPr>
          <w:rFonts w:hint="eastAsia" w:ascii="华文楷体" w:hAnsi="华文楷体" w:eastAsia="华文楷体" w:cs="华文楷体"/>
          <w:sz w:val="21"/>
          <w:szCs w:val="21"/>
          <w:lang w:eastAsia="zh-CN"/>
        </w:rPr>
        <w:t>公司劳务派遣，</w:t>
      </w:r>
      <w:r>
        <w:rPr>
          <w:rFonts w:hint="eastAsia" w:ascii="华文楷体" w:hAnsi="华文楷体" w:eastAsia="华文楷体" w:cs="华文楷体"/>
          <w:sz w:val="21"/>
          <w:szCs w:val="21"/>
          <w:lang w:val="en-US" w:eastAsia="zh-CN"/>
        </w:rPr>
        <w:t>经常居所地应当还在天津。D项错误</w:t>
      </w:r>
      <w:r>
        <w:rPr>
          <w:rFonts w:hint="eastAsia" w:ascii="华文楷体" w:hAnsi="华文楷体" w:eastAsia="华文楷体" w:cs="华文楷体"/>
          <w:sz w:val="21"/>
          <w:szCs w:val="21"/>
          <w:lang w:eastAsia="zh-CN"/>
        </w:rPr>
        <w:t>）</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6. “在中华人民共和国境内履行的中外合作经营企业合同适用中华人民共和国法律”属于（     </w:t>
      </w:r>
      <w:r>
        <w:rPr>
          <w:rFonts w:hint="eastAsia" w:ascii="Times New Roman" w:hAnsi="Times New Roman" w:eastAsia="宋体"/>
          <w:sz w:val="24"/>
          <w:lang w:val="en-US" w:eastAsia="zh-CN"/>
        </w:rPr>
        <w:t>B</w:t>
      </w:r>
      <w:r>
        <w:rPr>
          <w:rFonts w:ascii="Times New Roman" w:hAnsi="Times New Roman" w:eastAsia="宋体"/>
          <w:sz w:val="24"/>
        </w:rPr>
        <w:t xml:space="preserve">       ）</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A．双边冲突规范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B．单边冲突规范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C．选择型冲突规范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D．重叠型冲突规范</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b/>
          <w:bCs/>
          <w:sz w:val="24"/>
        </w:rPr>
      </w:pPr>
      <w:r>
        <w:rPr>
          <w:rFonts w:hint="eastAsia" w:ascii="Times New Roman" w:hAnsi="Times New Roman" w:eastAsia="宋体"/>
          <w:b/>
          <w:bCs/>
          <w:sz w:val="24"/>
        </w:rPr>
        <w:t>理由：</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Times New Roman" w:hAnsi="Times New Roman" w:eastAsia="宋体"/>
          <w:sz w:val="24"/>
          <w:lang w:eastAsia="zh-CN"/>
        </w:rPr>
        <w:drawing>
          <wp:inline distT="0" distB="0" distL="114300" distR="114300">
            <wp:extent cx="2293620" cy="637540"/>
            <wp:effectExtent l="0" t="0" r="5080" b="10160"/>
            <wp:docPr id="4" name="图片 4" descr="po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o_diagram"/>
                    <pic:cNvPicPr>
                      <a:picLocks noChangeAspect="1"/>
                    </pic:cNvPicPr>
                  </pic:nvPicPr>
                  <pic:blipFill>
                    <a:blip r:embed="rId4"/>
                    <a:stretch>
                      <a:fillRect/>
                    </a:stretch>
                  </pic:blipFill>
                  <pic:spPr>
                    <a:xfrm>
                      <a:off x="0" y="0"/>
                      <a:ext cx="2293620" cy="637540"/>
                    </a:xfrm>
                    <a:prstGeom prst="rect">
                      <a:avLst/>
                    </a:prstGeom>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范围：</w:t>
      </w:r>
      <w:r>
        <w:rPr>
          <w:rFonts w:hint="eastAsia" w:ascii="华文楷体" w:hAnsi="华文楷体" w:eastAsia="华文楷体" w:cs="华文楷体"/>
          <w:sz w:val="21"/>
          <w:szCs w:val="21"/>
        </w:rPr>
        <w:t>在中华人民共和国境内履行的中外合作经营企业合同</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关键词：适用</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系属：</w:t>
      </w:r>
      <w:r>
        <w:rPr>
          <w:rFonts w:hint="eastAsia" w:ascii="华文楷体" w:hAnsi="华文楷体" w:eastAsia="华文楷体" w:cs="华文楷体"/>
          <w:sz w:val="21"/>
          <w:szCs w:val="21"/>
        </w:rPr>
        <w:t>中华人民共和国法律</w:t>
      </w:r>
    </w:p>
    <w:p>
      <w:pPr>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连接点：</w:t>
      </w:r>
      <w:r>
        <w:rPr>
          <w:rFonts w:hint="eastAsia" w:ascii="华文楷体" w:hAnsi="华文楷体" w:eastAsia="华文楷体" w:cs="华文楷体"/>
          <w:sz w:val="21"/>
          <w:szCs w:val="21"/>
        </w:rPr>
        <w:t>中华人民共和国</w:t>
      </w:r>
      <w:r>
        <w:rPr>
          <w:rFonts w:hint="eastAsia" w:ascii="华文楷体" w:hAnsi="华文楷体" w:eastAsia="华文楷体" w:cs="华文楷体"/>
          <w:sz w:val="21"/>
          <w:szCs w:val="21"/>
          <w:lang w:val="en-US" w:eastAsia="zh-CN"/>
        </w:rPr>
        <w:t>范围</w:t>
      </w:r>
    </w:p>
    <w:p>
      <w:pPr>
        <w:pageBreakBefore w:val="0"/>
        <w:widowControl w:val="0"/>
        <w:kinsoku/>
        <w:wordWrap/>
        <w:overflowPunct/>
        <w:topLinePunct w:val="0"/>
        <w:autoSpaceDE/>
        <w:autoSpaceDN/>
        <w:bidi w:val="0"/>
        <w:adjustRightInd/>
        <w:snapToGrid/>
        <w:spacing w:line="360" w:lineRule="auto"/>
        <w:textAlignment w:val="auto"/>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其“系属”直接规定</w:t>
      </w:r>
      <w:r>
        <w:rPr>
          <w:rFonts w:hint="eastAsia" w:ascii="华文楷体" w:hAnsi="华文楷体" w:eastAsia="华文楷体" w:cs="华文楷体"/>
          <w:sz w:val="21"/>
          <w:szCs w:val="21"/>
          <w:lang w:val="en-US" w:eastAsia="zh-CN"/>
        </w:rPr>
        <w:t>适用中华人民共和国</w:t>
      </w:r>
      <w:r>
        <w:rPr>
          <w:rFonts w:hint="eastAsia" w:ascii="华文楷体" w:hAnsi="华文楷体" w:eastAsia="华文楷体" w:cs="华文楷体"/>
          <w:sz w:val="21"/>
          <w:szCs w:val="21"/>
        </w:rPr>
        <w:t>法律的冲突规范</w:t>
      </w:r>
      <w:r>
        <w:rPr>
          <w:rFonts w:hint="eastAsia" w:ascii="华文楷体" w:hAnsi="华文楷体" w:eastAsia="华文楷体" w:cs="华文楷体"/>
          <w:sz w:val="21"/>
          <w:szCs w:val="21"/>
          <w:lang w:val="en-US" w:eastAsia="zh-CN"/>
        </w:rPr>
        <w:t>为</w:t>
      </w:r>
      <w:r>
        <w:rPr>
          <w:rFonts w:hint="eastAsia" w:ascii="华文楷体" w:hAnsi="华文楷体" w:eastAsia="华文楷体" w:cs="华文楷体"/>
          <w:sz w:val="21"/>
          <w:szCs w:val="21"/>
        </w:rPr>
        <w:t>单边冲突规范</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lang w:val="en-US" w:eastAsia="zh-CN"/>
        </w:rPr>
        <w:t>B正确</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7. 中国公民乐乐，1990年去德国留学，博士毕业后在德意志银行（登记地和主营业地均在德国法兰克福）工作，2008年定居德国法兰克福，经申请取得德国国籍。2015年乐乐被劳务派遣至日本东京工作，同年在东京购买了一栋别墅。2019年6月乐乐因疾病去荷兰就医，2023年7月死于荷兰。依据我国国际私法，下列选项正确的是（  </w:t>
      </w:r>
      <w:r>
        <w:rPr>
          <w:rFonts w:hint="eastAsia" w:ascii="Times New Roman" w:hAnsi="Times New Roman" w:eastAsia="宋体"/>
          <w:sz w:val="24"/>
          <w:lang w:val="en-US" w:eastAsia="zh-CN"/>
        </w:rPr>
        <w:t>BD</w:t>
      </w:r>
      <w:r>
        <w:rPr>
          <w:rFonts w:ascii="Times New Roman" w:hAnsi="Times New Roman" w:eastAsia="宋体"/>
          <w:sz w:val="24"/>
        </w:rPr>
        <w:t xml:space="preserve">     ）</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color w:val="0000FF"/>
          <w:sz w:val="24"/>
        </w:rPr>
        <w:t>A.</w:t>
      </w:r>
      <w:r>
        <w:rPr>
          <w:rFonts w:ascii="Times New Roman" w:hAnsi="Times New Roman" w:eastAsia="宋体"/>
          <w:color w:val="0000FF"/>
          <w:sz w:val="24"/>
        </w:rPr>
        <w:tab/>
      </w:r>
      <w:r>
        <w:rPr>
          <w:rFonts w:ascii="Times New Roman" w:hAnsi="Times New Roman" w:eastAsia="宋体"/>
          <w:color w:val="0000FF"/>
          <w:sz w:val="24"/>
        </w:rPr>
        <w:t>乐乐死亡时的国籍国法是中国法律</w:t>
      </w:r>
      <w:r>
        <w:rPr>
          <w:rFonts w:hint="eastAsia" w:ascii="华文楷体" w:hAnsi="华文楷体" w:eastAsia="华文楷体" w:cs="华文楷体"/>
          <w:sz w:val="21"/>
          <w:szCs w:val="21"/>
          <w:lang w:val="en-US" w:eastAsia="zh-CN"/>
        </w:rPr>
        <w:t>（《关于死者遗产继承的法律适用公约》第3条规定，原则上遗产的继承适用死亡时的经常居所地国家的法律，乐乐在德国已经连续居住一年以上且作为其生活中心的地方，因此德国是其经常居所地，国籍国法是德国法律。A项错误。）</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w:t>
      </w:r>
      <w:r>
        <w:rPr>
          <w:rFonts w:ascii="Times New Roman" w:hAnsi="Times New Roman" w:eastAsia="宋体"/>
          <w:sz w:val="24"/>
        </w:rPr>
        <w:tab/>
      </w:r>
      <w:r>
        <w:rPr>
          <w:rFonts w:ascii="Times New Roman" w:hAnsi="Times New Roman" w:eastAsia="宋体"/>
          <w:sz w:val="24"/>
        </w:rPr>
        <w:t>乐乐死亡时的经常居所地是德国</w:t>
      </w:r>
    </w:p>
    <w:p>
      <w:pPr>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sz w:val="24"/>
          <w:lang w:eastAsia="zh-CN"/>
        </w:rPr>
      </w:pPr>
      <w:r>
        <w:rPr>
          <w:rFonts w:ascii="Times New Roman" w:hAnsi="Times New Roman" w:eastAsia="宋体"/>
          <w:sz w:val="24"/>
        </w:rPr>
        <w:t>C.</w:t>
      </w:r>
      <w:r>
        <w:rPr>
          <w:rFonts w:ascii="Times New Roman" w:hAnsi="Times New Roman" w:eastAsia="宋体"/>
          <w:sz w:val="24"/>
        </w:rPr>
        <w:tab/>
      </w:r>
      <w:r>
        <w:rPr>
          <w:rFonts w:ascii="Times New Roman" w:hAnsi="Times New Roman" w:eastAsia="宋体"/>
          <w:sz w:val="24"/>
        </w:rPr>
        <w:t>乐乐死亡时的经常居所地是日本东京</w:t>
      </w:r>
      <w:r>
        <w:rPr>
          <w:rFonts w:hint="eastAsia" w:ascii="Times New Roman" w:hAnsi="Times New Roman" w:eastAsia="宋体"/>
          <w:sz w:val="24"/>
          <w:lang w:eastAsia="zh-CN"/>
        </w:rPr>
        <w:t>（</w:t>
      </w:r>
      <w:r>
        <w:rPr>
          <w:rFonts w:hint="eastAsia" w:ascii="华文楷体" w:hAnsi="华文楷体" w:eastAsia="华文楷体" w:cs="华文楷体"/>
          <w:sz w:val="21"/>
          <w:szCs w:val="21"/>
          <w:lang w:val="en-US" w:eastAsia="zh-CN"/>
        </w:rPr>
        <w:t>《解释一》第十三条：自然人在涉外民事关系产生或者变更、终止时已经连续居住一年以上且作为其生活中心的地方，人民法院可以认定为涉外民事关系法律适用法规定的自然人的经常居所地，但就医、劳务派遣、公务等情形除外。东京对应劳务派遣，乐乐在德国已经连续居住一年以上且作为其生活中心的地方，因此德国是其经常居所地。B项正确，C项错误</w:t>
      </w:r>
      <w:r>
        <w:rPr>
          <w:rFonts w:hint="eastAsia" w:ascii="Times New Roman" w:hAnsi="Times New Roman" w:eastAsia="宋体"/>
          <w:sz w:val="24"/>
          <w:lang w:eastAsia="zh-CN"/>
        </w:rPr>
        <w:t>）</w:t>
      </w:r>
    </w:p>
    <w:p>
      <w:pPr>
        <w:pageBreakBefore w:val="0"/>
        <w:kinsoku/>
        <w:wordWrap/>
        <w:overflowPunct/>
        <w:topLinePunct w:val="0"/>
        <w:autoSpaceDE/>
        <w:autoSpaceDN/>
        <w:bidi w:val="0"/>
        <w:adjustRightInd/>
        <w:snapToGrid/>
        <w:spacing w:line="24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D.</w:t>
      </w:r>
      <w:r>
        <w:rPr>
          <w:rFonts w:ascii="Times New Roman" w:hAnsi="Times New Roman" w:eastAsia="宋体"/>
          <w:sz w:val="24"/>
        </w:rPr>
        <w:tab/>
      </w:r>
      <w:r>
        <w:rPr>
          <w:rFonts w:ascii="Times New Roman" w:hAnsi="Times New Roman" w:eastAsia="宋体"/>
          <w:sz w:val="24"/>
        </w:rPr>
        <w:t>关于东京别墅的法定继承的诉讼时效应适用日本法律</w:t>
      </w:r>
      <w:r>
        <w:rPr>
          <w:rFonts w:hint="eastAsia" w:ascii="华文楷体" w:hAnsi="华文楷体" w:eastAsia="华文楷体" w:cs="华文楷体"/>
          <w:sz w:val="21"/>
          <w:szCs w:val="21"/>
          <w:lang w:val="en-US" w:eastAsia="zh-CN"/>
        </w:rPr>
        <w:t>（《法律适用法》 第三十一条 法定继承，适用被继承人死亡时经常居所地法律，但不动产法定继承，适用不动产所在地法律。不动产——别墅位于东京，因此适用日本法律。D项正确）</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8. 瑞士公民米勒（经常居所在德国柏林）在德国柏林签发一张转账支票给德国先锋公司用于支付货款，付款人为德意志银行北京分行（登记地和主营业地为中国北京）；德国先锋公司在柏林将支票背书转让给中国复兴梦公司，复兴梦公司在北京向德意志银行北京分行请求付款时被拒。依我国国际私法，下列选项正确的是（  </w:t>
      </w:r>
      <w:r>
        <w:rPr>
          <w:rFonts w:hint="eastAsia" w:ascii="Times New Roman" w:hAnsi="Times New Roman" w:eastAsia="宋体"/>
          <w:sz w:val="24"/>
          <w:lang w:val="en-US" w:eastAsia="zh-CN"/>
        </w:rPr>
        <w:t>A B</w:t>
      </w:r>
      <w:r>
        <w:rPr>
          <w:rFonts w:ascii="Times New Roman" w:hAnsi="Times New Roman" w:eastAsia="宋体"/>
          <w:sz w:val="24"/>
        </w:rPr>
        <w:t xml:space="preserve">   ）</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color w:val="C00000"/>
          <w:sz w:val="21"/>
          <w:szCs w:val="21"/>
          <w:lang w:val="en-US" w:eastAsia="zh-CN"/>
        </w:rPr>
      </w:pPr>
      <w:r>
        <w:rPr>
          <w:rFonts w:ascii="Times New Roman" w:hAnsi="Times New Roman" w:eastAsia="宋体"/>
          <w:sz w:val="24"/>
        </w:rPr>
        <w:t>A. 关于支票债务人米勒的民事行为能力，如米勒依瑞士法律无民事行为能力，依德国法为完全民事行为能力人，应适用德国法</w:t>
      </w:r>
      <w:r>
        <w:rPr>
          <w:rFonts w:hint="eastAsia" w:ascii="华文楷体" w:hAnsi="华文楷体" w:eastAsia="华文楷体" w:cs="华文楷体"/>
          <w:sz w:val="21"/>
          <w:szCs w:val="21"/>
          <w:lang w:val="en-US" w:eastAsia="zh-CN"/>
        </w:rPr>
        <w:t>（《票据法》第96条：票据债务人的民事行为能力，适用其本国法律。票据债务人的民事行为能力，依照其本国法律为无民事行为能力或者为限制民事行为能力而依照行为地法律为完全民事行为能力的，适用行为地法律。米勒在其国籍国瑞士无民事行为能力，同时依照其票据行为发生地——德国，米勒有民事行为能力，故适用德国法。A正确）</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B. 德意志银行北京分行的民事行为能力问题应适用中国法律</w:t>
      </w:r>
      <w:r>
        <w:rPr>
          <w:rFonts w:hint="eastAsia" w:ascii="华文楷体" w:hAnsi="华文楷体" w:eastAsia="华文楷体" w:cs="华文楷体"/>
          <w:sz w:val="21"/>
          <w:szCs w:val="21"/>
          <w:lang w:val="en-US" w:eastAsia="zh-CN"/>
        </w:rPr>
        <w:t>（商业银行的分支机构不具有法人资格，在总行的授权范围内开展业务，其</w:t>
      </w:r>
      <w:r>
        <w:rPr>
          <w:rFonts w:hint="eastAsia" w:ascii="华文楷体" w:hAnsi="华文楷体" w:eastAsia="华文楷体" w:cs="华文楷体"/>
          <w:sz w:val="21"/>
          <w:szCs w:val="21"/>
          <w:lang w:val="en-US" w:eastAsia="zh-CN"/>
        </w:rPr>
        <w:fldChar w:fldCharType="begin"/>
      </w:r>
      <w:r>
        <w:rPr>
          <w:rFonts w:hint="eastAsia" w:ascii="华文楷体" w:hAnsi="华文楷体" w:eastAsia="华文楷体" w:cs="华文楷体"/>
          <w:sz w:val="21"/>
          <w:szCs w:val="21"/>
          <w:lang w:val="en-US" w:eastAsia="zh-CN"/>
        </w:rPr>
        <w:instrText xml:space="preserve"> HYPERLINK "https://www.findlaw.cn/zongze/z8/" \t "https://china.findlaw.cn/jingjifa/yinghanfa/zyrmyh/yhfzjg/_blank" </w:instrText>
      </w:r>
      <w:r>
        <w:rPr>
          <w:rFonts w:hint="eastAsia" w:ascii="华文楷体" w:hAnsi="华文楷体" w:eastAsia="华文楷体" w:cs="华文楷体"/>
          <w:sz w:val="21"/>
          <w:szCs w:val="21"/>
          <w:lang w:val="en-US" w:eastAsia="zh-CN"/>
        </w:rPr>
        <w:fldChar w:fldCharType="separate"/>
      </w:r>
      <w:r>
        <w:rPr>
          <w:rFonts w:hint="eastAsia" w:ascii="华文楷体" w:hAnsi="华文楷体" w:eastAsia="华文楷体" w:cs="华文楷体"/>
          <w:sz w:val="21"/>
          <w:szCs w:val="21"/>
          <w:lang w:val="en-US" w:eastAsia="zh-CN"/>
        </w:rPr>
        <w:t>民事责任</w:t>
      </w:r>
      <w:r>
        <w:rPr>
          <w:rFonts w:hint="eastAsia" w:ascii="华文楷体" w:hAnsi="华文楷体" w:eastAsia="华文楷体" w:cs="华文楷体"/>
          <w:sz w:val="21"/>
          <w:szCs w:val="21"/>
          <w:lang w:val="en-US" w:eastAsia="zh-CN"/>
        </w:rPr>
        <w:fldChar w:fldCharType="end"/>
      </w:r>
      <w:r>
        <w:rPr>
          <w:rFonts w:hint="eastAsia" w:ascii="华文楷体" w:hAnsi="华文楷体" w:eastAsia="华文楷体" w:cs="华文楷体"/>
          <w:sz w:val="21"/>
          <w:szCs w:val="21"/>
          <w:lang w:val="en-US" w:eastAsia="zh-CN"/>
        </w:rPr>
        <w:t xml:space="preserve">由总行承担。《法律适用法》 第十四条：法人及其分支机构的民事权利能力、民事行为能力、组织机构、股东权利义务等事项，适用登记地法律。 </w:t>
      </w:r>
      <w:r>
        <w:rPr>
          <w:rFonts w:hint="eastAsia" w:ascii="华文楷体" w:hAnsi="华文楷体" w:eastAsia="华文楷体" w:cs="华文楷体"/>
          <w:color w:val="C00000"/>
          <w:sz w:val="21"/>
          <w:szCs w:val="21"/>
          <w:lang w:val="en-US" w:eastAsia="zh-CN"/>
        </w:rPr>
        <w:t>题干中提到“德意志银行北京分行（登记地和主营业地为中国北京）”是其分行而非总行，笔者推断可能是出题人疏忽，合理推测德意志银行登记地和主营业地为中国北京</w:t>
      </w:r>
      <w:r>
        <w:rPr>
          <w:rFonts w:hint="eastAsia" w:ascii="华文楷体" w:hAnsi="华文楷体" w:eastAsia="华文楷体" w:cs="华文楷体"/>
          <w:sz w:val="21"/>
          <w:szCs w:val="21"/>
          <w:lang w:val="en-US" w:eastAsia="zh-CN"/>
        </w:rPr>
        <w:t>，应适用中国法律。B正确）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C. 复兴梦公司向德国先锋公司行使票据追索权的期限，应适用中国法</w:t>
      </w:r>
      <w:r>
        <w:rPr>
          <w:rFonts w:hint="eastAsia" w:ascii="华文楷体" w:hAnsi="华文楷体" w:eastAsia="华文楷体" w:cs="华文楷体"/>
          <w:sz w:val="21"/>
          <w:szCs w:val="21"/>
          <w:lang w:val="en-US" w:eastAsia="zh-CN"/>
        </w:rPr>
        <w:t>（《票据法》第99条：票据追索权的行使期限，适用出票地法律。题目中瑞士公民米勒（经常居所在德国柏林）在德国柏林签发一张转账支票给德国先锋公司用于支付货款，出票地在德国，故应适用德国法。C项错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D. 如复兴梦公司不慎将该支票丢失，其请求保全票据权利的程序，应适用德国法</w:t>
      </w:r>
      <w:r>
        <w:rPr>
          <w:rFonts w:hint="eastAsia" w:ascii="华文楷体" w:hAnsi="华文楷体" w:eastAsia="华文楷体" w:cs="华文楷体"/>
          <w:sz w:val="21"/>
          <w:szCs w:val="21"/>
          <w:lang w:val="en-US" w:eastAsia="zh-CN"/>
        </w:rPr>
        <w:t>（《票据法》第101条：票据丧失时，失票人请求保全票据权利的程序，适用付款地法律。本题中，从复兴梦公司在北京向德意志银行北京分行请求付款时被拒可以看出，付款地在北京，应适用中国法律。D项错误）</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9. 英国维多利亚公司与我国长城公司签订合同在我国天津市共同投资设立中外合资经营企业维多利亚长城公司，注册登记地天津。后来维多利亚公司与长城公司之间因该合同履行问题发生争议，产生诉讼。依照我国国际私法，下列选项中正确的是（    </w:t>
      </w:r>
      <w:r>
        <w:rPr>
          <w:rFonts w:hint="eastAsia" w:ascii="Times New Roman" w:hAnsi="Times New Roman" w:eastAsia="宋体"/>
          <w:sz w:val="24"/>
          <w:lang w:val="en-US" w:eastAsia="zh-CN"/>
        </w:rPr>
        <w:t>B</w:t>
      </w:r>
      <w:r>
        <w:rPr>
          <w:rFonts w:ascii="Times New Roman" w:hAnsi="Times New Roman" w:eastAsia="宋体"/>
          <w:sz w:val="24"/>
        </w:rPr>
        <w:t xml:space="preserve"> </w:t>
      </w:r>
      <w:r>
        <w:rPr>
          <w:rFonts w:hint="eastAsia" w:ascii="Times New Roman" w:hAnsi="Times New Roman" w:eastAsia="宋体"/>
          <w:sz w:val="24"/>
          <w:lang w:val="en-US" w:eastAsia="zh-CN"/>
        </w:rPr>
        <w:t>C</w:t>
      </w:r>
      <w:r>
        <w:rPr>
          <w:rFonts w:ascii="Times New Roman" w:hAnsi="Times New Roman" w:eastAsia="宋体"/>
          <w:sz w:val="24"/>
        </w:rPr>
        <w:t xml:space="preserve">     ）</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A．涉案合同当事人可以协议选择该合同准据法</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B．涉案合同诉讼由中华人民共和国人民法院专属管辖</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华文楷体" w:hAnsi="华文楷体" w:eastAsia="华文楷体" w:cs="华文楷体"/>
          <w:sz w:val="21"/>
          <w:szCs w:val="21"/>
          <w:lang w:val="en-US" w:eastAsia="zh-CN"/>
        </w:rPr>
        <w:t>（《民法典》467条第2款：在中华人民共和国境内履行的中外合资经营企业合同、中外合作经营企业合同、中外合作勘探开发自然资源合同，适用中华人民共和国法律。维多利亚长城公司中外合资经营企业，合同属于中外合资经营企业合同，准据法只能是中国法律。A项错误，B项正确）</w:t>
      </w:r>
    </w:p>
    <w:p>
      <w:pPr>
        <w:pageBreakBefore w:val="0"/>
        <w:kinsoku/>
        <w:wordWrap/>
        <w:overflowPunct/>
        <w:topLinePunct w:val="0"/>
        <w:autoSpaceDE/>
        <w:autoSpaceDN/>
        <w:bidi w:val="0"/>
        <w:adjustRightInd/>
        <w:snapToGrid/>
        <w:spacing w:line="24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C．涉案合同争议的诉讼时效适用中华人民共和国法律</w:t>
      </w:r>
      <w:r>
        <w:rPr>
          <w:rFonts w:hint="eastAsia" w:ascii="华文楷体" w:hAnsi="华文楷体" w:eastAsia="华文楷体" w:cs="华文楷体"/>
          <w:sz w:val="21"/>
          <w:szCs w:val="21"/>
          <w:lang w:val="en-US" w:eastAsia="zh-CN"/>
        </w:rPr>
        <w:t>（《法律适用法》第七条 诉讼时效，适用相关涉外民事关系应当适用的法律。由前一问的分析只，诉讼时效适用中华人民共和国法律。C项正确）</w:t>
      </w:r>
    </w:p>
    <w:p>
      <w:pPr>
        <w:pageBreakBefore w:val="0"/>
        <w:widowControl w:val="0"/>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1"/>
          <w:szCs w:val="21"/>
          <w:lang w:val="en-US" w:eastAsia="zh-CN"/>
        </w:rPr>
      </w:pPr>
      <w:r>
        <w:rPr>
          <w:rFonts w:ascii="Times New Roman" w:hAnsi="Times New Roman" w:eastAsia="宋体"/>
          <w:sz w:val="24"/>
        </w:rPr>
        <w:t>D．维多利亚长城公司的民事行为能力问题适用中华人民共和国法律。</w:t>
      </w:r>
      <w:r>
        <w:rPr>
          <w:rFonts w:hint="eastAsia" w:ascii="华文楷体" w:hAnsi="华文楷体" w:eastAsia="华文楷体" w:cs="华文楷体"/>
          <w:sz w:val="21"/>
          <w:szCs w:val="21"/>
          <w:lang w:val="en-US" w:eastAsia="zh-CN"/>
        </w:rPr>
        <w:t>（《法律适用法》第十四条 法人及其分支机构的民事权利能力、民事行为能力、组织机构、股东权利义务等事项，适用登记地法律。由于本题没有明确说明该公司注册登记地在天津，故准据法为中国法，D 项正确。）</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bookmarkStart w:id="0" w:name="_GoBack"/>
      <w:bookmarkEnd w:id="0"/>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10. The registered information of China Huiyuan Juice Group Limited   (incorporated in the Cayman Islands with limited liability)  is as follows: （     </w:t>
      </w:r>
      <w:r>
        <w:rPr>
          <w:rFonts w:hint="eastAsia" w:ascii="Times New Roman" w:hAnsi="Times New Roman" w:eastAsia="宋体"/>
          <w:sz w:val="24"/>
          <w:lang w:val="en-US" w:eastAsia="zh-CN"/>
        </w:rPr>
        <w:t>B</w:t>
      </w:r>
      <w:r>
        <w:rPr>
          <w:rFonts w:ascii="Times New Roman" w:hAnsi="Times New Roman" w:eastAsia="宋体"/>
          <w:sz w:val="24"/>
        </w:rPr>
        <w:t xml:space="preserve">      ）</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Registered Office: Floor 4, Willow House, Cricket Square, P.O. Box 2804, Grand Cayman KYI-1112, Cayman Islands </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Head Office: Huiyuan Road, Beixiaoying Town, Shunyi District   Beijing, PRC</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According to the private international law of the People’s Republic of China, China Huiyuan Juice Group Limited is:</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A．a Chinese legal person</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B．a legal person of Cayman Islands</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 xml:space="preserve">C．a German legal person </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D．an international organization</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b/>
          <w:bCs/>
          <w:sz w:val="24"/>
        </w:rPr>
      </w:pPr>
      <w:r>
        <w:rPr>
          <w:rFonts w:hint="eastAsia" w:ascii="Times New Roman" w:hAnsi="Times New Roman" w:eastAsia="宋体"/>
          <w:b/>
          <w:bCs/>
          <w:sz w:val="24"/>
        </w:rPr>
        <w:t>理由：</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sz w:val="24"/>
          <w:lang w:val="en-US"/>
        </w:rPr>
      </w:pPr>
      <w:r>
        <w:rPr>
          <w:rFonts w:hint="eastAsia" w:ascii="华文楷体" w:hAnsi="华文楷体" w:eastAsia="华文楷体" w:cs="华文楷体"/>
          <w:sz w:val="21"/>
          <w:szCs w:val="21"/>
          <w:lang w:val="en-US" w:eastAsia="zh-CN"/>
        </w:rPr>
        <w:t>《法律适用法》第十四条 法人及其分支机构的民事权利能力、民事行为能力、组织机构、股东权利义务等事项，适用登记地法律。由于中国汇源果汁集团有限公司是在开曼群岛注册成立的有限责任公司，法人的民事行为能力适用登记地法律，因此为卡曼群岛法人。B项正确</w:t>
      </w: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p>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B9E0F3"/>
    <w:multiLevelType w:val="singleLevel"/>
    <w:tmpl w:val="30B9E0F3"/>
    <w:lvl w:ilvl="0" w:tentative="0">
      <w:start w:val="1"/>
      <w:numFmt w:val="bullet"/>
      <w:lvlText w:val=""/>
      <w:lvlJc w:val="left"/>
      <w:pPr>
        <w:ind w:left="420" w:hanging="420"/>
      </w:pPr>
      <w:rPr>
        <w:rFonts w:hint="default" w:ascii="Wingdings" w:hAnsi="Wingdings"/>
      </w:rPr>
    </w:lvl>
  </w:abstractNum>
  <w:abstractNum w:abstractNumId="1">
    <w:nsid w:val="447A5222"/>
    <w:multiLevelType w:val="multilevel"/>
    <w:tmpl w:val="447A52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M2NmNDEzYWQxZjc3YmUwZTc5ZGYwOGM2NGM1ZTcifQ=="/>
  </w:docVars>
  <w:rsids>
    <w:rsidRoot w:val="00467893"/>
    <w:rsid w:val="000052AC"/>
    <w:rsid w:val="00044F1F"/>
    <w:rsid w:val="00046C69"/>
    <w:rsid w:val="000D31EB"/>
    <w:rsid w:val="000E6856"/>
    <w:rsid w:val="00106274"/>
    <w:rsid w:val="00120A1A"/>
    <w:rsid w:val="001535B4"/>
    <w:rsid w:val="002550E3"/>
    <w:rsid w:val="002670BE"/>
    <w:rsid w:val="003456E7"/>
    <w:rsid w:val="003E2D90"/>
    <w:rsid w:val="003E3DBB"/>
    <w:rsid w:val="00415A11"/>
    <w:rsid w:val="00441BBF"/>
    <w:rsid w:val="0046616E"/>
    <w:rsid w:val="00467893"/>
    <w:rsid w:val="00473E3D"/>
    <w:rsid w:val="00594D07"/>
    <w:rsid w:val="005F5F5C"/>
    <w:rsid w:val="00601F37"/>
    <w:rsid w:val="00617E7A"/>
    <w:rsid w:val="006353AF"/>
    <w:rsid w:val="006D6CD6"/>
    <w:rsid w:val="00752901"/>
    <w:rsid w:val="00780E14"/>
    <w:rsid w:val="007B157A"/>
    <w:rsid w:val="007F27CB"/>
    <w:rsid w:val="008733CD"/>
    <w:rsid w:val="0093672B"/>
    <w:rsid w:val="009A1E5C"/>
    <w:rsid w:val="009C2B09"/>
    <w:rsid w:val="009F6A27"/>
    <w:rsid w:val="00A80029"/>
    <w:rsid w:val="00A91721"/>
    <w:rsid w:val="00AC5F9B"/>
    <w:rsid w:val="00AE6E8C"/>
    <w:rsid w:val="00B302C5"/>
    <w:rsid w:val="00B37AE9"/>
    <w:rsid w:val="00B77B49"/>
    <w:rsid w:val="00B82695"/>
    <w:rsid w:val="00B909FE"/>
    <w:rsid w:val="00B957D7"/>
    <w:rsid w:val="00BC6585"/>
    <w:rsid w:val="00C5728A"/>
    <w:rsid w:val="00CC2AAC"/>
    <w:rsid w:val="00CC3E73"/>
    <w:rsid w:val="00CF20B6"/>
    <w:rsid w:val="00D964D1"/>
    <w:rsid w:val="00DD2619"/>
    <w:rsid w:val="00E57466"/>
    <w:rsid w:val="00EF7078"/>
    <w:rsid w:val="024C7872"/>
    <w:rsid w:val="041A146A"/>
    <w:rsid w:val="050D2A9B"/>
    <w:rsid w:val="07C954AA"/>
    <w:rsid w:val="07D826C8"/>
    <w:rsid w:val="0C012C2E"/>
    <w:rsid w:val="0D0E115E"/>
    <w:rsid w:val="0DDA1988"/>
    <w:rsid w:val="10B860BA"/>
    <w:rsid w:val="110777DA"/>
    <w:rsid w:val="11A51171"/>
    <w:rsid w:val="12C74EBB"/>
    <w:rsid w:val="138424A8"/>
    <w:rsid w:val="1410305D"/>
    <w:rsid w:val="1ADC6D40"/>
    <w:rsid w:val="1CF53A0D"/>
    <w:rsid w:val="1FC001AB"/>
    <w:rsid w:val="21DE15EF"/>
    <w:rsid w:val="222F63D0"/>
    <w:rsid w:val="24867540"/>
    <w:rsid w:val="2637307C"/>
    <w:rsid w:val="274633CA"/>
    <w:rsid w:val="2A830F86"/>
    <w:rsid w:val="2B2067D5"/>
    <w:rsid w:val="2DEC7411"/>
    <w:rsid w:val="2F0A3A24"/>
    <w:rsid w:val="302F0941"/>
    <w:rsid w:val="3320203F"/>
    <w:rsid w:val="347110F4"/>
    <w:rsid w:val="34DE1D39"/>
    <w:rsid w:val="35350B70"/>
    <w:rsid w:val="35551771"/>
    <w:rsid w:val="385A0BC9"/>
    <w:rsid w:val="386D0B7F"/>
    <w:rsid w:val="3A693B9B"/>
    <w:rsid w:val="3B131EB2"/>
    <w:rsid w:val="3B304812"/>
    <w:rsid w:val="3B451940"/>
    <w:rsid w:val="3B5D4A95"/>
    <w:rsid w:val="3D82074A"/>
    <w:rsid w:val="3E5A212D"/>
    <w:rsid w:val="3ECD282B"/>
    <w:rsid w:val="401C5365"/>
    <w:rsid w:val="41A47890"/>
    <w:rsid w:val="42A4535B"/>
    <w:rsid w:val="45DF3691"/>
    <w:rsid w:val="45F259F6"/>
    <w:rsid w:val="479E22AA"/>
    <w:rsid w:val="501B6151"/>
    <w:rsid w:val="52E71802"/>
    <w:rsid w:val="52EF6909"/>
    <w:rsid w:val="550378A6"/>
    <w:rsid w:val="5806220D"/>
    <w:rsid w:val="5E702A95"/>
    <w:rsid w:val="5EF13A09"/>
    <w:rsid w:val="5FEA0B84"/>
    <w:rsid w:val="621912AD"/>
    <w:rsid w:val="65BA2DA7"/>
    <w:rsid w:val="689A2A1B"/>
    <w:rsid w:val="6985191D"/>
    <w:rsid w:val="6A876FCF"/>
    <w:rsid w:val="6A90136D"/>
    <w:rsid w:val="6ED63729"/>
    <w:rsid w:val="6F60051B"/>
    <w:rsid w:val="70E01F73"/>
    <w:rsid w:val="732C6D9B"/>
    <w:rsid w:val="73584DE1"/>
    <w:rsid w:val="76E060E7"/>
    <w:rsid w:val="76E431AD"/>
    <w:rsid w:val="770277DC"/>
    <w:rsid w:val="773724A9"/>
    <w:rsid w:val="78EE6B82"/>
    <w:rsid w:val="7B14665D"/>
    <w:rsid w:val="7B447AE5"/>
    <w:rsid w:val="7BD12909"/>
    <w:rsid w:val="7C556F2D"/>
    <w:rsid w:val="7C86479C"/>
    <w:rsid w:val="7E245913"/>
    <w:rsid w:val="7E90249F"/>
    <w:rsid w:val="7F043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character" w:customStyle="1" w:styleId="10">
    <w:name w:val="标题 1 字符"/>
    <w:basedOn w:val="7"/>
    <w:link w:val="2"/>
    <w:qFormat/>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character" w:customStyle="1" w:styleId="13">
    <w:name w:val="页眉 字符"/>
    <w:basedOn w:val="7"/>
    <w:link w:val="5"/>
    <w:qFormat/>
    <w:uiPriority w:val="99"/>
    <w:rPr>
      <w:sz w:val="18"/>
      <w:szCs w:val="18"/>
    </w:rPr>
  </w:style>
  <w:style w:type="character" w:customStyle="1" w:styleId="14">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4515</Words>
  <Characters>5011</Characters>
  <Lines>17</Lines>
  <Paragraphs>4</Paragraphs>
  <TotalTime>8</TotalTime>
  <ScaleCrop>false</ScaleCrop>
  <LinksUpToDate>false</LinksUpToDate>
  <CharactersWithSpaces>5214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2024-04-21T07:42:00Z</dcterms:created>
  <dc:creator>dell</dc:creator>
  <cp:lastModifiedBy>冉滓媒儆杖</cp:lastModifiedBy>
  <dcterms:modified xsi:type="dcterms:W3CDTF">2024-06-19T14:35:55Z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AED5D6A6B9BE49009C267A65327E5208_12</vt:lpwstr>
  </property>
</Properties>
</file>