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09247" w14:textId="0019D5F8" w:rsidR="00127CC7" w:rsidRPr="00127CC7" w:rsidRDefault="00127CC7" w:rsidP="00127CC7">
      <w:pPr>
        <w:rPr>
          <w:rFonts w:ascii="宋体" w:eastAsia="宋体" w:hAnsi="宋体"/>
          <w:sz w:val="24"/>
          <w:szCs w:val="24"/>
        </w:rPr>
      </w:pPr>
      <w:r w:rsidRPr="00127CC7">
        <w:rPr>
          <w:rFonts w:ascii="宋体" w:eastAsia="宋体" w:hAnsi="宋体" w:hint="eastAsia"/>
          <w:b/>
          <w:bCs/>
          <w:sz w:val="24"/>
          <w:szCs w:val="24"/>
        </w:rPr>
        <w:t>立法背景</w:t>
      </w:r>
    </w:p>
    <w:p w14:paraId="39A12D82" w14:textId="354ACB28" w:rsidR="00127CC7" w:rsidRPr="00127CC7" w:rsidRDefault="00127CC7" w:rsidP="00127CC7">
      <w:pPr>
        <w:ind w:firstLineChars="200" w:firstLine="480"/>
        <w:rPr>
          <w:rFonts w:ascii="宋体" w:eastAsia="宋体" w:hAnsi="宋体"/>
          <w:sz w:val="24"/>
          <w:szCs w:val="24"/>
        </w:rPr>
      </w:pPr>
      <w:r w:rsidRPr="00127CC7">
        <w:rPr>
          <w:rFonts w:ascii="宋体" w:eastAsia="宋体" w:hAnsi="宋体" w:hint="eastAsia"/>
          <w:sz w:val="24"/>
          <w:szCs w:val="24"/>
        </w:rPr>
        <w:t>随着智能化社会的迅速发展，全球范围内的国家纷纷加强对人工智能技术的研究与应用布局，人工智能技术已广泛应用于交通、教育、服务等多个领域，但随之而来的安全问题也愈发显著。</w:t>
      </w:r>
    </w:p>
    <w:p w14:paraId="204BBAB3" w14:textId="523BA170" w:rsidR="00BB092B" w:rsidRPr="00127CC7" w:rsidRDefault="00127CC7" w:rsidP="00127CC7">
      <w:pPr>
        <w:ind w:firstLineChars="200" w:firstLine="480"/>
        <w:rPr>
          <w:rFonts w:ascii="宋体" w:eastAsia="宋体" w:hAnsi="宋体"/>
          <w:sz w:val="24"/>
          <w:szCs w:val="24"/>
        </w:rPr>
      </w:pPr>
      <w:r w:rsidRPr="00127CC7">
        <w:rPr>
          <w:rFonts w:ascii="宋体" w:eastAsia="宋体" w:hAnsi="宋体" w:hint="eastAsia"/>
          <w:sz w:val="24"/>
          <w:szCs w:val="24"/>
        </w:rPr>
        <w:t>当前，人工智能面临着包括数据风险（数据投毒、泄露和异常）、算法风险、网络风险等多种挑战。此外，人工智能在处理复杂问题时可能带入种族和性别歧视的偏见。</w:t>
      </w:r>
    </w:p>
    <w:p w14:paraId="3C8DF8A0" w14:textId="77777777" w:rsidR="00127CC7" w:rsidRPr="00127CC7" w:rsidRDefault="00127CC7" w:rsidP="00127CC7">
      <w:pPr>
        <w:rPr>
          <w:rFonts w:ascii="楷体" w:eastAsia="楷体" w:hAnsi="楷体"/>
          <w:sz w:val="24"/>
          <w:szCs w:val="24"/>
        </w:rPr>
      </w:pPr>
      <w:r w:rsidRPr="00127CC7">
        <w:rPr>
          <w:rFonts w:ascii="楷体" w:eastAsia="楷体" w:hAnsi="楷体" w:hint="eastAsia"/>
          <w:sz w:val="24"/>
          <w:szCs w:val="24"/>
        </w:rPr>
        <w:t>例如，COMPAS 是一种在美国广泛使用的算法，通过预测罪犯再次犯罪的可能性来指导判刑，而这个算法或许是最臭名昭著的人工智能偏见。根据美国新闻机构 ProPublica 在 2016 年 5 月的报道，COMPAS 算法存在明显的「偏见」。根据分析， 该系统预测的黑人被告再次犯罪的风险要远远高于白人，甚至达到了后者的两倍。</w:t>
      </w:r>
    </w:p>
    <w:p w14:paraId="6474768E" w14:textId="5448BF52" w:rsidR="00127CC7" w:rsidRPr="00127CC7" w:rsidRDefault="00127CC7" w:rsidP="00127CC7">
      <w:pPr>
        <w:rPr>
          <w:rFonts w:ascii="宋体" w:eastAsia="宋体" w:hAnsi="宋体"/>
          <w:sz w:val="24"/>
          <w:szCs w:val="24"/>
        </w:rPr>
      </w:pPr>
    </w:p>
    <w:p w14:paraId="05E098FD" w14:textId="79DAD4E2" w:rsidR="00127CC7" w:rsidRPr="00127CC7" w:rsidRDefault="00127CC7" w:rsidP="00127CC7">
      <w:pPr>
        <w:ind w:firstLineChars="200" w:firstLine="480"/>
        <w:rPr>
          <w:rFonts w:ascii="宋体" w:eastAsia="宋体" w:hAnsi="宋体"/>
          <w:sz w:val="24"/>
          <w:szCs w:val="24"/>
        </w:rPr>
      </w:pPr>
      <w:r w:rsidRPr="00127CC7">
        <w:rPr>
          <w:rFonts w:ascii="宋体" w:eastAsia="宋体" w:hAnsi="宋体" w:hint="eastAsia"/>
          <w:sz w:val="24"/>
          <w:szCs w:val="24"/>
        </w:rPr>
        <w:t>强化人工智能的安全问题已成为国际间共同关注的重点。全球主要经济体纷纷推出针对人工智能发展的政策和立法措施，以确保这一领域的健康与安全发展。</w:t>
      </w:r>
    </w:p>
    <w:p w14:paraId="73ECBF1B" w14:textId="77777777" w:rsidR="00127CC7" w:rsidRPr="00127CC7" w:rsidRDefault="00127CC7" w:rsidP="00127CC7">
      <w:pPr>
        <w:pStyle w:val="a3"/>
        <w:numPr>
          <w:ilvl w:val="0"/>
          <w:numId w:val="4"/>
        </w:numPr>
        <w:ind w:firstLineChars="0"/>
        <w:rPr>
          <w:rFonts w:ascii="楷体" w:eastAsia="楷体" w:hAnsi="楷体"/>
          <w:sz w:val="24"/>
          <w:szCs w:val="24"/>
        </w:rPr>
      </w:pPr>
      <w:r w:rsidRPr="00127CC7">
        <w:rPr>
          <w:rFonts w:ascii="楷体" w:eastAsia="楷体" w:hAnsi="楷体"/>
          <w:sz w:val="24"/>
          <w:szCs w:val="24"/>
        </w:rPr>
        <w:t>2017年，中国国务院发布《新一代人工智能发展规划》，强调了建立健全的人工智能相关法律、伦理和社会问题的研究，提出建立一套完善的法律法规和伦理道德框架以及人工智能安全监管和评估体系的必要性，以保障人工智能技术的健康发展。</w:t>
      </w:r>
    </w:p>
    <w:p w14:paraId="5C6C578F" w14:textId="77777777" w:rsidR="00127CC7" w:rsidRPr="00127CC7" w:rsidRDefault="00127CC7" w:rsidP="00127CC7">
      <w:pPr>
        <w:pStyle w:val="a3"/>
        <w:numPr>
          <w:ilvl w:val="0"/>
          <w:numId w:val="4"/>
        </w:numPr>
        <w:ind w:firstLineChars="0"/>
        <w:rPr>
          <w:rFonts w:ascii="楷体" w:eastAsia="楷体" w:hAnsi="楷体"/>
          <w:sz w:val="24"/>
          <w:szCs w:val="24"/>
        </w:rPr>
      </w:pPr>
      <w:r w:rsidRPr="00127CC7">
        <w:rPr>
          <w:rFonts w:ascii="楷体" w:eastAsia="楷体" w:hAnsi="楷体" w:hint="eastAsia"/>
          <w:sz w:val="24"/>
          <w:szCs w:val="24"/>
        </w:rPr>
        <w:t>美国在</w:t>
      </w:r>
      <w:r w:rsidRPr="00127CC7">
        <w:rPr>
          <w:rFonts w:ascii="楷体" w:eastAsia="楷体" w:hAnsi="楷体"/>
          <w:sz w:val="24"/>
          <w:szCs w:val="24"/>
        </w:rPr>
        <w:t>2016年和2019年分别发布了《国家人工智能研发战略规划》及其更新版，其中将人工智能安全建设作为国家战略的重要方向之一。这些文件体现了美国在确保人工智能技术发展同时，对潜在风险的防控给予高度重视。</w:t>
      </w:r>
    </w:p>
    <w:p w14:paraId="50074576" w14:textId="2CC04FD1" w:rsidR="00127CC7" w:rsidRPr="0024567D" w:rsidRDefault="00127CC7" w:rsidP="00BF7075">
      <w:pPr>
        <w:pStyle w:val="a3"/>
        <w:numPr>
          <w:ilvl w:val="0"/>
          <w:numId w:val="4"/>
        </w:numPr>
        <w:ind w:firstLineChars="0"/>
        <w:rPr>
          <w:rFonts w:ascii="宋体" w:eastAsia="宋体" w:hAnsi="宋体"/>
          <w:sz w:val="24"/>
          <w:szCs w:val="24"/>
        </w:rPr>
      </w:pPr>
      <w:r w:rsidRPr="0024567D">
        <w:rPr>
          <w:rFonts w:ascii="楷体" w:eastAsia="楷体" w:hAnsi="楷体" w:hint="eastAsia"/>
          <w:sz w:val="24"/>
          <w:szCs w:val="24"/>
        </w:rPr>
        <w:t>欧洲联盟在</w:t>
      </w:r>
      <w:r w:rsidRPr="0024567D">
        <w:rPr>
          <w:rFonts w:ascii="楷体" w:eastAsia="楷体" w:hAnsi="楷体"/>
          <w:sz w:val="24"/>
          <w:szCs w:val="24"/>
        </w:rPr>
        <w:t>2021年迈出了更为具体的步骤，发布了《人工智能法案》（Artificial Intelligence Act）</w:t>
      </w:r>
      <w:r w:rsidR="0024567D">
        <w:rPr>
          <w:rFonts w:ascii="楷体" w:eastAsia="楷体" w:hAnsi="楷体" w:hint="eastAsia"/>
          <w:sz w:val="24"/>
          <w:szCs w:val="24"/>
        </w:rPr>
        <w:t>。</w:t>
      </w:r>
    </w:p>
    <w:p w14:paraId="68C2C8F5" w14:textId="77777777" w:rsidR="0024567D" w:rsidRPr="0024567D" w:rsidRDefault="0024567D" w:rsidP="0024567D">
      <w:pPr>
        <w:pStyle w:val="a3"/>
        <w:ind w:left="420" w:firstLineChars="0" w:firstLine="0"/>
        <w:rPr>
          <w:rFonts w:ascii="宋体" w:eastAsia="宋体" w:hAnsi="宋体" w:hint="eastAsia"/>
          <w:sz w:val="24"/>
          <w:szCs w:val="24"/>
        </w:rPr>
      </w:pPr>
    </w:p>
    <w:p w14:paraId="741202B4" w14:textId="77777777" w:rsidR="00127CC7" w:rsidRPr="00127CC7" w:rsidRDefault="00127CC7" w:rsidP="0024567D">
      <w:pPr>
        <w:ind w:firstLineChars="200" w:firstLine="480"/>
        <w:rPr>
          <w:rFonts w:ascii="宋体" w:eastAsia="宋体" w:hAnsi="宋体"/>
          <w:sz w:val="24"/>
          <w:szCs w:val="24"/>
        </w:rPr>
      </w:pPr>
      <w:r w:rsidRPr="00127CC7">
        <w:rPr>
          <w:rFonts w:ascii="宋体" w:eastAsia="宋体" w:hAnsi="宋体" w:hint="eastAsia"/>
          <w:sz w:val="24"/>
          <w:szCs w:val="24"/>
        </w:rPr>
        <w:t>欧盟意识到单一国家的法规措施可能无法充分应对当下人工智能技术带来的挑战，因为</w:t>
      </w:r>
      <w:r w:rsidRPr="00127CC7">
        <w:rPr>
          <w:rFonts w:ascii="宋体" w:eastAsia="宋体" w:hAnsi="宋体"/>
          <w:sz w:val="24"/>
          <w:szCs w:val="24"/>
        </w:rPr>
        <w:t>AI的跨界性质和内部市场中产品与服务的自由流通特点使得单一国家的法规可能导致市场碎片化，增加法律不确定性，阻碍技术的均衡发展。</w:t>
      </w:r>
    </w:p>
    <w:p w14:paraId="2F3A6237" w14:textId="756ECF03" w:rsidR="00127CC7" w:rsidRPr="00127CC7" w:rsidRDefault="00127CC7" w:rsidP="00127CC7">
      <w:pPr>
        <w:pBdr>
          <w:bottom w:val="single" w:sz="6" w:space="1" w:color="auto"/>
        </w:pBdr>
        <w:rPr>
          <w:rFonts w:ascii="宋体" w:eastAsia="宋体" w:hAnsi="宋体"/>
          <w:sz w:val="24"/>
          <w:szCs w:val="24"/>
        </w:rPr>
      </w:pPr>
      <w:r w:rsidRPr="00127CC7">
        <w:rPr>
          <w:rFonts w:ascii="宋体" w:eastAsia="宋体" w:hAnsi="宋体" w:hint="eastAsia"/>
          <w:sz w:val="24"/>
          <w:szCs w:val="24"/>
        </w:rPr>
        <w:t>各成员国法规的差异可能会造成</w:t>
      </w:r>
      <w:r w:rsidRPr="00127CC7">
        <w:rPr>
          <w:rFonts w:ascii="宋体" w:eastAsia="宋体" w:hAnsi="宋体"/>
          <w:sz w:val="24"/>
          <w:szCs w:val="24"/>
        </w:rPr>
        <w:t>AI系统的使用、责任、监管等方面的不一致，给AI提供商和使用者带来合</w:t>
      </w:r>
      <w:proofErr w:type="gramStart"/>
      <w:r w:rsidRPr="00127CC7">
        <w:rPr>
          <w:rFonts w:ascii="宋体" w:eastAsia="宋体" w:hAnsi="宋体"/>
          <w:sz w:val="24"/>
          <w:szCs w:val="24"/>
        </w:rPr>
        <w:t>规</w:t>
      </w:r>
      <w:proofErr w:type="gramEnd"/>
      <w:r w:rsidRPr="00127CC7">
        <w:rPr>
          <w:rFonts w:ascii="宋体" w:eastAsia="宋体" w:hAnsi="宋体"/>
          <w:sz w:val="24"/>
          <w:szCs w:val="24"/>
        </w:rPr>
        <w:t>成本和法律风险。</w:t>
      </w:r>
    </w:p>
    <w:p w14:paraId="68DF4701" w14:textId="77777777" w:rsidR="00127CC7" w:rsidRPr="00127CC7" w:rsidRDefault="00127CC7" w:rsidP="00127CC7">
      <w:pPr>
        <w:rPr>
          <w:rFonts w:ascii="宋体" w:eastAsia="宋体" w:hAnsi="宋体"/>
          <w:sz w:val="24"/>
          <w:szCs w:val="24"/>
        </w:rPr>
      </w:pPr>
      <w:r w:rsidRPr="00127CC7">
        <w:rPr>
          <w:rFonts w:ascii="宋体" w:eastAsia="宋体" w:hAnsi="宋体" w:hint="eastAsia"/>
          <w:b/>
          <w:bCs/>
          <w:sz w:val="24"/>
          <w:szCs w:val="24"/>
        </w:rPr>
        <w:t>立法目的</w:t>
      </w:r>
    </w:p>
    <w:p w14:paraId="4AF7A428" w14:textId="77777777" w:rsidR="00127CC7" w:rsidRPr="00127CC7" w:rsidRDefault="00127CC7" w:rsidP="00127CC7">
      <w:pPr>
        <w:numPr>
          <w:ilvl w:val="0"/>
          <w:numId w:val="2"/>
        </w:numPr>
        <w:rPr>
          <w:rFonts w:ascii="宋体" w:eastAsia="宋体" w:hAnsi="宋体"/>
          <w:sz w:val="24"/>
          <w:szCs w:val="24"/>
        </w:rPr>
      </w:pPr>
      <w:r w:rsidRPr="00127CC7">
        <w:rPr>
          <w:rFonts w:ascii="宋体" w:eastAsia="宋体" w:hAnsi="宋体" w:hint="eastAsia"/>
          <w:b/>
          <w:bCs/>
          <w:sz w:val="24"/>
          <w:szCs w:val="24"/>
        </w:rPr>
        <w:t>建立统一的法律框架</w:t>
      </w:r>
      <w:r w:rsidRPr="00127CC7">
        <w:rPr>
          <w:rFonts w:ascii="宋体" w:eastAsia="宋体" w:hAnsi="宋体"/>
          <w:sz w:val="24"/>
          <w:szCs w:val="24"/>
        </w:rPr>
        <w:t xml:space="preserve">: </w:t>
      </w:r>
      <w:r w:rsidRPr="00127CC7">
        <w:rPr>
          <w:rFonts w:ascii="宋体" w:eastAsia="宋体" w:hAnsi="宋体" w:hint="eastAsia"/>
          <w:sz w:val="24"/>
          <w:szCs w:val="24"/>
        </w:rPr>
        <w:t>通过建立一个统一的法律框架，解决欧盟成员国间在人工智能领域法规的分散性和法律不确定性问题。这一框架的建立旨在促进人工智能技术在整个欧盟范围内的健康发展，确保内部市场的正常运作，并确保人工智能系统相关产品和服务在整个欧盟内的无缝流通。</w:t>
      </w:r>
    </w:p>
    <w:p w14:paraId="19616A93" w14:textId="77777777" w:rsidR="00127CC7" w:rsidRPr="00127CC7" w:rsidRDefault="00127CC7" w:rsidP="00127CC7">
      <w:pPr>
        <w:numPr>
          <w:ilvl w:val="0"/>
          <w:numId w:val="2"/>
        </w:numPr>
        <w:rPr>
          <w:rFonts w:ascii="宋体" w:eastAsia="宋体" w:hAnsi="宋体"/>
          <w:sz w:val="24"/>
          <w:szCs w:val="24"/>
        </w:rPr>
      </w:pPr>
      <w:r w:rsidRPr="00127CC7">
        <w:rPr>
          <w:rFonts w:ascii="宋体" w:eastAsia="宋体" w:hAnsi="宋体" w:hint="eastAsia"/>
          <w:b/>
          <w:bCs/>
          <w:sz w:val="24"/>
          <w:szCs w:val="24"/>
        </w:rPr>
        <w:t>保护成员国间的基本权利</w:t>
      </w:r>
      <w:r w:rsidRPr="00127CC7">
        <w:rPr>
          <w:rFonts w:ascii="宋体" w:eastAsia="宋体" w:hAnsi="宋体"/>
          <w:sz w:val="24"/>
          <w:szCs w:val="24"/>
        </w:rPr>
        <w:t xml:space="preserve">: </w:t>
      </w:r>
      <w:r w:rsidRPr="00127CC7">
        <w:rPr>
          <w:rFonts w:ascii="宋体" w:eastAsia="宋体" w:hAnsi="宋体" w:hint="eastAsia"/>
          <w:sz w:val="24"/>
          <w:szCs w:val="24"/>
        </w:rPr>
        <w:t>该法律框架保证了在欧盟各成员国之间基本权利的一致尊重和保护。这包括个人数据保护、消费者权利和隐私权等核心价值。</w:t>
      </w:r>
    </w:p>
    <w:p w14:paraId="49424D4A" w14:textId="77777777" w:rsidR="00127CC7" w:rsidRPr="00127CC7" w:rsidRDefault="00127CC7" w:rsidP="00127CC7">
      <w:pPr>
        <w:numPr>
          <w:ilvl w:val="0"/>
          <w:numId w:val="2"/>
        </w:numPr>
        <w:rPr>
          <w:rFonts w:ascii="宋体" w:eastAsia="宋体" w:hAnsi="宋体"/>
          <w:sz w:val="24"/>
          <w:szCs w:val="24"/>
        </w:rPr>
      </w:pPr>
      <w:r w:rsidRPr="00127CC7">
        <w:rPr>
          <w:rFonts w:ascii="宋体" w:eastAsia="宋体" w:hAnsi="宋体" w:hint="eastAsia"/>
          <w:b/>
          <w:bCs/>
          <w:sz w:val="24"/>
          <w:szCs w:val="24"/>
        </w:rPr>
        <w:t>促进</w:t>
      </w:r>
      <w:r w:rsidRPr="00127CC7">
        <w:rPr>
          <w:rFonts w:ascii="宋体" w:eastAsia="宋体" w:hAnsi="宋体"/>
          <w:b/>
          <w:bCs/>
          <w:sz w:val="24"/>
          <w:szCs w:val="24"/>
        </w:rPr>
        <w:t>AI</w:t>
      </w:r>
      <w:r w:rsidRPr="00127CC7">
        <w:rPr>
          <w:rFonts w:ascii="宋体" w:eastAsia="宋体" w:hAnsi="宋体" w:hint="eastAsia"/>
          <w:b/>
          <w:bCs/>
          <w:sz w:val="24"/>
          <w:szCs w:val="24"/>
        </w:rPr>
        <w:t>技术的接受度</w:t>
      </w:r>
      <w:r w:rsidRPr="00127CC7">
        <w:rPr>
          <w:rFonts w:ascii="宋体" w:eastAsia="宋体" w:hAnsi="宋体"/>
          <w:sz w:val="24"/>
          <w:szCs w:val="24"/>
        </w:rPr>
        <w:t xml:space="preserve">: </w:t>
      </w:r>
      <w:r w:rsidRPr="00127CC7">
        <w:rPr>
          <w:rFonts w:ascii="宋体" w:eastAsia="宋体" w:hAnsi="宋体" w:hint="eastAsia"/>
          <w:sz w:val="24"/>
          <w:szCs w:val="24"/>
        </w:rPr>
        <w:t>统一规则的确立使人们和其他用户对基于人工智能的解决方案有更多的信心。这种信任是推动人工智能解决方案广泛接受和应用的关键因素。</w:t>
      </w:r>
    </w:p>
    <w:p w14:paraId="0F9BD917" w14:textId="77777777" w:rsidR="00127CC7" w:rsidRPr="00127CC7" w:rsidRDefault="00127CC7" w:rsidP="00127CC7">
      <w:pPr>
        <w:numPr>
          <w:ilvl w:val="0"/>
          <w:numId w:val="2"/>
        </w:numPr>
        <w:rPr>
          <w:rFonts w:ascii="宋体" w:eastAsia="宋体" w:hAnsi="宋体"/>
          <w:sz w:val="24"/>
          <w:szCs w:val="24"/>
        </w:rPr>
      </w:pPr>
      <w:r w:rsidRPr="00127CC7">
        <w:rPr>
          <w:rFonts w:ascii="宋体" w:eastAsia="宋体" w:hAnsi="宋体" w:hint="eastAsia"/>
          <w:b/>
          <w:bCs/>
          <w:sz w:val="24"/>
          <w:szCs w:val="24"/>
        </w:rPr>
        <w:t>激励企业创新与开发</w:t>
      </w:r>
      <w:r w:rsidRPr="00127CC7">
        <w:rPr>
          <w:rFonts w:ascii="宋体" w:eastAsia="宋体" w:hAnsi="宋体"/>
          <w:sz w:val="24"/>
          <w:szCs w:val="24"/>
        </w:rPr>
        <w:t xml:space="preserve">: </w:t>
      </w:r>
      <w:r w:rsidRPr="00127CC7">
        <w:rPr>
          <w:rFonts w:ascii="宋体" w:eastAsia="宋体" w:hAnsi="宋体" w:hint="eastAsia"/>
          <w:sz w:val="24"/>
          <w:szCs w:val="24"/>
        </w:rPr>
        <w:t>统一的法律环境为企业提供了一个更稳定和</w:t>
      </w:r>
      <w:proofErr w:type="gramStart"/>
      <w:r w:rsidRPr="00127CC7">
        <w:rPr>
          <w:rFonts w:ascii="宋体" w:eastAsia="宋体" w:hAnsi="宋体" w:hint="eastAsia"/>
          <w:sz w:val="24"/>
          <w:szCs w:val="24"/>
        </w:rPr>
        <w:t>可</w:t>
      </w:r>
      <w:proofErr w:type="gramEnd"/>
      <w:r w:rsidRPr="00127CC7">
        <w:rPr>
          <w:rFonts w:ascii="宋体" w:eastAsia="宋体" w:hAnsi="宋体" w:hint="eastAsia"/>
          <w:sz w:val="24"/>
          <w:szCs w:val="24"/>
        </w:rPr>
        <w:t>预见的法律环境，从而鼓励企业投入资源进行人工智能技术的研发和创新。这不仅有助于技术进步，也促进了新技术的商业化。</w:t>
      </w:r>
    </w:p>
    <w:p w14:paraId="050BC598" w14:textId="41436787" w:rsidR="0024567D" w:rsidRDefault="00127CC7" w:rsidP="00127CC7">
      <w:pPr>
        <w:numPr>
          <w:ilvl w:val="0"/>
          <w:numId w:val="2"/>
        </w:numPr>
        <w:pBdr>
          <w:bottom w:val="single" w:sz="6" w:space="1" w:color="auto"/>
        </w:pBdr>
        <w:rPr>
          <w:rFonts w:ascii="宋体" w:eastAsia="宋体" w:hAnsi="宋体"/>
          <w:sz w:val="24"/>
          <w:szCs w:val="24"/>
        </w:rPr>
      </w:pPr>
      <w:r w:rsidRPr="00127CC7">
        <w:rPr>
          <w:rFonts w:ascii="宋体" w:eastAsia="宋体" w:hAnsi="宋体" w:hint="eastAsia"/>
          <w:b/>
          <w:bCs/>
          <w:sz w:val="24"/>
          <w:szCs w:val="24"/>
        </w:rPr>
        <w:lastRenderedPageBreak/>
        <w:t>增强内部市场的效率与竞争力</w:t>
      </w:r>
      <w:r w:rsidRPr="00127CC7">
        <w:rPr>
          <w:rFonts w:ascii="宋体" w:eastAsia="宋体" w:hAnsi="宋体"/>
          <w:sz w:val="24"/>
          <w:szCs w:val="24"/>
        </w:rPr>
        <w:t xml:space="preserve">: </w:t>
      </w:r>
      <w:r w:rsidRPr="00127CC7">
        <w:rPr>
          <w:rFonts w:ascii="宋体" w:eastAsia="宋体" w:hAnsi="宋体" w:hint="eastAsia"/>
          <w:sz w:val="24"/>
          <w:szCs w:val="24"/>
        </w:rPr>
        <w:t>通过消除内部市场中的法律壁垒，统一法律框架有助于提高市场效率，增强欧盟内部市场的全球竞争力。这样的市场环境有利于吸引更多的投资，推动经济增长。</w:t>
      </w:r>
    </w:p>
    <w:p w14:paraId="03F3B2BE" w14:textId="77777777" w:rsidR="00127CC7" w:rsidRPr="00127CC7" w:rsidRDefault="00127CC7" w:rsidP="00127CC7">
      <w:pPr>
        <w:rPr>
          <w:rFonts w:ascii="宋体" w:eastAsia="宋体" w:hAnsi="宋体"/>
          <w:sz w:val="24"/>
          <w:szCs w:val="24"/>
        </w:rPr>
      </w:pPr>
      <w:r w:rsidRPr="00127CC7">
        <w:rPr>
          <w:rFonts w:ascii="宋体" w:eastAsia="宋体" w:hAnsi="宋体" w:hint="eastAsia"/>
          <w:b/>
          <w:bCs/>
          <w:sz w:val="24"/>
          <w:szCs w:val="24"/>
        </w:rPr>
        <w:t>监管框架</w:t>
      </w:r>
    </w:p>
    <w:p w14:paraId="6057FA3D" w14:textId="77777777" w:rsidR="00127CC7" w:rsidRPr="00127CC7" w:rsidRDefault="00127CC7" w:rsidP="00127CC7">
      <w:pPr>
        <w:numPr>
          <w:ilvl w:val="0"/>
          <w:numId w:val="3"/>
        </w:numPr>
        <w:rPr>
          <w:rFonts w:ascii="宋体" w:eastAsia="宋体" w:hAnsi="宋体"/>
          <w:sz w:val="24"/>
          <w:szCs w:val="24"/>
        </w:rPr>
      </w:pPr>
      <w:r w:rsidRPr="00127CC7">
        <w:rPr>
          <w:rFonts w:ascii="宋体" w:eastAsia="宋体" w:hAnsi="宋体" w:hint="eastAsia"/>
          <w:sz w:val="24"/>
          <w:szCs w:val="24"/>
        </w:rPr>
        <w:t>在AI监管主要存在“横向”监管与“纵向”监管两种主要方式：</w:t>
      </w:r>
    </w:p>
    <w:p w14:paraId="2A27D073" w14:textId="77777777" w:rsidR="00127CC7" w:rsidRPr="00127CC7" w:rsidRDefault="00127CC7" w:rsidP="00127CC7">
      <w:pPr>
        <w:numPr>
          <w:ilvl w:val="1"/>
          <w:numId w:val="3"/>
        </w:numPr>
        <w:rPr>
          <w:rFonts w:ascii="宋体" w:eastAsia="宋体" w:hAnsi="宋体"/>
          <w:sz w:val="24"/>
          <w:szCs w:val="24"/>
        </w:rPr>
      </w:pPr>
      <w:r w:rsidRPr="00127CC7">
        <w:rPr>
          <w:rFonts w:ascii="宋体" w:eastAsia="宋体" w:hAnsi="宋体" w:hint="eastAsia"/>
          <w:sz w:val="24"/>
          <w:szCs w:val="24"/>
        </w:rPr>
        <w:t>在横向监管方式中，监管机构将创建</w:t>
      </w:r>
      <w:r w:rsidRPr="00127CC7">
        <w:rPr>
          <w:rFonts w:ascii="宋体" w:eastAsia="宋体" w:hAnsi="宋体" w:hint="eastAsia"/>
          <w:b/>
          <w:bCs/>
          <w:sz w:val="24"/>
          <w:szCs w:val="24"/>
        </w:rPr>
        <w:t>全面的法规</w:t>
      </w:r>
      <w:r w:rsidRPr="00127CC7">
        <w:rPr>
          <w:rFonts w:ascii="宋体" w:eastAsia="宋体" w:hAnsi="宋体" w:hint="eastAsia"/>
          <w:sz w:val="24"/>
          <w:szCs w:val="24"/>
        </w:rPr>
        <w:t>，以尽可能涵盖AI可能产生的各方面影响；</w:t>
      </w:r>
    </w:p>
    <w:p w14:paraId="5474A0E5" w14:textId="77777777" w:rsidR="00127CC7" w:rsidRPr="00127CC7" w:rsidRDefault="00127CC7" w:rsidP="00127CC7">
      <w:pPr>
        <w:numPr>
          <w:ilvl w:val="1"/>
          <w:numId w:val="3"/>
        </w:numPr>
        <w:rPr>
          <w:rFonts w:ascii="宋体" w:eastAsia="宋体" w:hAnsi="宋体"/>
          <w:sz w:val="24"/>
          <w:szCs w:val="24"/>
        </w:rPr>
      </w:pPr>
      <w:r w:rsidRPr="00127CC7">
        <w:rPr>
          <w:rFonts w:ascii="宋体" w:eastAsia="宋体" w:hAnsi="宋体" w:hint="eastAsia"/>
          <w:sz w:val="24"/>
          <w:szCs w:val="24"/>
        </w:rPr>
        <w:t>在纵向监管方式中，政策制定者采取</w:t>
      </w:r>
      <w:r w:rsidRPr="00127CC7">
        <w:rPr>
          <w:rFonts w:ascii="宋体" w:eastAsia="宋体" w:hAnsi="宋体" w:hint="eastAsia"/>
          <w:b/>
          <w:bCs/>
          <w:sz w:val="24"/>
          <w:szCs w:val="24"/>
        </w:rPr>
        <w:t>“定制”</w:t>
      </w:r>
      <w:r w:rsidRPr="00127CC7">
        <w:rPr>
          <w:rFonts w:ascii="宋体" w:eastAsia="宋体" w:hAnsi="宋体" w:hint="eastAsia"/>
          <w:sz w:val="24"/>
          <w:szCs w:val="24"/>
        </w:rPr>
        <w:t>的方法，针对不同应用或类型的 AI 制定不同的法规。</w:t>
      </w:r>
    </w:p>
    <w:p w14:paraId="194D5838" w14:textId="77777777" w:rsidR="00127CC7" w:rsidRPr="00127CC7" w:rsidRDefault="00127CC7" w:rsidP="00127CC7">
      <w:pPr>
        <w:numPr>
          <w:ilvl w:val="0"/>
          <w:numId w:val="3"/>
        </w:numPr>
        <w:rPr>
          <w:rFonts w:ascii="宋体" w:eastAsia="宋体" w:hAnsi="宋体"/>
          <w:sz w:val="24"/>
          <w:szCs w:val="24"/>
        </w:rPr>
      </w:pPr>
      <w:r w:rsidRPr="00127CC7">
        <w:rPr>
          <w:rFonts w:ascii="宋体" w:eastAsia="宋体" w:hAnsi="宋体" w:hint="eastAsia"/>
          <w:sz w:val="24"/>
          <w:szCs w:val="24"/>
        </w:rPr>
        <w:t>《人工智能法》采用横向监管模式。该法案以风险分级的方式将所有 AI 系统纳入监管范围，并允许监管机构随着 AI 的发展不断将新的应用领域纳入现有的风险类别，而没有针对特定AI应用领域制定具体的法律规范。</w:t>
      </w:r>
    </w:p>
    <w:p w14:paraId="473E2CD1" w14:textId="77777777" w:rsidR="00127CC7" w:rsidRPr="00127CC7" w:rsidRDefault="00127CC7" w:rsidP="00127CC7">
      <w:pPr>
        <w:numPr>
          <w:ilvl w:val="0"/>
          <w:numId w:val="3"/>
        </w:numPr>
        <w:rPr>
          <w:rFonts w:ascii="宋体" w:eastAsia="宋体" w:hAnsi="宋体"/>
          <w:sz w:val="24"/>
          <w:szCs w:val="24"/>
        </w:rPr>
      </w:pPr>
      <w:r w:rsidRPr="00127CC7">
        <w:rPr>
          <w:rFonts w:ascii="宋体" w:eastAsia="宋体" w:hAnsi="宋体" w:hint="eastAsia"/>
          <w:sz w:val="24"/>
          <w:szCs w:val="24"/>
        </w:rPr>
        <w:t>风险分级方式使法案整体处于相对灵活的状态，既能够保持横向监管方式具有的统一性和协调性，同时也弥补了监管方式下对具体 AI 应用场景针对性不高的问题。</w:t>
      </w:r>
    </w:p>
    <w:p w14:paraId="540E92CE" w14:textId="3A033C1C" w:rsidR="00127CC7" w:rsidRDefault="00127CC7" w:rsidP="00127CC7">
      <w:pPr>
        <w:rPr>
          <w:rFonts w:ascii="宋体" w:eastAsia="宋体" w:hAnsi="宋体"/>
          <w:sz w:val="24"/>
          <w:szCs w:val="24"/>
        </w:rPr>
      </w:pPr>
    </w:p>
    <w:p w14:paraId="2925CA4D" w14:textId="0F93CF7B" w:rsidR="0024567D" w:rsidRDefault="0024567D" w:rsidP="0024567D">
      <w:pPr>
        <w:rPr>
          <w:rFonts w:ascii="宋体" w:eastAsia="宋体" w:hAnsi="宋体"/>
          <w:sz w:val="24"/>
          <w:szCs w:val="24"/>
        </w:rPr>
      </w:pPr>
      <w:r w:rsidRPr="0024567D">
        <w:rPr>
          <w:rFonts w:ascii="宋体" w:eastAsia="宋体" w:hAnsi="宋体" w:hint="eastAsia"/>
          <w:sz w:val="24"/>
          <w:szCs w:val="24"/>
        </w:rPr>
        <w:t>对于多</w:t>
      </w:r>
      <w:r w:rsidRPr="0024567D">
        <w:rPr>
          <w:rFonts w:ascii="宋体" w:eastAsia="宋体" w:hAnsi="宋体"/>
          <w:sz w:val="24"/>
          <w:szCs w:val="24"/>
        </w:rPr>
        <w:t>AI耦合系统，</w:t>
      </w:r>
      <w:proofErr w:type="gramStart"/>
      <w:r w:rsidRPr="0024567D">
        <w:rPr>
          <w:rFonts w:ascii="宋体" w:eastAsia="宋体" w:hAnsi="宋体"/>
          <w:sz w:val="24"/>
          <w:szCs w:val="24"/>
        </w:rPr>
        <w:t>当较高</w:t>
      </w:r>
      <w:proofErr w:type="gramEnd"/>
      <w:r w:rsidRPr="0024567D">
        <w:rPr>
          <w:rFonts w:ascii="宋体" w:eastAsia="宋体" w:hAnsi="宋体"/>
          <w:sz w:val="24"/>
          <w:szCs w:val="24"/>
        </w:rPr>
        <w:t>风险与较低风险的AI系统同时存在时，采用“就高不就低”的原则，对风险进行较严的监管规制。</w:t>
      </w:r>
    </w:p>
    <w:p w14:paraId="348B5490" w14:textId="6037D899" w:rsidR="0024567D" w:rsidRDefault="0024567D" w:rsidP="0024567D">
      <w:pPr>
        <w:rPr>
          <w:rFonts w:ascii="宋体" w:eastAsia="宋体" w:hAnsi="宋体"/>
          <w:sz w:val="24"/>
          <w:szCs w:val="24"/>
        </w:rPr>
      </w:pPr>
    </w:p>
    <w:p w14:paraId="356C909C" w14:textId="77777777" w:rsidR="0024567D" w:rsidRPr="0024567D" w:rsidRDefault="0024567D" w:rsidP="0024567D">
      <w:pPr>
        <w:rPr>
          <w:rFonts w:ascii="宋体" w:eastAsia="宋体" w:hAnsi="宋体"/>
          <w:color w:val="C00000"/>
          <w:sz w:val="24"/>
          <w:szCs w:val="24"/>
        </w:rPr>
      </w:pPr>
      <w:r w:rsidRPr="0024567D">
        <w:rPr>
          <w:rFonts w:ascii="宋体" w:eastAsia="宋体" w:hAnsi="宋体" w:hint="eastAsia"/>
          <w:color w:val="C00000"/>
          <w:sz w:val="24"/>
          <w:szCs w:val="24"/>
        </w:rPr>
        <w:t>不同风险级别的</w:t>
      </w:r>
      <w:r w:rsidRPr="0024567D">
        <w:rPr>
          <w:rFonts w:ascii="宋体" w:eastAsia="宋体" w:hAnsi="宋体"/>
          <w:color w:val="C00000"/>
          <w:sz w:val="24"/>
          <w:szCs w:val="24"/>
        </w:rPr>
        <w:t>AI</w:t>
      </w:r>
      <w:r w:rsidRPr="0024567D">
        <w:rPr>
          <w:rFonts w:ascii="宋体" w:eastAsia="宋体" w:hAnsi="宋体" w:hint="eastAsia"/>
          <w:color w:val="C00000"/>
          <w:sz w:val="24"/>
          <w:szCs w:val="24"/>
        </w:rPr>
        <w:t>系统对应不同的监管措施，高风险意味着更严格的监管。这种灵活的分类方法覆盖了所有</w:t>
      </w:r>
      <w:r w:rsidRPr="0024567D">
        <w:rPr>
          <w:rFonts w:ascii="宋体" w:eastAsia="宋体" w:hAnsi="宋体"/>
          <w:color w:val="C00000"/>
          <w:sz w:val="24"/>
          <w:szCs w:val="24"/>
        </w:rPr>
        <w:t>AI</w:t>
      </w:r>
      <w:r w:rsidRPr="0024567D">
        <w:rPr>
          <w:rFonts w:ascii="宋体" w:eastAsia="宋体" w:hAnsi="宋体" w:hint="eastAsia"/>
          <w:color w:val="C00000"/>
          <w:sz w:val="24"/>
          <w:szCs w:val="24"/>
        </w:rPr>
        <w:t>系统，并随技术发展持续更新。该方法针对不同应用场景设定了具体监管措施，避免了规制</w:t>
      </w:r>
      <w:proofErr w:type="gramStart"/>
      <w:r w:rsidRPr="0024567D">
        <w:rPr>
          <w:rFonts w:ascii="宋体" w:eastAsia="宋体" w:hAnsi="宋体" w:hint="eastAsia"/>
          <w:color w:val="C00000"/>
          <w:sz w:val="24"/>
          <w:szCs w:val="24"/>
        </w:rPr>
        <w:t>失焦并为</w:t>
      </w:r>
      <w:proofErr w:type="gramEnd"/>
      <w:r w:rsidRPr="0024567D">
        <w:rPr>
          <w:rFonts w:ascii="宋体" w:eastAsia="宋体" w:hAnsi="宋体" w:hint="eastAsia"/>
          <w:color w:val="C00000"/>
          <w:sz w:val="24"/>
          <w:szCs w:val="24"/>
        </w:rPr>
        <w:t>复杂场景提供了清晰的监管框架。</w:t>
      </w:r>
    </w:p>
    <w:p w14:paraId="0CCC0D71" w14:textId="70724919" w:rsidR="0024567D" w:rsidRDefault="0024567D" w:rsidP="0024567D">
      <w:pPr>
        <w:rPr>
          <w:rFonts w:ascii="宋体" w:eastAsia="宋体" w:hAnsi="宋体"/>
          <w:sz w:val="24"/>
          <w:szCs w:val="24"/>
        </w:rPr>
      </w:pPr>
    </w:p>
    <w:p w14:paraId="41A8D59D" w14:textId="77777777" w:rsidR="0024567D" w:rsidRPr="0024567D" w:rsidRDefault="0024567D" w:rsidP="00E30312">
      <w:pPr>
        <w:rPr>
          <w:rFonts w:ascii="宋体" w:eastAsia="宋体" w:hAnsi="宋体"/>
          <w:sz w:val="24"/>
          <w:szCs w:val="24"/>
        </w:rPr>
      </w:pPr>
      <w:r w:rsidRPr="0024567D">
        <w:rPr>
          <w:rFonts w:ascii="宋体" w:eastAsia="宋体" w:hAnsi="宋体" w:hint="eastAsia"/>
          <w:sz w:val="24"/>
          <w:szCs w:val="24"/>
        </w:rPr>
        <w:t>法案对知识产权的保护也给予了充分重视：</w:t>
      </w:r>
    </w:p>
    <w:p w14:paraId="0517C999" w14:textId="77777777" w:rsidR="0024567D" w:rsidRPr="0024567D" w:rsidRDefault="0024567D" w:rsidP="00E30312">
      <w:pPr>
        <w:rPr>
          <w:rFonts w:ascii="楷体" w:eastAsia="楷体" w:hAnsi="楷体"/>
          <w:sz w:val="24"/>
          <w:szCs w:val="24"/>
        </w:rPr>
      </w:pPr>
      <w:r w:rsidRPr="0024567D">
        <w:rPr>
          <w:rFonts w:ascii="楷体" w:eastAsia="楷体" w:hAnsi="楷体" w:hint="eastAsia"/>
          <w:sz w:val="24"/>
          <w:szCs w:val="24"/>
        </w:rPr>
        <w:t>第79条：国家监督机构应将其获取的任何信息，包括源代码、软件和数据（如适用）作为机密信息处理，并遵守欧盟关于保护知识产权和商业秘密的相关法律。</w:t>
      </w:r>
    </w:p>
    <w:p w14:paraId="7C9D92B9" w14:textId="77777777" w:rsidR="0024567D" w:rsidRPr="0024567D" w:rsidRDefault="0024567D" w:rsidP="00E30312">
      <w:pPr>
        <w:rPr>
          <w:rFonts w:ascii="楷体" w:eastAsia="楷体" w:hAnsi="楷体"/>
          <w:sz w:val="24"/>
          <w:szCs w:val="24"/>
        </w:rPr>
      </w:pPr>
      <w:r w:rsidRPr="0024567D">
        <w:rPr>
          <w:rFonts w:ascii="楷体" w:eastAsia="楷体" w:hAnsi="楷体" w:hint="eastAsia"/>
          <w:sz w:val="24"/>
          <w:szCs w:val="24"/>
        </w:rPr>
        <w:t>第83条：参与该条例应用的所有相关方应致力于确保活动的透明性和公开性，同时也需要保护在执行任务过程中获取的信息和数据的保密性，通过制定技术和组织措施来确保信息的安全性和保密性，包括知识产权以及公共及国家安全利益。</w:t>
      </w:r>
    </w:p>
    <w:p w14:paraId="4E9A835E" w14:textId="77777777" w:rsidR="00E30312" w:rsidRDefault="00E30312" w:rsidP="00E30312">
      <w:pPr>
        <w:rPr>
          <w:rFonts w:ascii="宋体" w:eastAsia="宋体" w:hAnsi="宋体"/>
          <w:sz w:val="24"/>
          <w:szCs w:val="24"/>
        </w:rPr>
      </w:pPr>
    </w:p>
    <w:p w14:paraId="4412C07D" w14:textId="087A1594" w:rsidR="0024567D" w:rsidRPr="0024567D" w:rsidRDefault="0024567D" w:rsidP="00E30312">
      <w:pPr>
        <w:pBdr>
          <w:bottom w:val="single" w:sz="6" w:space="1" w:color="auto"/>
        </w:pBdr>
        <w:rPr>
          <w:rFonts w:ascii="宋体" w:eastAsia="宋体" w:hAnsi="宋体"/>
          <w:sz w:val="24"/>
          <w:szCs w:val="24"/>
        </w:rPr>
      </w:pPr>
      <w:r w:rsidRPr="0024567D">
        <w:rPr>
          <w:rFonts w:ascii="宋体" w:eastAsia="宋体" w:hAnsi="宋体" w:hint="eastAsia"/>
          <w:sz w:val="24"/>
          <w:szCs w:val="24"/>
        </w:rPr>
        <w:t>对知识产权的保护不仅是对创新活动的激励，也是推动科技发展和进步的关键因素。《人工智能法》在完善监管措施的同时，基于对个人基本权利的保障，努力实现 AI 技术的可信赖性与 AI 技术发展之间的动态平衡。</w:t>
      </w:r>
    </w:p>
    <w:p w14:paraId="4DCF390B" w14:textId="77777777" w:rsidR="00E30312" w:rsidRPr="00E30312" w:rsidRDefault="00E30312" w:rsidP="00E30312">
      <w:pPr>
        <w:rPr>
          <w:rFonts w:ascii="宋体" w:eastAsia="宋体" w:hAnsi="宋体"/>
          <w:sz w:val="24"/>
          <w:szCs w:val="24"/>
        </w:rPr>
      </w:pPr>
      <w:r w:rsidRPr="00E30312">
        <w:rPr>
          <w:rFonts w:ascii="宋体" w:eastAsia="宋体" w:hAnsi="宋体" w:hint="eastAsia"/>
          <w:b/>
          <w:bCs/>
          <w:sz w:val="24"/>
          <w:szCs w:val="24"/>
        </w:rPr>
        <w:t>法律责任</w:t>
      </w:r>
    </w:p>
    <w:p w14:paraId="4CC45D3C" w14:textId="77777777" w:rsidR="00E30312" w:rsidRPr="00E30312" w:rsidRDefault="00E30312" w:rsidP="00E30312">
      <w:pPr>
        <w:rPr>
          <w:rFonts w:ascii="宋体" w:eastAsia="宋体" w:hAnsi="宋体"/>
          <w:b/>
          <w:bCs/>
          <w:sz w:val="24"/>
          <w:szCs w:val="24"/>
        </w:rPr>
      </w:pPr>
      <w:r w:rsidRPr="00E30312">
        <w:rPr>
          <w:rFonts w:ascii="宋体" w:eastAsia="宋体" w:hAnsi="宋体" w:hint="eastAsia"/>
          <w:b/>
          <w:bCs/>
          <w:sz w:val="24"/>
          <w:szCs w:val="24"/>
        </w:rPr>
        <w:t>（一）投放市场前</w:t>
      </w:r>
    </w:p>
    <w:p w14:paraId="2439AC1A" w14:textId="77777777" w:rsidR="00E30312" w:rsidRPr="00E30312" w:rsidRDefault="00E30312" w:rsidP="00E30312">
      <w:pPr>
        <w:rPr>
          <w:rFonts w:ascii="宋体" w:eastAsia="宋体" w:hAnsi="宋体"/>
          <w:sz w:val="24"/>
          <w:szCs w:val="24"/>
        </w:rPr>
      </w:pPr>
      <w:r w:rsidRPr="00E30312">
        <w:rPr>
          <w:rFonts w:ascii="宋体" w:eastAsia="宋体" w:hAnsi="宋体"/>
          <w:b/>
          <w:bCs/>
          <w:sz w:val="24"/>
          <w:szCs w:val="24"/>
        </w:rPr>
        <w:t>1.</w:t>
      </w:r>
      <w:r w:rsidRPr="00E30312">
        <w:rPr>
          <w:rFonts w:ascii="宋体" w:eastAsia="宋体" w:hAnsi="宋体"/>
          <w:b/>
          <w:bCs/>
          <w:sz w:val="24"/>
          <w:szCs w:val="24"/>
        </w:rPr>
        <w:tab/>
        <w:t>确保高风险AI系统符合相关技术要求的义务：</w:t>
      </w:r>
      <w:r w:rsidRPr="00E30312">
        <w:rPr>
          <w:rFonts w:ascii="宋体" w:eastAsia="宋体" w:hAnsi="宋体"/>
          <w:sz w:val="24"/>
          <w:szCs w:val="24"/>
        </w:rPr>
        <w:t>根据《AI法案》第二章的规定，投放市场或投入使用的高风险AI系统应具备的要件，可进一步细化为基于风险动态变化形成的风险管理体系需求，基于核实验证目的形成的技术文档需求，以及基于减少数据训练引发的算法偏见与歧视等问题形成的数据质量需求。第三章则规定，在相关系统投入使用前，提供者需确保其提供的高风险AI系统已具有上述能力或履行相关要求。</w:t>
      </w:r>
    </w:p>
    <w:p w14:paraId="538C2B19" w14:textId="77777777" w:rsidR="00E30312" w:rsidRPr="00E30312" w:rsidRDefault="00E30312" w:rsidP="00E30312">
      <w:pPr>
        <w:rPr>
          <w:rFonts w:ascii="宋体" w:eastAsia="宋体" w:hAnsi="宋体"/>
          <w:sz w:val="24"/>
          <w:szCs w:val="24"/>
        </w:rPr>
      </w:pPr>
      <w:r w:rsidRPr="00E30312">
        <w:rPr>
          <w:rFonts w:ascii="宋体" w:eastAsia="宋体" w:hAnsi="宋体"/>
          <w:b/>
          <w:bCs/>
          <w:sz w:val="24"/>
          <w:szCs w:val="24"/>
        </w:rPr>
        <w:t>2.</w:t>
      </w:r>
      <w:r w:rsidRPr="00E30312">
        <w:rPr>
          <w:rFonts w:ascii="宋体" w:eastAsia="宋体" w:hAnsi="宋体"/>
          <w:b/>
          <w:bCs/>
          <w:sz w:val="24"/>
          <w:szCs w:val="24"/>
        </w:rPr>
        <w:tab/>
        <w:t>构建质量管理体系的义务：</w:t>
      </w:r>
      <w:r w:rsidRPr="00E30312">
        <w:rPr>
          <w:rFonts w:ascii="宋体" w:eastAsia="宋体" w:hAnsi="宋体"/>
          <w:sz w:val="24"/>
          <w:szCs w:val="24"/>
        </w:rPr>
        <w:t>《AI法案》2023年折衷草案第17条第（1）款规</w:t>
      </w:r>
      <w:r w:rsidRPr="00E30312">
        <w:rPr>
          <w:rFonts w:ascii="宋体" w:eastAsia="宋体" w:hAnsi="宋体"/>
          <w:sz w:val="24"/>
          <w:szCs w:val="24"/>
        </w:rPr>
        <w:lastRenderedPageBreak/>
        <w:t>定，高风险AI系统提供者应建立、实施质量管理体系。具体而言，提供者应通过书面文件的形式（如政策、程序或指令等）系统有序地记录其检测和验证程序、适用的技术规范、数据管理体系、风险管理体系、系统投放市场后监测机制、事故和故障报告、监管配合、问责框架等。</w:t>
      </w:r>
    </w:p>
    <w:p w14:paraId="435E4D20" w14:textId="77777777" w:rsidR="00E30312" w:rsidRPr="00E30312" w:rsidRDefault="00E30312" w:rsidP="00E30312">
      <w:pPr>
        <w:rPr>
          <w:rFonts w:ascii="宋体" w:eastAsia="宋体" w:hAnsi="宋体"/>
          <w:b/>
          <w:bCs/>
          <w:sz w:val="24"/>
          <w:szCs w:val="24"/>
        </w:rPr>
      </w:pPr>
      <w:r w:rsidRPr="00E30312">
        <w:rPr>
          <w:rFonts w:ascii="宋体" w:eastAsia="宋体" w:hAnsi="宋体" w:hint="eastAsia"/>
          <w:b/>
          <w:bCs/>
          <w:sz w:val="24"/>
          <w:szCs w:val="24"/>
        </w:rPr>
        <w:t>（二）投放市场时</w:t>
      </w:r>
    </w:p>
    <w:p w14:paraId="13C1A5CF" w14:textId="77777777" w:rsidR="00E30312" w:rsidRPr="00E30312" w:rsidRDefault="00E30312" w:rsidP="00E30312">
      <w:pPr>
        <w:rPr>
          <w:rFonts w:ascii="宋体" w:eastAsia="宋体" w:hAnsi="宋体"/>
          <w:sz w:val="24"/>
          <w:szCs w:val="24"/>
        </w:rPr>
      </w:pPr>
      <w:r w:rsidRPr="00E30312">
        <w:rPr>
          <w:rFonts w:ascii="宋体" w:eastAsia="宋体" w:hAnsi="宋体"/>
          <w:b/>
          <w:bCs/>
          <w:sz w:val="24"/>
          <w:szCs w:val="24"/>
        </w:rPr>
        <w:t>1.</w:t>
      </w:r>
      <w:r w:rsidRPr="00E30312">
        <w:rPr>
          <w:rFonts w:ascii="宋体" w:eastAsia="宋体" w:hAnsi="宋体"/>
          <w:b/>
          <w:bCs/>
          <w:sz w:val="24"/>
          <w:szCs w:val="24"/>
        </w:rPr>
        <w:tab/>
        <w:t>履行符合性评估义务：</w:t>
      </w:r>
      <w:r w:rsidRPr="00E30312">
        <w:rPr>
          <w:rFonts w:ascii="宋体" w:eastAsia="宋体" w:hAnsi="宋体"/>
          <w:sz w:val="24"/>
          <w:szCs w:val="24"/>
        </w:rPr>
        <w:t>《AI法案》对高风险系统采取了事前评估的监管方式，规定在将高风险AI系统投放市场或投入使用前，提供者或第三方评估机构应当进行针对高风险AI系统的符合性评估。2023年《AI法案》折衷草案第43条详细规定了开展符合性评估的规则，其本质是为验证相关条款、对高风险AI系统的有关要求是否得到满足的过程。</w:t>
      </w:r>
    </w:p>
    <w:p w14:paraId="0702C03B" w14:textId="77777777" w:rsidR="00E30312" w:rsidRPr="00E30312" w:rsidRDefault="00E30312" w:rsidP="00E30312">
      <w:pPr>
        <w:rPr>
          <w:rFonts w:ascii="宋体" w:eastAsia="宋体" w:hAnsi="宋体"/>
          <w:sz w:val="24"/>
          <w:szCs w:val="24"/>
        </w:rPr>
      </w:pPr>
      <w:r w:rsidRPr="00E30312">
        <w:rPr>
          <w:rFonts w:ascii="宋体" w:eastAsia="宋体" w:hAnsi="宋体"/>
          <w:b/>
          <w:bCs/>
          <w:sz w:val="24"/>
          <w:szCs w:val="24"/>
        </w:rPr>
        <w:t>2.</w:t>
      </w:r>
      <w:r w:rsidRPr="00E30312">
        <w:rPr>
          <w:rFonts w:ascii="宋体" w:eastAsia="宋体" w:hAnsi="宋体"/>
          <w:b/>
          <w:bCs/>
          <w:sz w:val="24"/>
          <w:szCs w:val="24"/>
        </w:rPr>
        <w:tab/>
        <w:t>高风险人工智能系统备案义务：</w:t>
      </w:r>
      <w:r w:rsidRPr="00E30312">
        <w:rPr>
          <w:rFonts w:ascii="宋体" w:eastAsia="宋体" w:hAnsi="宋体"/>
          <w:sz w:val="24"/>
          <w:szCs w:val="24"/>
        </w:rPr>
        <w:t>根据《AI法案》提案第51条规定，高风险AI系统投放市场或投入使用前，应在欧盟委员会主导建立的欧盟公共高风险AI系统数据库中备案。折衷草案相较而言，除了新增了特殊部署者的备案义务，还进一步补充了在AI系统发生实质变更时的重新备案义务。</w:t>
      </w:r>
    </w:p>
    <w:p w14:paraId="0F955C98" w14:textId="77777777" w:rsidR="00E30312" w:rsidRPr="00E30312" w:rsidRDefault="00E30312" w:rsidP="00E30312">
      <w:pPr>
        <w:rPr>
          <w:rFonts w:ascii="宋体" w:eastAsia="宋体" w:hAnsi="宋体"/>
          <w:sz w:val="24"/>
          <w:szCs w:val="24"/>
        </w:rPr>
      </w:pPr>
      <w:r w:rsidRPr="00E30312">
        <w:rPr>
          <w:rFonts w:ascii="宋体" w:eastAsia="宋体" w:hAnsi="宋体"/>
          <w:sz w:val="24"/>
          <w:szCs w:val="24"/>
        </w:rPr>
        <w:t>3.</w:t>
      </w:r>
      <w:r w:rsidRPr="00E30312">
        <w:rPr>
          <w:rFonts w:ascii="宋体" w:eastAsia="宋体" w:hAnsi="宋体"/>
          <w:sz w:val="24"/>
          <w:szCs w:val="24"/>
        </w:rPr>
        <w:tab/>
        <w:t>CE标识标志义务：对于前述符合性评估的认证，《AI法案》自2021年提案起，即引进了欧盟合格认证（</w:t>
      </w:r>
      <w:proofErr w:type="spellStart"/>
      <w:r w:rsidRPr="00E30312">
        <w:rPr>
          <w:rFonts w:ascii="宋体" w:eastAsia="宋体" w:hAnsi="宋体"/>
          <w:sz w:val="24"/>
          <w:szCs w:val="24"/>
        </w:rPr>
        <w:t>Conformité</w:t>
      </w:r>
      <w:proofErr w:type="spellEnd"/>
      <w:r w:rsidRPr="00E30312">
        <w:rPr>
          <w:rFonts w:ascii="宋体" w:eastAsia="宋体" w:hAnsi="宋体"/>
          <w:sz w:val="24"/>
          <w:szCs w:val="24"/>
        </w:rPr>
        <w:t xml:space="preserve"> </w:t>
      </w:r>
      <w:proofErr w:type="spellStart"/>
      <w:r w:rsidRPr="00E30312">
        <w:rPr>
          <w:rFonts w:ascii="宋体" w:eastAsia="宋体" w:hAnsi="宋体"/>
          <w:sz w:val="24"/>
          <w:szCs w:val="24"/>
        </w:rPr>
        <w:t>Européenne</w:t>
      </w:r>
      <w:proofErr w:type="spellEnd"/>
      <w:r w:rsidRPr="00E30312">
        <w:rPr>
          <w:rFonts w:ascii="宋体" w:eastAsia="宋体" w:hAnsi="宋体"/>
          <w:sz w:val="24"/>
          <w:szCs w:val="24"/>
        </w:rPr>
        <w:t>, “CE”）机制。对存在高风险的AI产品和服务，经评估程序被认定合格后，可贴上CE标志投入使用。</w:t>
      </w:r>
    </w:p>
    <w:p w14:paraId="700DFFCB" w14:textId="77777777" w:rsidR="00E30312" w:rsidRPr="00E30312" w:rsidRDefault="00E30312" w:rsidP="00E30312">
      <w:pPr>
        <w:rPr>
          <w:rFonts w:ascii="宋体" w:eastAsia="宋体" w:hAnsi="宋体"/>
          <w:b/>
          <w:bCs/>
          <w:sz w:val="24"/>
          <w:szCs w:val="24"/>
        </w:rPr>
      </w:pPr>
      <w:r w:rsidRPr="00E30312">
        <w:rPr>
          <w:rFonts w:ascii="宋体" w:eastAsia="宋体" w:hAnsi="宋体" w:hint="eastAsia"/>
          <w:b/>
          <w:bCs/>
          <w:sz w:val="24"/>
          <w:szCs w:val="24"/>
        </w:rPr>
        <w:t>（三）投放市场后</w:t>
      </w:r>
    </w:p>
    <w:p w14:paraId="641B0103" w14:textId="77777777" w:rsidR="00E30312" w:rsidRPr="00E30312" w:rsidRDefault="00E30312" w:rsidP="00E30312">
      <w:pPr>
        <w:rPr>
          <w:rFonts w:ascii="宋体" w:eastAsia="宋体" w:hAnsi="宋体"/>
          <w:sz w:val="24"/>
          <w:szCs w:val="24"/>
        </w:rPr>
      </w:pPr>
      <w:r w:rsidRPr="00E30312">
        <w:rPr>
          <w:rFonts w:ascii="宋体" w:eastAsia="宋体" w:hAnsi="宋体"/>
          <w:b/>
          <w:bCs/>
          <w:sz w:val="24"/>
          <w:szCs w:val="24"/>
        </w:rPr>
        <w:t>1.</w:t>
      </w:r>
      <w:r w:rsidRPr="00E30312">
        <w:rPr>
          <w:rFonts w:ascii="宋体" w:eastAsia="宋体" w:hAnsi="宋体"/>
          <w:b/>
          <w:bCs/>
          <w:sz w:val="24"/>
          <w:szCs w:val="24"/>
        </w:rPr>
        <w:tab/>
        <w:t>部署风险监测系统的义务：</w:t>
      </w:r>
      <w:r w:rsidRPr="00E30312">
        <w:rPr>
          <w:rFonts w:ascii="宋体" w:eastAsia="宋体" w:hAnsi="宋体"/>
          <w:sz w:val="24"/>
          <w:szCs w:val="24"/>
        </w:rPr>
        <w:t>根据《AI法案》2023年折衷草案第61条规定，高风险AI系统提供者应采取与AI技术和高风险AI系统相称的方式，建立并执行上市后的监测系统。此监测系统应具有收集、记录和分析由部署者或其他来源提供的有关高风险AI系统在整个生命周期内的性能的相关数据。</w:t>
      </w:r>
    </w:p>
    <w:p w14:paraId="7B02AA13" w14:textId="77777777" w:rsidR="00E30312" w:rsidRPr="00E30312" w:rsidRDefault="00E30312" w:rsidP="00E30312">
      <w:pPr>
        <w:rPr>
          <w:rFonts w:ascii="宋体" w:eastAsia="宋体" w:hAnsi="宋体"/>
          <w:sz w:val="24"/>
          <w:szCs w:val="24"/>
        </w:rPr>
      </w:pPr>
      <w:r w:rsidRPr="00E30312">
        <w:rPr>
          <w:rFonts w:ascii="宋体" w:eastAsia="宋体" w:hAnsi="宋体"/>
          <w:b/>
          <w:bCs/>
          <w:sz w:val="24"/>
          <w:szCs w:val="24"/>
        </w:rPr>
        <w:t>2.</w:t>
      </w:r>
      <w:r w:rsidRPr="00E30312">
        <w:rPr>
          <w:rFonts w:ascii="宋体" w:eastAsia="宋体" w:hAnsi="宋体"/>
          <w:b/>
          <w:bCs/>
          <w:sz w:val="24"/>
          <w:szCs w:val="24"/>
        </w:rPr>
        <w:tab/>
        <w:t>采取纠正措施等义务：</w:t>
      </w:r>
      <w:r w:rsidRPr="00E30312">
        <w:rPr>
          <w:rFonts w:ascii="宋体" w:eastAsia="宋体" w:hAnsi="宋体"/>
          <w:sz w:val="24"/>
          <w:szCs w:val="24"/>
        </w:rPr>
        <w:t>根据2023年《AI法案》折衷草案第21条和22条，如果高风险AI系统的提供者认为或有理由认为其投放市场或投入使用的高风险AI系统不符合《AI法案》的要求，应立即采取必要的纠正措施。</w:t>
      </w:r>
    </w:p>
    <w:p w14:paraId="1B9EC4D8" w14:textId="3043A0E0" w:rsidR="00E30312" w:rsidRPr="0024567D" w:rsidRDefault="00E30312" w:rsidP="00E30312">
      <w:pPr>
        <w:rPr>
          <w:rFonts w:ascii="宋体" w:eastAsia="宋体" w:hAnsi="宋体" w:hint="eastAsia"/>
          <w:sz w:val="24"/>
          <w:szCs w:val="24"/>
        </w:rPr>
      </w:pPr>
      <w:r w:rsidRPr="00E30312">
        <w:rPr>
          <w:rFonts w:ascii="宋体" w:eastAsia="宋体" w:hAnsi="宋体"/>
          <w:b/>
          <w:bCs/>
          <w:sz w:val="24"/>
          <w:szCs w:val="24"/>
        </w:rPr>
        <w:t>3.</w:t>
      </w:r>
      <w:r w:rsidRPr="00E30312">
        <w:rPr>
          <w:rFonts w:ascii="宋体" w:eastAsia="宋体" w:hAnsi="宋体"/>
          <w:b/>
          <w:bCs/>
          <w:sz w:val="24"/>
          <w:szCs w:val="24"/>
        </w:rPr>
        <w:tab/>
        <w:t>配合监管部门开展工作的义务：</w:t>
      </w:r>
      <w:r w:rsidRPr="00E30312">
        <w:rPr>
          <w:rFonts w:ascii="宋体" w:eastAsia="宋体" w:hAnsi="宋体"/>
          <w:sz w:val="24"/>
          <w:szCs w:val="24"/>
        </w:rPr>
        <w:t>《AI法案》作为一项欧盟范围内的立法，将对每个欧盟成员国产生法律约束力。在各阶段的草案中，《AI法案》均提出各成员国须建立相应的国家监管机构，以监督《AI法案》的规则在国内的应用和实施。相应的，提供者也设有需要配合上述监管机构开展工作的义务。</w:t>
      </w:r>
    </w:p>
    <w:sectPr w:rsidR="00E30312" w:rsidRPr="002456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9575A"/>
    <w:multiLevelType w:val="hybridMultilevel"/>
    <w:tmpl w:val="BAC46946"/>
    <w:lvl w:ilvl="0" w:tplc="1CCE5F6E">
      <w:start w:val="1"/>
      <w:numFmt w:val="bullet"/>
      <w:lvlText w:val=""/>
      <w:lvlJc w:val="left"/>
      <w:pPr>
        <w:tabs>
          <w:tab w:val="num" w:pos="720"/>
        </w:tabs>
        <w:ind w:left="720" w:hanging="360"/>
      </w:pPr>
      <w:rPr>
        <w:rFonts w:ascii="Wingdings" w:hAnsi="Wingdings" w:hint="default"/>
      </w:rPr>
    </w:lvl>
    <w:lvl w:ilvl="1" w:tplc="9168E080" w:tentative="1">
      <w:start w:val="1"/>
      <w:numFmt w:val="bullet"/>
      <w:lvlText w:val=""/>
      <w:lvlJc w:val="left"/>
      <w:pPr>
        <w:tabs>
          <w:tab w:val="num" w:pos="1440"/>
        </w:tabs>
        <w:ind w:left="1440" w:hanging="360"/>
      </w:pPr>
      <w:rPr>
        <w:rFonts w:ascii="Wingdings" w:hAnsi="Wingdings" w:hint="default"/>
      </w:rPr>
    </w:lvl>
    <w:lvl w:ilvl="2" w:tplc="3900FDC6" w:tentative="1">
      <w:start w:val="1"/>
      <w:numFmt w:val="bullet"/>
      <w:lvlText w:val=""/>
      <w:lvlJc w:val="left"/>
      <w:pPr>
        <w:tabs>
          <w:tab w:val="num" w:pos="2160"/>
        </w:tabs>
        <w:ind w:left="2160" w:hanging="360"/>
      </w:pPr>
      <w:rPr>
        <w:rFonts w:ascii="Wingdings" w:hAnsi="Wingdings" w:hint="default"/>
      </w:rPr>
    </w:lvl>
    <w:lvl w:ilvl="3" w:tplc="58181832" w:tentative="1">
      <w:start w:val="1"/>
      <w:numFmt w:val="bullet"/>
      <w:lvlText w:val=""/>
      <w:lvlJc w:val="left"/>
      <w:pPr>
        <w:tabs>
          <w:tab w:val="num" w:pos="2880"/>
        </w:tabs>
        <w:ind w:left="2880" w:hanging="360"/>
      </w:pPr>
      <w:rPr>
        <w:rFonts w:ascii="Wingdings" w:hAnsi="Wingdings" w:hint="default"/>
      </w:rPr>
    </w:lvl>
    <w:lvl w:ilvl="4" w:tplc="9934ED08" w:tentative="1">
      <w:start w:val="1"/>
      <w:numFmt w:val="bullet"/>
      <w:lvlText w:val=""/>
      <w:lvlJc w:val="left"/>
      <w:pPr>
        <w:tabs>
          <w:tab w:val="num" w:pos="3600"/>
        </w:tabs>
        <w:ind w:left="3600" w:hanging="360"/>
      </w:pPr>
      <w:rPr>
        <w:rFonts w:ascii="Wingdings" w:hAnsi="Wingdings" w:hint="default"/>
      </w:rPr>
    </w:lvl>
    <w:lvl w:ilvl="5" w:tplc="104C846A" w:tentative="1">
      <w:start w:val="1"/>
      <w:numFmt w:val="bullet"/>
      <w:lvlText w:val=""/>
      <w:lvlJc w:val="left"/>
      <w:pPr>
        <w:tabs>
          <w:tab w:val="num" w:pos="4320"/>
        </w:tabs>
        <w:ind w:left="4320" w:hanging="360"/>
      </w:pPr>
      <w:rPr>
        <w:rFonts w:ascii="Wingdings" w:hAnsi="Wingdings" w:hint="default"/>
      </w:rPr>
    </w:lvl>
    <w:lvl w:ilvl="6" w:tplc="72FA58BE" w:tentative="1">
      <w:start w:val="1"/>
      <w:numFmt w:val="bullet"/>
      <w:lvlText w:val=""/>
      <w:lvlJc w:val="left"/>
      <w:pPr>
        <w:tabs>
          <w:tab w:val="num" w:pos="5040"/>
        </w:tabs>
        <w:ind w:left="5040" w:hanging="360"/>
      </w:pPr>
      <w:rPr>
        <w:rFonts w:ascii="Wingdings" w:hAnsi="Wingdings" w:hint="default"/>
      </w:rPr>
    </w:lvl>
    <w:lvl w:ilvl="7" w:tplc="F6F22914" w:tentative="1">
      <w:start w:val="1"/>
      <w:numFmt w:val="bullet"/>
      <w:lvlText w:val=""/>
      <w:lvlJc w:val="left"/>
      <w:pPr>
        <w:tabs>
          <w:tab w:val="num" w:pos="5760"/>
        </w:tabs>
        <w:ind w:left="5760" w:hanging="360"/>
      </w:pPr>
      <w:rPr>
        <w:rFonts w:ascii="Wingdings" w:hAnsi="Wingdings" w:hint="default"/>
      </w:rPr>
    </w:lvl>
    <w:lvl w:ilvl="8" w:tplc="4DC629F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D75BBC"/>
    <w:multiLevelType w:val="hybridMultilevel"/>
    <w:tmpl w:val="FE886B1E"/>
    <w:lvl w:ilvl="0" w:tplc="C40C7142">
      <w:start w:val="1"/>
      <w:numFmt w:val="bullet"/>
      <w:lvlText w:val=""/>
      <w:lvlJc w:val="left"/>
      <w:pPr>
        <w:tabs>
          <w:tab w:val="num" w:pos="720"/>
        </w:tabs>
        <w:ind w:left="720" w:hanging="360"/>
      </w:pPr>
      <w:rPr>
        <w:rFonts w:ascii="Wingdings" w:hAnsi="Wingdings" w:hint="default"/>
      </w:rPr>
    </w:lvl>
    <w:lvl w:ilvl="1" w:tplc="6D9214BC">
      <w:numFmt w:val="bullet"/>
      <w:lvlText w:val=""/>
      <w:lvlJc w:val="left"/>
      <w:pPr>
        <w:tabs>
          <w:tab w:val="num" w:pos="1440"/>
        </w:tabs>
        <w:ind w:left="1440" w:hanging="360"/>
      </w:pPr>
      <w:rPr>
        <w:rFonts w:ascii="Wingdings" w:hAnsi="Wingdings" w:hint="default"/>
      </w:rPr>
    </w:lvl>
    <w:lvl w:ilvl="2" w:tplc="EED4B970" w:tentative="1">
      <w:start w:val="1"/>
      <w:numFmt w:val="bullet"/>
      <w:lvlText w:val=""/>
      <w:lvlJc w:val="left"/>
      <w:pPr>
        <w:tabs>
          <w:tab w:val="num" w:pos="2160"/>
        </w:tabs>
        <w:ind w:left="2160" w:hanging="360"/>
      </w:pPr>
      <w:rPr>
        <w:rFonts w:ascii="Wingdings" w:hAnsi="Wingdings" w:hint="default"/>
      </w:rPr>
    </w:lvl>
    <w:lvl w:ilvl="3" w:tplc="963C23D6" w:tentative="1">
      <w:start w:val="1"/>
      <w:numFmt w:val="bullet"/>
      <w:lvlText w:val=""/>
      <w:lvlJc w:val="left"/>
      <w:pPr>
        <w:tabs>
          <w:tab w:val="num" w:pos="2880"/>
        </w:tabs>
        <w:ind w:left="2880" w:hanging="360"/>
      </w:pPr>
      <w:rPr>
        <w:rFonts w:ascii="Wingdings" w:hAnsi="Wingdings" w:hint="default"/>
      </w:rPr>
    </w:lvl>
    <w:lvl w:ilvl="4" w:tplc="148A41DC" w:tentative="1">
      <w:start w:val="1"/>
      <w:numFmt w:val="bullet"/>
      <w:lvlText w:val=""/>
      <w:lvlJc w:val="left"/>
      <w:pPr>
        <w:tabs>
          <w:tab w:val="num" w:pos="3600"/>
        </w:tabs>
        <w:ind w:left="3600" w:hanging="360"/>
      </w:pPr>
      <w:rPr>
        <w:rFonts w:ascii="Wingdings" w:hAnsi="Wingdings" w:hint="default"/>
      </w:rPr>
    </w:lvl>
    <w:lvl w:ilvl="5" w:tplc="26E2EE3A" w:tentative="1">
      <w:start w:val="1"/>
      <w:numFmt w:val="bullet"/>
      <w:lvlText w:val=""/>
      <w:lvlJc w:val="left"/>
      <w:pPr>
        <w:tabs>
          <w:tab w:val="num" w:pos="4320"/>
        </w:tabs>
        <w:ind w:left="4320" w:hanging="360"/>
      </w:pPr>
      <w:rPr>
        <w:rFonts w:ascii="Wingdings" w:hAnsi="Wingdings" w:hint="default"/>
      </w:rPr>
    </w:lvl>
    <w:lvl w:ilvl="6" w:tplc="B0BEEFC0" w:tentative="1">
      <w:start w:val="1"/>
      <w:numFmt w:val="bullet"/>
      <w:lvlText w:val=""/>
      <w:lvlJc w:val="left"/>
      <w:pPr>
        <w:tabs>
          <w:tab w:val="num" w:pos="5040"/>
        </w:tabs>
        <w:ind w:left="5040" w:hanging="360"/>
      </w:pPr>
      <w:rPr>
        <w:rFonts w:ascii="Wingdings" w:hAnsi="Wingdings" w:hint="default"/>
      </w:rPr>
    </w:lvl>
    <w:lvl w:ilvl="7" w:tplc="47DE8866" w:tentative="1">
      <w:start w:val="1"/>
      <w:numFmt w:val="bullet"/>
      <w:lvlText w:val=""/>
      <w:lvlJc w:val="left"/>
      <w:pPr>
        <w:tabs>
          <w:tab w:val="num" w:pos="5760"/>
        </w:tabs>
        <w:ind w:left="5760" w:hanging="360"/>
      </w:pPr>
      <w:rPr>
        <w:rFonts w:ascii="Wingdings" w:hAnsi="Wingdings" w:hint="default"/>
      </w:rPr>
    </w:lvl>
    <w:lvl w:ilvl="8" w:tplc="4C80431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4F11884"/>
    <w:multiLevelType w:val="hybridMultilevel"/>
    <w:tmpl w:val="690ED9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B50638D"/>
    <w:multiLevelType w:val="hybridMultilevel"/>
    <w:tmpl w:val="C9C08986"/>
    <w:lvl w:ilvl="0" w:tplc="80EA2772">
      <w:start w:val="1"/>
      <w:numFmt w:val="bullet"/>
      <w:lvlText w:val=""/>
      <w:lvlJc w:val="left"/>
      <w:pPr>
        <w:tabs>
          <w:tab w:val="num" w:pos="720"/>
        </w:tabs>
        <w:ind w:left="720" w:hanging="360"/>
      </w:pPr>
      <w:rPr>
        <w:rFonts w:ascii="Wingdings" w:hAnsi="Wingdings" w:hint="default"/>
      </w:rPr>
    </w:lvl>
    <w:lvl w:ilvl="1" w:tplc="AAE0BE28">
      <w:numFmt w:val="bullet"/>
      <w:lvlText w:val=""/>
      <w:lvlJc w:val="left"/>
      <w:pPr>
        <w:tabs>
          <w:tab w:val="num" w:pos="1440"/>
        </w:tabs>
        <w:ind w:left="1440" w:hanging="360"/>
      </w:pPr>
      <w:rPr>
        <w:rFonts w:ascii="Wingdings" w:hAnsi="Wingdings" w:hint="default"/>
      </w:rPr>
    </w:lvl>
    <w:lvl w:ilvl="2" w:tplc="822417C0" w:tentative="1">
      <w:start w:val="1"/>
      <w:numFmt w:val="bullet"/>
      <w:lvlText w:val=""/>
      <w:lvlJc w:val="left"/>
      <w:pPr>
        <w:tabs>
          <w:tab w:val="num" w:pos="2160"/>
        </w:tabs>
        <w:ind w:left="2160" w:hanging="360"/>
      </w:pPr>
      <w:rPr>
        <w:rFonts w:ascii="Wingdings" w:hAnsi="Wingdings" w:hint="default"/>
      </w:rPr>
    </w:lvl>
    <w:lvl w:ilvl="3" w:tplc="A0205BE8" w:tentative="1">
      <w:start w:val="1"/>
      <w:numFmt w:val="bullet"/>
      <w:lvlText w:val=""/>
      <w:lvlJc w:val="left"/>
      <w:pPr>
        <w:tabs>
          <w:tab w:val="num" w:pos="2880"/>
        </w:tabs>
        <w:ind w:left="2880" w:hanging="360"/>
      </w:pPr>
      <w:rPr>
        <w:rFonts w:ascii="Wingdings" w:hAnsi="Wingdings" w:hint="default"/>
      </w:rPr>
    </w:lvl>
    <w:lvl w:ilvl="4" w:tplc="48369930" w:tentative="1">
      <w:start w:val="1"/>
      <w:numFmt w:val="bullet"/>
      <w:lvlText w:val=""/>
      <w:lvlJc w:val="left"/>
      <w:pPr>
        <w:tabs>
          <w:tab w:val="num" w:pos="3600"/>
        </w:tabs>
        <w:ind w:left="3600" w:hanging="360"/>
      </w:pPr>
      <w:rPr>
        <w:rFonts w:ascii="Wingdings" w:hAnsi="Wingdings" w:hint="default"/>
      </w:rPr>
    </w:lvl>
    <w:lvl w:ilvl="5" w:tplc="34F88374" w:tentative="1">
      <w:start w:val="1"/>
      <w:numFmt w:val="bullet"/>
      <w:lvlText w:val=""/>
      <w:lvlJc w:val="left"/>
      <w:pPr>
        <w:tabs>
          <w:tab w:val="num" w:pos="4320"/>
        </w:tabs>
        <w:ind w:left="4320" w:hanging="360"/>
      </w:pPr>
      <w:rPr>
        <w:rFonts w:ascii="Wingdings" w:hAnsi="Wingdings" w:hint="default"/>
      </w:rPr>
    </w:lvl>
    <w:lvl w:ilvl="6" w:tplc="9E86FB9A" w:tentative="1">
      <w:start w:val="1"/>
      <w:numFmt w:val="bullet"/>
      <w:lvlText w:val=""/>
      <w:lvlJc w:val="left"/>
      <w:pPr>
        <w:tabs>
          <w:tab w:val="num" w:pos="5040"/>
        </w:tabs>
        <w:ind w:left="5040" w:hanging="360"/>
      </w:pPr>
      <w:rPr>
        <w:rFonts w:ascii="Wingdings" w:hAnsi="Wingdings" w:hint="default"/>
      </w:rPr>
    </w:lvl>
    <w:lvl w:ilvl="7" w:tplc="FD8EEED6" w:tentative="1">
      <w:start w:val="1"/>
      <w:numFmt w:val="bullet"/>
      <w:lvlText w:val=""/>
      <w:lvlJc w:val="left"/>
      <w:pPr>
        <w:tabs>
          <w:tab w:val="num" w:pos="5760"/>
        </w:tabs>
        <w:ind w:left="5760" w:hanging="360"/>
      </w:pPr>
      <w:rPr>
        <w:rFonts w:ascii="Wingdings" w:hAnsi="Wingdings" w:hint="default"/>
      </w:rPr>
    </w:lvl>
    <w:lvl w:ilvl="8" w:tplc="36385DA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8256A9B"/>
    <w:multiLevelType w:val="hybridMultilevel"/>
    <w:tmpl w:val="17DC98FC"/>
    <w:lvl w:ilvl="0" w:tplc="960CE1F4">
      <w:start w:val="1"/>
      <w:numFmt w:val="decimal"/>
      <w:lvlText w:val="%1)"/>
      <w:lvlJc w:val="left"/>
      <w:pPr>
        <w:tabs>
          <w:tab w:val="num" w:pos="720"/>
        </w:tabs>
        <w:ind w:left="720" w:hanging="360"/>
      </w:pPr>
    </w:lvl>
    <w:lvl w:ilvl="1" w:tplc="C91498EA" w:tentative="1">
      <w:start w:val="1"/>
      <w:numFmt w:val="decimal"/>
      <w:lvlText w:val="%2)"/>
      <w:lvlJc w:val="left"/>
      <w:pPr>
        <w:tabs>
          <w:tab w:val="num" w:pos="1440"/>
        </w:tabs>
        <w:ind w:left="1440" w:hanging="360"/>
      </w:pPr>
    </w:lvl>
    <w:lvl w:ilvl="2" w:tplc="E1225172" w:tentative="1">
      <w:start w:val="1"/>
      <w:numFmt w:val="decimal"/>
      <w:lvlText w:val="%3)"/>
      <w:lvlJc w:val="left"/>
      <w:pPr>
        <w:tabs>
          <w:tab w:val="num" w:pos="2160"/>
        </w:tabs>
        <w:ind w:left="2160" w:hanging="360"/>
      </w:pPr>
    </w:lvl>
    <w:lvl w:ilvl="3" w:tplc="0CE891A8" w:tentative="1">
      <w:start w:val="1"/>
      <w:numFmt w:val="decimal"/>
      <w:lvlText w:val="%4)"/>
      <w:lvlJc w:val="left"/>
      <w:pPr>
        <w:tabs>
          <w:tab w:val="num" w:pos="2880"/>
        </w:tabs>
        <w:ind w:left="2880" w:hanging="360"/>
      </w:pPr>
    </w:lvl>
    <w:lvl w:ilvl="4" w:tplc="4FA8374E" w:tentative="1">
      <w:start w:val="1"/>
      <w:numFmt w:val="decimal"/>
      <w:lvlText w:val="%5)"/>
      <w:lvlJc w:val="left"/>
      <w:pPr>
        <w:tabs>
          <w:tab w:val="num" w:pos="3600"/>
        </w:tabs>
        <w:ind w:left="3600" w:hanging="360"/>
      </w:pPr>
    </w:lvl>
    <w:lvl w:ilvl="5" w:tplc="F858FC5E" w:tentative="1">
      <w:start w:val="1"/>
      <w:numFmt w:val="decimal"/>
      <w:lvlText w:val="%6)"/>
      <w:lvlJc w:val="left"/>
      <w:pPr>
        <w:tabs>
          <w:tab w:val="num" w:pos="4320"/>
        </w:tabs>
        <w:ind w:left="4320" w:hanging="360"/>
      </w:pPr>
    </w:lvl>
    <w:lvl w:ilvl="6" w:tplc="43EACE18" w:tentative="1">
      <w:start w:val="1"/>
      <w:numFmt w:val="decimal"/>
      <w:lvlText w:val="%7)"/>
      <w:lvlJc w:val="left"/>
      <w:pPr>
        <w:tabs>
          <w:tab w:val="num" w:pos="5040"/>
        </w:tabs>
        <w:ind w:left="5040" w:hanging="360"/>
      </w:pPr>
    </w:lvl>
    <w:lvl w:ilvl="7" w:tplc="1EF85D58" w:tentative="1">
      <w:start w:val="1"/>
      <w:numFmt w:val="decimal"/>
      <w:lvlText w:val="%8)"/>
      <w:lvlJc w:val="left"/>
      <w:pPr>
        <w:tabs>
          <w:tab w:val="num" w:pos="5760"/>
        </w:tabs>
        <w:ind w:left="5760" w:hanging="360"/>
      </w:pPr>
    </w:lvl>
    <w:lvl w:ilvl="8" w:tplc="91482296"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CC7"/>
    <w:rsid w:val="00127CC7"/>
    <w:rsid w:val="0024567D"/>
    <w:rsid w:val="00BB092B"/>
    <w:rsid w:val="00E30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87907"/>
  <w15:chartTrackingRefBased/>
  <w15:docId w15:val="{4A452405-A35A-4FE0-9014-8960D9156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7C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34504">
      <w:bodyDiv w:val="1"/>
      <w:marLeft w:val="0"/>
      <w:marRight w:val="0"/>
      <w:marTop w:val="0"/>
      <w:marBottom w:val="0"/>
      <w:divBdr>
        <w:top w:val="none" w:sz="0" w:space="0" w:color="auto"/>
        <w:left w:val="none" w:sz="0" w:space="0" w:color="auto"/>
        <w:bottom w:val="none" w:sz="0" w:space="0" w:color="auto"/>
        <w:right w:val="none" w:sz="0" w:space="0" w:color="auto"/>
      </w:divBdr>
    </w:div>
    <w:div w:id="143204111">
      <w:bodyDiv w:val="1"/>
      <w:marLeft w:val="0"/>
      <w:marRight w:val="0"/>
      <w:marTop w:val="0"/>
      <w:marBottom w:val="0"/>
      <w:divBdr>
        <w:top w:val="none" w:sz="0" w:space="0" w:color="auto"/>
        <w:left w:val="none" w:sz="0" w:space="0" w:color="auto"/>
        <w:bottom w:val="none" w:sz="0" w:space="0" w:color="auto"/>
        <w:right w:val="none" w:sz="0" w:space="0" w:color="auto"/>
      </w:divBdr>
      <w:divsChild>
        <w:div w:id="656492894">
          <w:marLeft w:val="446"/>
          <w:marRight w:val="0"/>
          <w:marTop w:val="0"/>
          <w:marBottom w:val="0"/>
          <w:divBdr>
            <w:top w:val="none" w:sz="0" w:space="0" w:color="auto"/>
            <w:left w:val="none" w:sz="0" w:space="0" w:color="auto"/>
            <w:bottom w:val="none" w:sz="0" w:space="0" w:color="auto"/>
            <w:right w:val="none" w:sz="0" w:space="0" w:color="auto"/>
          </w:divBdr>
        </w:div>
        <w:div w:id="303580257">
          <w:marLeft w:val="1166"/>
          <w:marRight w:val="0"/>
          <w:marTop w:val="0"/>
          <w:marBottom w:val="0"/>
          <w:divBdr>
            <w:top w:val="none" w:sz="0" w:space="0" w:color="auto"/>
            <w:left w:val="none" w:sz="0" w:space="0" w:color="auto"/>
            <w:bottom w:val="none" w:sz="0" w:space="0" w:color="auto"/>
            <w:right w:val="none" w:sz="0" w:space="0" w:color="auto"/>
          </w:divBdr>
        </w:div>
        <w:div w:id="1100489808">
          <w:marLeft w:val="1166"/>
          <w:marRight w:val="0"/>
          <w:marTop w:val="0"/>
          <w:marBottom w:val="0"/>
          <w:divBdr>
            <w:top w:val="none" w:sz="0" w:space="0" w:color="auto"/>
            <w:left w:val="none" w:sz="0" w:space="0" w:color="auto"/>
            <w:bottom w:val="none" w:sz="0" w:space="0" w:color="auto"/>
            <w:right w:val="none" w:sz="0" w:space="0" w:color="auto"/>
          </w:divBdr>
        </w:div>
        <w:div w:id="2122333602">
          <w:marLeft w:val="446"/>
          <w:marRight w:val="0"/>
          <w:marTop w:val="0"/>
          <w:marBottom w:val="0"/>
          <w:divBdr>
            <w:top w:val="none" w:sz="0" w:space="0" w:color="auto"/>
            <w:left w:val="none" w:sz="0" w:space="0" w:color="auto"/>
            <w:bottom w:val="none" w:sz="0" w:space="0" w:color="auto"/>
            <w:right w:val="none" w:sz="0" w:space="0" w:color="auto"/>
          </w:divBdr>
        </w:div>
      </w:divsChild>
    </w:div>
    <w:div w:id="150217599">
      <w:bodyDiv w:val="1"/>
      <w:marLeft w:val="0"/>
      <w:marRight w:val="0"/>
      <w:marTop w:val="0"/>
      <w:marBottom w:val="0"/>
      <w:divBdr>
        <w:top w:val="none" w:sz="0" w:space="0" w:color="auto"/>
        <w:left w:val="none" w:sz="0" w:space="0" w:color="auto"/>
        <w:bottom w:val="none" w:sz="0" w:space="0" w:color="auto"/>
        <w:right w:val="none" w:sz="0" w:space="0" w:color="auto"/>
      </w:divBdr>
      <w:divsChild>
        <w:div w:id="1763602807">
          <w:marLeft w:val="547"/>
          <w:marRight w:val="0"/>
          <w:marTop w:val="0"/>
          <w:marBottom w:val="0"/>
          <w:divBdr>
            <w:top w:val="none" w:sz="0" w:space="0" w:color="auto"/>
            <w:left w:val="none" w:sz="0" w:space="0" w:color="auto"/>
            <w:bottom w:val="none" w:sz="0" w:space="0" w:color="auto"/>
            <w:right w:val="none" w:sz="0" w:space="0" w:color="auto"/>
          </w:divBdr>
        </w:div>
        <w:div w:id="597835881">
          <w:marLeft w:val="547"/>
          <w:marRight w:val="0"/>
          <w:marTop w:val="0"/>
          <w:marBottom w:val="0"/>
          <w:divBdr>
            <w:top w:val="none" w:sz="0" w:space="0" w:color="auto"/>
            <w:left w:val="none" w:sz="0" w:space="0" w:color="auto"/>
            <w:bottom w:val="none" w:sz="0" w:space="0" w:color="auto"/>
            <w:right w:val="none" w:sz="0" w:space="0" w:color="auto"/>
          </w:divBdr>
        </w:div>
      </w:divsChild>
    </w:div>
    <w:div w:id="345058086">
      <w:bodyDiv w:val="1"/>
      <w:marLeft w:val="0"/>
      <w:marRight w:val="0"/>
      <w:marTop w:val="0"/>
      <w:marBottom w:val="0"/>
      <w:divBdr>
        <w:top w:val="none" w:sz="0" w:space="0" w:color="auto"/>
        <w:left w:val="none" w:sz="0" w:space="0" w:color="auto"/>
        <w:bottom w:val="none" w:sz="0" w:space="0" w:color="auto"/>
        <w:right w:val="none" w:sz="0" w:space="0" w:color="auto"/>
      </w:divBdr>
      <w:divsChild>
        <w:div w:id="1821535346">
          <w:marLeft w:val="547"/>
          <w:marRight w:val="0"/>
          <w:marTop w:val="0"/>
          <w:marBottom w:val="0"/>
          <w:divBdr>
            <w:top w:val="none" w:sz="0" w:space="0" w:color="auto"/>
            <w:left w:val="none" w:sz="0" w:space="0" w:color="auto"/>
            <w:bottom w:val="none" w:sz="0" w:space="0" w:color="auto"/>
            <w:right w:val="none" w:sz="0" w:space="0" w:color="auto"/>
          </w:divBdr>
        </w:div>
        <w:div w:id="782841162">
          <w:marLeft w:val="547"/>
          <w:marRight w:val="0"/>
          <w:marTop w:val="0"/>
          <w:marBottom w:val="0"/>
          <w:divBdr>
            <w:top w:val="none" w:sz="0" w:space="0" w:color="auto"/>
            <w:left w:val="none" w:sz="0" w:space="0" w:color="auto"/>
            <w:bottom w:val="none" w:sz="0" w:space="0" w:color="auto"/>
            <w:right w:val="none" w:sz="0" w:space="0" w:color="auto"/>
          </w:divBdr>
        </w:div>
        <w:div w:id="706837187">
          <w:marLeft w:val="547"/>
          <w:marRight w:val="0"/>
          <w:marTop w:val="0"/>
          <w:marBottom w:val="0"/>
          <w:divBdr>
            <w:top w:val="none" w:sz="0" w:space="0" w:color="auto"/>
            <w:left w:val="none" w:sz="0" w:space="0" w:color="auto"/>
            <w:bottom w:val="none" w:sz="0" w:space="0" w:color="auto"/>
            <w:right w:val="none" w:sz="0" w:space="0" w:color="auto"/>
          </w:divBdr>
        </w:div>
        <w:div w:id="1613632801">
          <w:marLeft w:val="547"/>
          <w:marRight w:val="0"/>
          <w:marTop w:val="0"/>
          <w:marBottom w:val="0"/>
          <w:divBdr>
            <w:top w:val="none" w:sz="0" w:space="0" w:color="auto"/>
            <w:left w:val="none" w:sz="0" w:space="0" w:color="auto"/>
            <w:bottom w:val="none" w:sz="0" w:space="0" w:color="auto"/>
            <w:right w:val="none" w:sz="0" w:space="0" w:color="auto"/>
          </w:divBdr>
        </w:div>
        <w:div w:id="1162815051">
          <w:marLeft w:val="547"/>
          <w:marRight w:val="0"/>
          <w:marTop w:val="0"/>
          <w:marBottom w:val="0"/>
          <w:divBdr>
            <w:top w:val="none" w:sz="0" w:space="0" w:color="auto"/>
            <w:left w:val="none" w:sz="0" w:space="0" w:color="auto"/>
            <w:bottom w:val="none" w:sz="0" w:space="0" w:color="auto"/>
            <w:right w:val="none" w:sz="0" w:space="0" w:color="auto"/>
          </w:divBdr>
        </w:div>
      </w:divsChild>
    </w:div>
    <w:div w:id="1185048531">
      <w:bodyDiv w:val="1"/>
      <w:marLeft w:val="0"/>
      <w:marRight w:val="0"/>
      <w:marTop w:val="0"/>
      <w:marBottom w:val="0"/>
      <w:divBdr>
        <w:top w:val="none" w:sz="0" w:space="0" w:color="auto"/>
        <w:left w:val="none" w:sz="0" w:space="0" w:color="auto"/>
        <w:bottom w:val="none" w:sz="0" w:space="0" w:color="auto"/>
        <w:right w:val="none" w:sz="0" w:space="0" w:color="auto"/>
      </w:divBdr>
      <w:divsChild>
        <w:div w:id="572473522">
          <w:marLeft w:val="547"/>
          <w:marRight w:val="0"/>
          <w:marTop w:val="0"/>
          <w:marBottom w:val="0"/>
          <w:divBdr>
            <w:top w:val="none" w:sz="0" w:space="0" w:color="auto"/>
            <w:left w:val="none" w:sz="0" w:space="0" w:color="auto"/>
            <w:bottom w:val="none" w:sz="0" w:space="0" w:color="auto"/>
            <w:right w:val="none" w:sz="0" w:space="0" w:color="auto"/>
          </w:divBdr>
        </w:div>
        <w:div w:id="1393044286">
          <w:marLeft w:val="547"/>
          <w:marRight w:val="0"/>
          <w:marTop w:val="0"/>
          <w:marBottom w:val="0"/>
          <w:divBdr>
            <w:top w:val="none" w:sz="0" w:space="0" w:color="auto"/>
            <w:left w:val="none" w:sz="0" w:space="0" w:color="auto"/>
            <w:bottom w:val="none" w:sz="0" w:space="0" w:color="auto"/>
            <w:right w:val="none" w:sz="0" w:space="0" w:color="auto"/>
          </w:divBdr>
        </w:div>
        <w:div w:id="634871672">
          <w:marLeft w:val="547"/>
          <w:marRight w:val="0"/>
          <w:marTop w:val="0"/>
          <w:marBottom w:val="0"/>
          <w:divBdr>
            <w:top w:val="none" w:sz="0" w:space="0" w:color="auto"/>
            <w:left w:val="none" w:sz="0" w:space="0" w:color="auto"/>
            <w:bottom w:val="none" w:sz="0" w:space="0" w:color="auto"/>
            <w:right w:val="none" w:sz="0" w:space="0" w:color="auto"/>
          </w:divBdr>
        </w:div>
        <w:div w:id="2135363625">
          <w:marLeft w:val="547"/>
          <w:marRight w:val="0"/>
          <w:marTop w:val="0"/>
          <w:marBottom w:val="0"/>
          <w:divBdr>
            <w:top w:val="none" w:sz="0" w:space="0" w:color="auto"/>
            <w:left w:val="none" w:sz="0" w:space="0" w:color="auto"/>
            <w:bottom w:val="none" w:sz="0" w:space="0" w:color="auto"/>
            <w:right w:val="none" w:sz="0" w:space="0" w:color="auto"/>
          </w:divBdr>
        </w:div>
        <w:div w:id="1671835603">
          <w:marLeft w:val="547"/>
          <w:marRight w:val="0"/>
          <w:marTop w:val="0"/>
          <w:marBottom w:val="0"/>
          <w:divBdr>
            <w:top w:val="none" w:sz="0" w:space="0" w:color="auto"/>
            <w:left w:val="none" w:sz="0" w:space="0" w:color="auto"/>
            <w:bottom w:val="none" w:sz="0" w:space="0" w:color="auto"/>
            <w:right w:val="none" w:sz="0" w:space="0" w:color="auto"/>
          </w:divBdr>
        </w:div>
      </w:divsChild>
    </w:div>
    <w:div w:id="1272324314">
      <w:bodyDiv w:val="1"/>
      <w:marLeft w:val="0"/>
      <w:marRight w:val="0"/>
      <w:marTop w:val="0"/>
      <w:marBottom w:val="0"/>
      <w:divBdr>
        <w:top w:val="none" w:sz="0" w:space="0" w:color="auto"/>
        <w:left w:val="none" w:sz="0" w:space="0" w:color="auto"/>
        <w:bottom w:val="none" w:sz="0" w:space="0" w:color="auto"/>
        <w:right w:val="none" w:sz="0" w:space="0" w:color="auto"/>
      </w:divBdr>
    </w:div>
    <w:div w:id="1333870350">
      <w:bodyDiv w:val="1"/>
      <w:marLeft w:val="0"/>
      <w:marRight w:val="0"/>
      <w:marTop w:val="0"/>
      <w:marBottom w:val="0"/>
      <w:divBdr>
        <w:top w:val="none" w:sz="0" w:space="0" w:color="auto"/>
        <w:left w:val="none" w:sz="0" w:space="0" w:color="auto"/>
        <w:bottom w:val="none" w:sz="0" w:space="0" w:color="auto"/>
        <w:right w:val="none" w:sz="0" w:space="0" w:color="auto"/>
      </w:divBdr>
      <w:divsChild>
        <w:div w:id="91904892">
          <w:marLeft w:val="446"/>
          <w:marRight w:val="0"/>
          <w:marTop w:val="0"/>
          <w:marBottom w:val="0"/>
          <w:divBdr>
            <w:top w:val="none" w:sz="0" w:space="0" w:color="auto"/>
            <w:left w:val="none" w:sz="0" w:space="0" w:color="auto"/>
            <w:bottom w:val="none" w:sz="0" w:space="0" w:color="auto"/>
            <w:right w:val="none" w:sz="0" w:space="0" w:color="auto"/>
          </w:divBdr>
        </w:div>
      </w:divsChild>
    </w:div>
    <w:div w:id="1370489509">
      <w:bodyDiv w:val="1"/>
      <w:marLeft w:val="0"/>
      <w:marRight w:val="0"/>
      <w:marTop w:val="0"/>
      <w:marBottom w:val="0"/>
      <w:divBdr>
        <w:top w:val="none" w:sz="0" w:space="0" w:color="auto"/>
        <w:left w:val="none" w:sz="0" w:space="0" w:color="auto"/>
        <w:bottom w:val="none" w:sz="0" w:space="0" w:color="auto"/>
        <w:right w:val="none" w:sz="0" w:space="0" w:color="auto"/>
      </w:divBdr>
    </w:div>
    <w:div w:id="1546943010">
      <w:bodyDiv w:val="1"/>
      <w:marLeft w:val="0"/>
      <w:marRight w:val="0"/>
      <w:marTop w:val="0"/>
      <w:marBottom w:val="0"/>
      <w:divBdr>
        <w:top w:val="none" w:sz="0" w:space="0" w:color="auto"/>
        <w:left w:val="none" w:sz="0" w:space="0" w:color="auto"/>
        <w:bottom w:val="none" w:sz="0" w:space="0" w:color="auto"/>
        <w:right w:val="none" w:sz="0" w:space="0" w:color="auto"/>
      </w:divBdr>
    </w:div>
    <w:div w:id="1552880711">
      <w:bodyDiv w:val="1"/>
      <w:marLeft w:val="0"/>
      <w:marRight w:val="0"/>
      <w:marTop w:val="0"/>
      <w:marBottom w:val="0"/>
      <w:divBdr>
        <w:top w:val="none" w:sz="0" w:space="0" w:color="auto"/>
        <w:left w:val="none" w:sz="0" w:space="0" w:color="auto"/>
        <w:bottom w:val="none" w:sz="0" w:space="0" w:color="auto"/>
        <w:right w:val="none" w:sz="0" w:space="0" w:color="auto"/>
      </w:divBdr>
    </w:div>
    <w:div w:id="1886866418">
      <w:bodyDiv w:val="1"/>
      <w:marLeft w:val="0"/>
      <w:marRight w:val="0"/>
      <w:marTop w:val="0"/>
      <w:marBottom w:val="0"/>
      <w:divBdr>
        <w:top w:val="none" w:sz="0" w:space="0" w:color="auto"/>
        <w:left w:val="none" w:sz="0" w:space="0" w:color="auto"/>
        <w:bottom w:val="none" w:sz="0" w:space="0" w:color="auto"/>
        <w:right w:val="none" w:sz="0" w:space="0" w:color="auto"/>
      </w:divBdr>
      <w:divsChild>
        <w:div w:id="261305564">
          <w:marLeft w:val="446"/>
          <w:marRight w:val="0"/>
          <w:marTop w:val="0"/>
          <w:marBottom w:val="0"/>
          <w:divBdr>
            <w:top w:val="none" w:sz="0" w:space="0" w:color="auto"/>
            <w:left w:val="none" w:sz="0" w:space="0" w:color="auto"/>
            <w:bottom w:val="none" w:sz="0" w:space="0" w:color="auto"/>
            <w:right w:val="none" w:sz="0" w:space="0" w:color="auto"/>
          </w:divBdr>
        </w:div>
        <w:div w:id="1965574502">
          <w:marLeft w:val="1166"/>
          <w:marRight w:val="0"/>
          <w:marTop w:val="0"/>
          <w:marBottom w:val="0"/>
          <w:divBdr>
            <w:top w:val="none" w:sz="0" w:space="0" w:color="auto"/>
            <w:left w:val="none" w:sz="0" w:space="0" w:color="auto"/>
            <w:bottom w:val="none" w:sz="0" w:space="0" w:color="auto"/>
            <w:right w:val="none" w:sz="0" w:space="0" w:color="auto"/>
          </w:divBdr>
        </w:div>
        <w:div w:id="61417389">
          <w:marLeft w:val="1166"/>
          <w:marRight w:val="0"/>
          <w:marTop w:val="0"/>
          <w:marBottom w:val="0"/>
          <w:divBdr>
            <w:top w:val="none" w:sz="0" w:space="0" w:color="auto"/>
            <w:left w:val="none" w:sz="0" w:space="0" w:color="auto"/>
            <w:bottom w:val="none" w:sz="0" w:space="0" w:color="auto"/>
            <w:right w:val="none" w:sz="0" w:space="0" w:color="auto"/>
          </w:divBdr>
        </w:div>
        <w:div w:id="2132507724">
          <w:marLeft w:val="446"/>
          <w:marRight w:val="0"/>
          <w:marTop w:val="0"/>
          <w:marBottom w:val="0"/>
          <w:divBdr>
            <w:top w:val="none" w:sz="0" w:space="0" w:color="auto"/>
            <w:left w:val="none" w:sz="0" w:space="0" w:color="auto"/>
            <w:bottom w:val="none" w:sz="0" w:space="0" w:color="auto"/>
            <w:right w:val="none" w:sz="0" w:space="0" w:color="auto"/>
          </w:divBdr>
        </w:div>
        <w:div w:id="1905019488">
          <w:marLeft w:val="446"/>
          <w:marRight w:val="0"/>
          <w:marTop w:val="0"/>
          <w:marBottom w:val="0"/>
          <w:divBdr>
            <w:top w:val="none" w:sz="0" w:space="0" w:color="auto"/>
            <w:left w:val="none" w:sz="0" w:space="0" w:color="auto"/>
            <w:bottom w:val="none" w:sz="0" w:space="0" w:color="auto"/>
            <w:right w:val="none" w:sz="0" w:space="0" w:color="auto"/>
          </w:divBdr>
        </w:div>
      </w:divsChild>
    </w:div>
    <w:div w:id="1893423468">
      <w:bodyDiv w:val="1"/>
      <w:marLeft w:val="0"/>
      <w:marRight w:val="0"/>
      <w:marTop w:val="0"/>
      <w:marBottom w:val="0"/>
      <w:divBdr>
        <w:top w:val="none" w:sz="0" w:space="0" w:color="auto"/>
        <w:left w:val="none" w:sz="0" w:space="0" w:color="auto"/>
        <w:bottom w:val="none" w:sz="0" w:space="0" w:color="auto"/>
        <w:right w:val="none" w:sz="0" w:space="0" w:color="auto"/>
      </w:divBdr>
      <w:divsChild>
        <w:div w:id="151412408">
          <w:marLeft w:val="446"/>
          <w:marRight w:val="0"/>
          <w:marTop w:val="0"/>
          <w:marBottom w:val="0"/>
          <w:divBdr>
            <w:top w:val="none" w:sz="0" w:space="0" w:color="auto"/>
            <w:left w:val="none" w:sz="0" w:space="0" w:color="auto"/>
            <w:bottom w:val="none" w:sz="0" w:space="0" w:color="auto"/>
            <w:right w:val="none" w:sz="0" w:space="0" w:color="auto"/>
          </w:divBdr>
        </w:div>
        <w:div w:id="640577295">
          <w:marLeft w:val="1166"/>
          <w:marRight w:val="0"/>
          <w:marTop w:val="0"/>
          <w:marBottom w:val="0"/>
          <w:divBdr>
            <w:top w:val="none" w:sz="0" w:space="0" w:color="auto"/>
            <w:left w:val="none" w:sz="0" w:space="0" w:color="auto"/>
            <w:bottom w:val="none" w:sz="0" w:space="0" w:color="auto"/>
            <w:right w:val="none" w:sz="0" w:space="0" w:color="auto"/>
          </w:divBdr>
        </w:div>
        <w:div w:id="576093797">
          <w:marLeft w:val="1166"/>
          <w:marRight w:val="0"/>
          <w:marTop w:val="0"/>
          <w:marBottom w:val="0"/>
          <w:divBdr>
            <w:top w:val="none" w:sz="0" w:space="0" w:color="auto"/>
            <w:left w:val="none" w:sz="0" w:space="0" w:color="auto"/>
            <w:bottom w:val="none" w:sz="0" w:space="0" w:color="auto"/>
            <w:right w:val="none" w:sz="0" w:space="0" w:color="auto"/>
          </w:divBdr>
        </w:div>
        <w:div w:id="1926719418">
          <w:marLeft w:val="446"/>
          <w:marRight w:val="0"/>
          <w:marTop w:val="0"/>
          <w:marBottom w:val="0"/>
          <w:divBdr>
            <w:top w:val="none" w:sz="0" w:space="0" w:color="auto"/>
            <w:left w:val="none" w:sz="0" w:space="0" w:color="auto"/>
            <w:bottom w:val="none" w:sz="0" w:space="0" w:color="auto"/>
            <w:right w:val="none" w:sz="0" w:space="0" w:color="auto"/>
          </w:divBdr>
        </w:div>
      </w:divsChild>
    </w:div>
    <w:div w:id="197598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Zhengye Fu</dc:creator>
  <cp:keywords/>
  <dc:description/>
  <cp:lastModifiedBy>Zhengye Fu</cp:lastModifiedBy>
  <cp:revision>2</cp:revision>
  <dcterms:created xsi:type="dcterms:W3CDTF">2024-05-08T01:04:00Z</dcterms:created>
  <dcterms:modified xsi:type="dcterms:W3CDTF">2024-05-08T01:20:00Z</dcterms:modified>
</cp:coreProperties>
</file>