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592A" w14:textId="13BDF5E2" w:rsidR="00770FB2" w:rsidRPr="00535955" w:rsidRDefault="00770FB2" w:rsidP="00770FB2">
      <w:pPr>
        <w:ind w:left="440" w:hanging="440"/>
        <w:rPr>
          <w:rFonts w:ascii="宋体" w:eastAsia="宋体" w:hAnsi="宋体"/>
          <w:b/>
          <w:bCs/>
        </w:rPr>
      </w:pPr>
      <w:r w:rsidRPr="00535955">
        <w:rPr>
          <w:rFonts w:ascii="宋体" w:eastAsia="宋体" w:hAnsi="宋体" w:hint="eastAsia"/>
          <w:b/>
          <w:bCs/>
        </w:rPr>
        <w:t>2024/</w:t>
      </w:r>
      <w:r w:rsidR="00C02D57">
        <w:rPr>
          <w:rFonts w:ascii="宋体" w:eastAsia="宋体" w:hAnsi="宋体" w:hint="eastAsia"/>
          <w:b/>
          <w:bCs/>
        </w:rPr>
        <w:t>4</w:t>
      </w:r>
      <w:r w:rsidRPr="00535955">
        <w:rPr>
          <w:rFonts w:ascii="宋体" w:eastAsia="宋体" w:hAnsi="宋体" w:hint="eastAsia"/>
          <w:b/>
          <w:bCs/>
        </w:rPr>
        <w:t>/</w:t>
      </w:r>
      <w:r w:rsidR="00D94A68">
        <w:rPr>
          <w:rFonts w:ascii="宋体" w:eastAsia="宋体" w:hAnsi="宋体" w:hint="eastAsia"/>
          <w:b/>
          <w:bCs/>
        </w:rPr>
        <w:t>8</w:t>
      </w:r>
      <w:r w:rsidRPr="00535955">
        <w:rPr>
          <w:rFonts w:ascii="宋体" w:eastAsia="宋体" w:hAnsi="宋体" w:hint="eastAsia"/>
          <w:b/>
          <w:bCs/>
        </w:rPr>
        <w:t xml:space="preserve"> 课下思考与疑问 </w:t>
      </w:r>
    </w:p>
    <w:p w14:paraId="120584E4" w14:textId="77777777" w:rsidR="00770FB2" w:rsidRPr="00535955" w:rsidRDefault="00770FB2" w:rsidP="00770FB2">
      <w:pPr>
        <w:pBdr>
          <w:bottom w:val="single" w:sz="6" w:space="1" w:color="auto"/>
        </w:pBdr>
        <w:ind w:left="440" w:hanging="440"/>
        <w:rPr>
          <w:rFonts w:ascii="宋体" w:eastAsia="宋体" w:hAnsi="宋体"/>
          <w:b/>
          <w:bCs/>
        </w:rPr>
      </w:pPr>
      <w:r w:rsidRPr="00535955">
        <w:rPr>
          <w:rFonts w:ascii="宋体" w:eastAsia="宋体" w:hAnsi="宋体" w:hint="eastAsia"/>
          <w:b/>
          <w:bCs/>
        </w:rPr>
        <w:t>付政烨 2113203</w:t>
      </w:r>
    </w:p>
    <w:p w14:paraId="5E984E42" w14:textId="760F2F0B" w:rsidR="00770FB2" w:rsidRDefault="002C51A1" w:rsidP="00D94A68">
      <w:pPr>
        <w:jc w:val="left"/>
        <w:rPr>
          <w:rFonts w:ascii="宋体" w:eastAsia="宋体" w:hAnsi="宋体"/>
          <w:b/>
          <w:bCs/>
        </w:rPr>
      </w:pPr>
      <w:r>
        <w:rPr>
          <w:rFonts w:ascii="宋体" w:eastAsia="宋体" w:hAnsi="宋体" w:hint="eastAsia"/>
          <w:b/>
          <w:bCs/>
        </w:rPr>
        <w:t>【思考一】</w:t>
      </w:r>
    </w:p>
    <w:p w14:paraId="4A74F15C" w14:textId="77777777" w:rsidR="00D94A68" w:rsidRDefault="00D94A68" w:rsidP="00D94A68">
      <w:pPr>
        <w:ind w:firstLineChars="200" w:firstLine="420"/>
        <w:jc w:val="left"/>
        <w:rPr>
          <w:rFonts w:ascii="宋体" w:eastAsia="宋体" w:hAnsi="宋体"/>
        </w:rPr>
      </w:pPr>
      <w:r w:rsidRPr="00D94A68">
        <w:rPr>
          <w:rFonts w:ascii="宋体" w:eastAsia="宋体" w:hAnsi="宋体" w:hint="eastAsia"/>
        </w:rPr>
        <w:t>准确划分相关市场是监管实践中的一项基本而关键的任务。相关市场的定义不仅涉及到产品的范围，即可以互相替代的商品组成的市场（产品市场），还包括这些商品交易发生的地理区域（地理市场）。精确的市场定义对于理解市场结构、监管市场行为、保护消费者权益及促进公平竞争具有重要意义。</w:t>
      </w:r>
    </w:p>
    <w:p w14:paraId="3BA68123" w14:textId="77777777" w:rsidR="00D94A68" w:rsidRDefault="00D94A68" w:rsidP="00D94A68">
      <w:pPr>
        <w:ind w:firstLineChars="200" w:firstLine="422"/>
        <w:jc w:val="left"/>
        <w:rPr>
          <w:rFonts w:ascii="宋体" w:eastAsia="宋体" w:hAnsi="宋体"/>
        </w:rPr>
      </w:pPr>
      <w:r w:rsidRPr="00D94A68">
        <w:rPr>
          <w:rFonts w:ascii="宋体" w:eastAsia="宋体" w:hAnsi="宋体" w:hint="eastAsia"/>
          <w:b/>
          <w:bCs/>
          <w:highlight w:val="yellow"/>
        </w:rPr>
        <w:t>首先，市场的定义可以明确交易主体的范围，即确定哪些经营者在提供相应的商品或服务。</w:t>
      </w:r>
      <w:r w:rsidRPr="00D94A68">
        <w:rPr>
          <w:rFonts w:ascii="宋体" w:eastAsia="宋体" w:hAnsi="宋体" w:hint="eastAsia"/>
        </w:rPr>
        <w:t>这一点对于监管机构特别重要，因为它帮助确定市场上的主要经营者及其市场份额。例如，在一个被定义为具有少数供应商的市场中，这些供应商可能具有市场支配地位，从而更容易进行价格操控或其他反竞争行为。</w:t>
      </w:r>
      <w:r w:rsidRPr="00D94A68">
        <w:rPr>
          <w:rFonts w:ascii="宋体" w:eastAsia="宋体" w:hAnsi="宋体" w:hint="eastAsia"/>
          <w:b/>
          <w:bCs/>
          <w:highlight w:val="yellow"/>
        </w:rPr>
        <w:t>其次，通过分析商品的替代性，监管机构可以使用价格弹性等工具评估市场的竞争状况。</w:t>
      </w:r>
      <w:r w:rsidRPr="00D94A68">
        <w:rPr>
          <w:rFonts w:ascii="宋体" w:eastAsia="宋体" w:hAnsi="宋体" w:hint="eastAsia"/>
        </w:rPr>
        <w:t>价格弹性高表明消费者对价格变动敏感，容易转向替代品，这通常意味着市场竞争充分。反之，低价格弹性可能指向市场竞争不足，需要进一步的监管关注。</w:t>
      </w:r>
      <w:r w:rsidRPr="00D94A68">
        <w:rPr>
          <w:rFonts w:ascii="宋体" w:eastAsia="宋体" w:hAnsi="宋体" w:hint="eastAsia"/>
          <w:b/>
          <w:bCs/>
          <w:highlight w:val="yellow"/>
        </w:rPr>
        <w:t>第三，相关市场的界定有助于确定某些经营者是否具有市场支配地位。</w:t>
      </w:r>
      <w:r w:rsidRPr="00D94A68">
        <w:rPr>
          <w:rFonts w:ascii="宋体" w:eastAsia="宋体" w:hAnsi="宋体" w:hint="eastAsia"/>
        </w:rPr>
        <w:t>市场支配地位的企业可能会滥用其地位，例如通过设置壁垒阻止新竞争者进入市场或对下游买家施加不公平的交易条件。因此，精确的市场划定是监控和预防此类行为的前提。</w:t>
      </w:r>
      <w:r w:rsidRPr="00D94A68">
        <w:rPr>
          <w:rFonts w:ascii="宋体" w:eastAsia="宋体" w:hAnsi="宋体" w:hint="eastAsia"/>
          <w:b/>
          <w:bCs/>
          <w:highlight w:val="yellow"/>
        </w:rPr>
        <w:t>此外，从法律执行和司法判断的角度看，相关市场的定义是评估经营者行为合法性和合理性的基础。</w:t>
      </w:r>
      <w:r w:rsidRPr="00D94A68">
        <w:rPr>
          <w:rFonts w:ascii="宋体" w:eastAsia="宋体" w:hAnsi="宋体" w:hint="eastAsia"/>
        </w:rPr>
        <w:t>市场定义的准确性直接关系到是否能公正地评价经营者的市场行为。市场界定过窄可能会错误地将某些经营者标识为市场支配者，而过宽的界定可能导致监管机构无法有效识别和制裁市场滥用行为。</w:t>
      </w:r>
      <w:r w:rsidRPr="00D94A68">
        <w:rPr>
          <w:rFonts w:ascii="宋体" w:eastAsia="宋体" w:hAnsi="宋体" w:hint="eastAsia"/>
          <w:b/>
          <w:bCs/>
          <w:highlight w:val="yellow"/>
        </w:rPr>
        <w:t>最后，对经营者而言，了解自身在相关市场中的地位有助于更好地制定商业策略和应对潜在的监管风险。</w:t>
      </w:r>
      <w:r w:rsidRPr="00D94A68">
        <w:rPr>
          <w:rFonts w:ascii="宋体" w:eastAsia="宋体" w:hAnsi="宋体" w:hint="eastAsia"/>
        </w:rPr>
        <w:t>这不仅可以增强企业的市场竞争力，还能促使其在合法合</w:t>
      </w:r>
      <w:proofErr w:type="gramStart"/>
      <w:r w:rsidRPr="00D94A68">
        <w:rPr>
          <w:rFonts w:ascii="宋体" w:eastAsia="宋体" w:hAnsi="宋体" w:hint="eastAsia"/>
        </w:rPr>
        <w:t>规</w:t>
      </w:r>
      <w:proofErr w:type="gramEnd"/>
      <w:r w:rsidRPr="00D94A68">
        <w:rPr>
          <w:rFonts w:ascii="宋体" w:eastAsia="宋体" w:hAnsi="宋体" w:hint="eastAsia"/>
        </w:rPr>
        <w:t>的框架内进行运营。</w:t>
      </w:r>
    </w:p>
    <w:p w14:paraId="55D0E1FC" w14:textId="497A6134" w:rsidR="00FE6CCB" w:rsidRDefault="00D94A68" w:rsidP="00FE6CCB">
      <w:pPr>
        <w:pBdr>
          <w:bottom w:val="single" w:sz="6" w:space="1" w:color="auto"/>
        </w:pBdr>
        <w:ind w:firstLineChars="200" w:firstLine="420"/>
        <w:jc w:val="left"/>
        <w:rPr>
          <w:rFonts w:ascii="宋体" w:eastAsia="宋体" w:hAnsi="宋体" w:hint="eastAsia"/>
        </w:rPr>
      </w:pPr>
      <w:r w:rsidRPr="00D94A68">
        <w:rPr>
          <w:rFonts w:ascii="宋体" w:eastAsia="宋体" w:hAnsi="宋体" w:hint="eastAsia"/>
        </w:rPr>
        <w:t>相关市场的划定是经济法中一个复杂但至关重要的环节。它不仅影响法律和监管的实施效果，而且对维护健康竞争环境和保护消费者权益起到了核心作用。因此，监管机构和法律实践者需要综合考虑各种因素，运用科学的方法来准确界定市场，以确保经济法规能够有效地应对各种市场行为。</w:t>
      </w:r>
    </w:p>
    <w:p w14:paraId="529FE741" w14:textId="798E91C0" w:rsidR="00E45980" w:rsidRDefault="009B341A" w:rsidP="00D94A68">
      <w:pPr>
        <w:rPr>
          <w:rFonts w:ascii="宋体" w:eastAsia="宋体" w:hAnsi="宋体" w:cs="Segoe UI"/>
          <w:shd w:val="clear" w:color="auto" w:fill="FFFFFF"/>
        </w:rPr>
      </w:pPr>
      <w:r w:rsidRPr="009B341A">
        <w:rPr>
          <w:rFonts w:ascii="宋体" w:eastAsia="宋体" w:hAnsi="宋体" w:cs="Segoe UI" w:hint="eastAsia"/>
          <w:b/>
          <w:bCs/>
          <w:shd w:val="clear" w:color="auto" w:fill="FFFFFF"/>
        </w:rPr>
        <w:t>疑问：</w:t>
      </w:r>
    </w:p>
    <w:p w14:paraId="2EB8922D" w14:textId="59B017D3" w:rsidR="008F63D8" w:rsidRDefault="00D94A68" w:rsidP="00D94A68">
      <w:pPr>
        <w:pStyle w:val="a3"/>
        <w:numPr>
          <w:ilvl w:val="0"/>
          <w:numId w:val="6"/>
        </w:numPr>
        <w:ind w:firstLineChars="0"/>
        <w:rPr>
          <w:rFonts w:ascii="宋体" w:eastAsia="宋体" w:hAnsi="宋体" w:cs="Segoe UI"/>
          <w:b/>
          <w:bCs/>
          <w:shd w:val="clear" w:color="auto" w:fill="FFFFFF"/>
        </w:rPr>
      </w:pPr>
      <w:r w:rsidRPr="00D94A68">
        <w:rPr>
          <w:rFonts w:ascii="宋体" w:eastAsia="宋体" w:hAnsi="宋体" w:cs="Segoe UI" w:hint="eastAsia"/>
          <w:b/>
          <w:bCs/>
          <w:shd w:val="clear" w:color="auto" w:fill="FFFFFF"/>
        </w:rPr>
        <w:t>随着数字经济的迅速发展，传统的市场界定方法是否还适用于</w:t>
      </w:r>
      <w:r w:rsidRPr="006237FB">
        <w:rPr>
          <w:rFonts w:ascii="宋体" w:eastAsia="宋体" w:hAnsi="宋体" w:cs="Segoe UI" w:hint="eastAsia"/>
          <w:b/>
          <w:bCs/>
          <w:highlight w:val="yellow"/>
          <w:shd w:val="clear" w:color="auto" w:fill="FFFFFF"/>
        </w:rPr>
        <w:t>数字平台和在线服务</w:t>
      </w:r>
      <w:r w:rsidRPr="00D94A68">
        <w:rPr>
          <w:rFonts w:ascii="宋体" w:eastAsia="宋体" w:hAnsi="宋体" w:cs="Segoe UI" w:hint="eastAsia"/>
          <w:b/>
          <w:bCs/>
          <w:shd w:val="clear" w:color="auto" w:fill="FFFFFF"/>
        </w:rPr>
        <w:t>？在没有明显地理限制的情况下，如何有效界定数字产品和服务的市场？</w:t>
      </w:r>
    </w:p>
    <w:p w14:paraId="4851E5CC" w14:textId="77777777" w:rsidR="00D94A68" w:rsidRPr="00D94A68" w:rsidRDefault="00D94A68" w:rsidP="00D94A68">
      <w:pPr>
        <w:pStyle w:val="a3"/>
        <w:ind w:left="440" w:firstLineChars="0" w:firstLine="0"/>
        <w:rPr>
          <w:rFonts w:ascii="宋体" w:eastAsia="宋体" w:hAnsi="宋体" w:cs="Segoe UI" w:hint="eastAsia"/>
          <w:b/>
          <w:bCs/>
          <w:shd w:val="clear" w:color="auto" w:fill="FFFFFF"/>
        </w:rPr>
      </w:pPr>
    </w:p>
    <w:p w14:paraId="29A7CDB3" w14:textId="163AF030" w:rsidR="00D94A68" w:rsidRPr="00D94A68" w:rsidRDefault="00D94A68" w:rsidP="00D94A68">
      <w:pPr>
        <w:pStyle w:val="a3"/>
        <w:numPr>
          <w:ilvl w:val="0"/>
          <w:numId w:val="6"/>
        </w:numPr>
        <w:ind w:firstLineChars="0"/>
        <w:rPr>
          <w:rFonts w:ascii="宋体" w:eastAsia="宋体" w:hAnsi="宋体" w:cs="Segoe UI" w:hint="eastAsia"/>
          <w:b/>
          <w:bCs/>
          <w:shd w:val="clear" w:color="auto" w:fill="FFFFFF"/>
        </w:rPr>
      </w:pPr>
      <w:r w:rsidRPr="00D94A68">
        <w:rPr>
          <w:rFonts w:ascii="宋体" w:eastAsia="宋体" w:hAnsi="宋体" w:cs="Segoe UI" w:hint="eastAsia"/>
          <w:b/>
          <w:bCs/>
          <w:shd w:val="clear" w:color="auto" w:fill="FFFFFF"/>
        </w:rPr>
        <w:t>全球化和电子商务如何影响商品和服务的地理市场定义？在</w:t>
      </w:r>
      <w:r w:rsidRPr="006237FB">
        <w:rPr>
          <w:rFonts w:ascii="宋体" w:eastAsia="宋体" w:hAnsi="宋体" w:cs="Segoe UI" w:hint="eastAsia"/>
          <w:b/>
          <w:bCs/>
          <w:highlight w:val="yellow"/>
          <w:shd w:val="clear" w:color="auto" w:fill="FFFFFF"/>
        </w:rPr>
        <w:t>跨境电</w:t>
      </w:r>
      <w:proofErr w:type="gramStart"/>
      <w:r w:rsidRPr="006237FB">
        <w:rPr>
          <w:rFonts w:ascii="宋体" w:eastAsia="宋体" w:hAnsi="宋体" w:cs="Segoe UI" w:hint="eastAsia"/>
          <w:b/>
          <w:bCs/>
          <w:highlight w:val="yellow"/>
          <w:shd w:val="clear" w:color="auto" w:fill="FFFFFF"/>
        </w:rPr>
        <w:t>商</w:t>
      </w:r>
      <w:r w:rsidRPr="00D94A68">
        <w:rPr>
          <w:rFonts w:ascii="宋体" w:eastAsia="宋体" w:hAnsi="宋体" w:cs="Segoe UI" w:hint="eastAsia"/>
          <w:b/>
          <w:bCs/>
          <w:shd w:val="clear" w:color="auto" w:fill="FFFFFF"/>
        </w:rPr>
        <w:t>快速</w:t>
      </w:r>
      <w:proofErr w:type="gramEnd"/>
      <w:r w:rsidRPr="00D94A68">
        <w:rPr>
          <w:rFonts w:ascii="宋体" w:eastAsia="宋体" w:hAnsi="宋体" w:cs="Segoe UI" w:hint="eastAsia"/>
          <w:b/>
          <w:bCs/>
          <w:shd w:val="clear" w:color="auto" w:fill="FFFFFF"/>
        </w:rPr>
        <w:t>发展的背景下，如何合理划分市场，以监管在多</w:t>
      </w:r>
      <w:r w:rsidRPr="006237FB">
        <w:rPr>
          <w:rFonts w:ascii="宋体" w:eastAsia="宋体" w:hAnsi="宋体" w:cs="Segoe UI" w:hint="eastAsia"/>
          <w:b/>
          <w:bCs/>
          <w:highlight w:val="yellow"/>
          <w:shd w:val="clear" w:color="auto" w:fill="FFFFFF"/>
        </w:rPr>
        <w:t>个国家或地区</w:t>
      </w:r>
      <w:r w:rsidRPr="00D94A68">
        <w:rPr>
          <w:rFonts w:ascii="宋体" w:eastAsia="宋体" w:hAnsi="宋体" w:cs="Segoe UI" w:hint="eastAsia"/>
          <w:b/>
          <w:bCs/>
          <w:shd w:val="clear" w:color="auto" w:fill="FFFFFF"/>
        </w:rPr>
        <w:t>操作的企业？</w:t>
      </w:r>
    </w:p>
    <w:sectPr w:rsidR="00D94A68" w:rsidRPr="00D94A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93BD3" w14:textId="77777777" w:rsidR="00AE4EDD" w:rsidRDefault="00AE4EDD" w:rsidP="005E61A7">
      <w:r>
        <w:separator/>
      </w:r>
    </w:p>
  </w:endnote>
  <w:endnote w:type="continuationSeparator" w:id="0">
    <w:p w14:paraId="29A44885" w14:textId="77777777" w:rsidR="00AE4EDD" w:rsidRDefault="00AE4EDD" w:rsidP="005E6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96997" w14:textId="77777777" w:rsidR="00AE4EDD" w:rsidRDefault="00AE4EDD" w:rsidP="005E61A7">
      <w:r>
        <w:separator/>
      </w:r>
    </w:p>
  </w:footnote>
  <w:footnote w:type="continuationSeparator" w:id="0">
    <w:p w14:paraId="335CC90A" w14:textId="77777777" w:rsidR="00AE4EDD" w:rsidRDefault="00AE4EDD" w:rsidP="005E6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233DA"/>
    <w:multiLevelType w:val="hybridMultilevel"/>
    <w:tmpl w:val="C1463A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868450E"/>
    <w:multiLevelType w:val="hybridMultilevel"/>
    <w:tmpl w:val="CC6C067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CAD510E"/>
    <w:multiLevelType w:val="hybridMultilevel"/>
    <w:tmpl w:val="8EC473DC"/>
    <w:lvl w:ilvl="0" w:tplc="4D1C902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50859BD"/>
    <w:multiLevelType w:val="hybridMultilevel"/>
    <w:tmpl w:val="CEA8B5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C1C646B"/>
    <w:multiLevelType w:val="hybridMultilevel"/>
    <w:tmpl w:val="771861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38E4F2C"/>
    <w:multiLevelType w:val="hybridMultilevel"/>
    <w:tmpl w:val="1D8CF060"/>
    <w:lvl w:ilvl="0" w:tplc="C0527E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80927642">
    <w:abstractNumId w:val="1"/>
  </w:num>
  <w:num w:numId="2" w16cid:durableId="506946347">
    <w:abstractNumId w:val="2"/>
  </w:num>
  <w:num w:numId="3" w16cid:durableId="420417725">
    <w:abstractNumId w:val="5"/>
  </w:num>
  <w:num w:numId="4" w16cid:durableId="1130787749">
    <w:abstractNumId w:val="3"/>
  </w:num>
  <w:num w:numId="5" w16cid:durableId="1192263398">
    <w:abstractNumId w:val="0"/>
  </w:num>
  <w:num w:numId="6" w16cid:durableId="13712235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72"/>
    <w:rsid w:val="000115C5"/>
    <w:rsid w:val="00054A60"/>
    <w:rsid w:val="000B4089"/>
    <w:rsid w:val="000C00ED"/>
    <w:rsid w:val="00106C7C"/>
    <w:rsid w:val="001F5757"/>
    <w:rsid w:val="00280841"/>
    <w:rsid w:val="00287ED0"/>
    <w:rsid w:val="002C51A1"/>
    <w:rsid w:val="003256EA"/>
    <w:rsid w:val="00341974"/>
    <w:rsid w:val="003922D6"/>
    <w:rsid w:val="003C59B5"/>
    <w:rsid w:val="003D4864"/>
    <w:rsid w:val="00486FFC"/>
    <w:rsid w:val="00535955"/>
    <w:rsid w:val="00592C01"/>
    <w:rsid w:val="005C4A09"/>
    <w:rsid w:val="005D3B72"/>
    <w:rsid w:val="005E61A7"/>
    <w:rsid w:val="006045A2"/>
    <w:rsid w:val="006237FB"/>
    <w:rsid w:val="00632021"/>
    <w:rsid w:val="00635DDC"/>
    <w:rsid w:val="00684202"/>
    <w:rsid w:val="006B065F"/>
    <w:rsid w:val="006D636F"/>
    <w:rsid w:val="0073488D"/>
    <w:rsid w:val="007457D1"/>
    <w:rsid w:val="00770FB2"/>
    <w:rsid w:val="007B22A1"/>
    <w:rsid w:val="008617DC"/>
    <w:rsid w:val="00873870"/>
    <w:rsid w:val="008B77A6"/>
    <w:rsid w:val="008E5D25"/>
    <w:rsid w:val="008F63D8"/>
    <w:rsid w:val="00900DA4"/>
    <w:rsid w:val="009029FC"/>
    <w:rsid w:val="009B341A"/>
    <w:rsid w:val="009D3526"/>
    <w:rsid w:val="00AE4EDD"/>
    <w:rsid w:val="00BD4215"/>
    <w:rsid w:val="00C02D57"/>
    <w:rsid w:val="00C15078"/>
    <w:rsid w:val="00C67ED7"/>
    <w:rsid w:val="00D33CF2"/>
    <w:rsid w:val="00D4732E"/>
    <w:rsid w:val="00D94A68"/>
    <w:rsid w:val="00DC153E"/>
    <w:rsid w:val="00DE1EBF"/>
    <w:rsid w:val="00DF40F9"/>
    <w:rsid w:val="00E45980"/>
    <w:rsid w:val="00EA20C2"/>
    <w:rsid w:val="00F40109"/>
    <w:rsid w:val="00F5012A"/>
    <w:rsid w:val="00F94E3A"/>
    <w:rsid w:val="00FE6CCB"/>
    <w:rsid w:val="00FF6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A99A1"/>
  <w15:chartTrackingRefBased/>
  <w15:docId w15:val="{CD7D6AC2-B81F-4F64-8A52-19DEBF92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3B72"/>
    <w:pPr>
      <w:ind w:firstLineChars="200" w:firstLine="420"/>
    </w:pPr>
  </w:style>
  <w:style w:type="paragraph" w:styleId="a4">
    <w:name w:val="footnote text"/>
    <w:basedOn w:val="a"/>
    <w:link w:val="a5"/>
    <w:uiPriority w:val="99"/>
    <w:semiHidden/>
    <w:unhideWhenUsed/>
    <w:rsid w:val="005E61A7"/>
    <w:pPr>
      <w:snapToGrid w:val="0"/>
      <w:jc w:val="left"/>
    </w:pPr>
    <w:rPr>
      <w:sz w:val="18"/>
      <w:szCs w:val="18"/>
    </w:rPr>
  </w:style>
  <w:style w:type="character" w:customStyle="1" w:styleId="a5">
    <w:name w:val="脚注文本 字符"/>
    <w:basedOn w:val="a0"/>
    <w:link w:val="a4"/>
    <w:uiPriority w:val="99"/>
    <w:semiHidden/>
    <w:rsid w:val="005E61A7"/>
    <w:rPr>
      <w:sz w:val="18"/>
      <w:szCs w:val="18"/>
    </w:rPr>
  </w:style>
  <w:style w:type="character" w:styleId="a6">
    <w:name w:val="footnote reference"/>
    <w:basedOn w:val="a0"/>
    <w:uiPriority w:val="99"/>
    <w:semiHidden/>
    <w:unhideWhenUsed/>
    <w:rsid w:val="005E61A7"/>
    <w:rPr>
      <w:vertAlign w:val="superscript"/>
    </w:rPr>
  </w:style>
  <w:style w:type="paragraph" w:styleId="a7">
    <w:name w:val="header"/>
    <w:basedOn w:val="a"/>
    <w:link w:val="a8"/>
    <w:uiPriority w:val="99"/>
    <w:unhideWhenUsed/>
    <w:rsid w:val="00C02D57"/>
    <w:pPr>
      <w:tabs>
        <w:tab w:val="center" w:pos="4153"/>
        <w:tab w:val="right" w:pos="8306"/>
      </w:tabs>
      <w:snapToGrid w:val="0"/>
      <w:jc w:val="center"/>
    </w:pPr>
    <w:rPr>
      <w:sz w:val="18"/>
      <w:szCs w:val="18"/>
    </w:rPr>
  </w:style>
  <w:style w:type="character" w:customStyle="1" w:styleId="a8">
    <w:name w:val="页眉 字符"/>
    <w:basedOn w:val="a0"/>
    <w:link w:val="a7"/>
    <w:uiPriority w:val="99"/>
    <w:rsid w:val="00C02D57"/>
    <w:rPr>
      <w:sz w:val="18"/>
      <w:szCs w:val="18"/>
    </w:rPr>
  </w:style>
  <w:style w:type="paragraph" w:styleId="a9">
    <w:name w:val="footer"/>
    <w:basedOn w:val="a"/>
    <w:link w:val="aa"/>
    <w:uiPriority w:val="99"/>
    <w:unhideWhenUsed/>
    <w:rsid w:val="00C02D57"/>
    <w:pPr>
      <w:tabs>
        <w:tab w:val="center" w:pos="4153"/>
        <w:tab w:val="right" w:pos="8306"/>
      </w:tabs>
      <w:snapToGrid w:val="0"/>
      <w:jc w:val="left"/>
    </w:pPr>
    <w:rPr>
      <w:sz w:val="18"/>
      <w:szCs w:val="18"/>
    </w:rPr>
  </w:style>
  <w:style w:type="character" w:customStyle="1" w:styleId="aa">
    <w:name w:val="页脚 字符"/>
    <w:basedOn w:val="a0"/>
    <w:link w:val="a9"/>
    <w:uiPriority w:val="99"/>
    <w:rsid w:val="00C02D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7283">
      <w:bodyDiv w:val="1"/>
      <w:marLeft w:val="0"/>
      <w:marRight w:val="0"/>
      <w:marTop w:val="0"/>
      <w:marBottom w:val="0"/>
      <w:divBdr>
        <w:top w:val="none" w:sz="0" w:space="0" w:color="auto"/>
        <w:left w:val="none" w:sz="0" w:space="0" w:color="auto"/>
        <w:bottom w:val="none" w:sz="0" w:space="0" w:color="auto"/>
        <w:right w:val="none" w:sz="0" w:space="0" w:color="auto"/>
      </w:divBdr>
    </w:div>
    <w:div w:id="662246545">
      <w:bodyDiv w:val="1"/>
      <w:marLeft w:val="0"/>
      <w:marRight w:val="0"/>
      <w:marTop w:val="0"/>
      <w:marBottom w:val="0"/>
      <w:divBdr>
        <w:top w:val="none" w:sz="0" w:space="0" w:color="auto"/>
        <w:left w:val="none" w:sz="0" w:space="0" w:color="auto"/>
        <w:bottom w:val="none" w:sz="0" w:space="0" w:color="auto"/>
        <w:right w:val="none" w:sz="0" w:space="0" w:color="auto"/>
      </w:divBdr>
    </w:div>
    <w:div w:id="1389643777">
      <w:bodyDiv w:val="1"/>
      <w:marLeft w:val="0"/>
      <w:marRight w:val="0"/>
      <w:marTop w:val="0"/>
      <w:marBottom w:val="0"/>
      <w:divBdr>
        <w:top w:val="none" w:sz="0" w:space="0" w:color="auto"/>
        <w:left w:val="none" w:sz="0" w:space="0" w:color="auto"/>
        <w:bottom w:val="none" w:sz="0" w:space="0" w:color="auto"/>
        <w:right w:val="none" w:sz="0" w:space="0" w:color="auto"/>
      </w:divBdr>
    </w:div>
    <w:div w:id="1402020958">
      <w:bodyDiv w:val="1"/>
      <w:marLeft w:val="0"/>
      <w:marRight w:val="0"/>
      <w:marTop w:val="0"/>
      <w:marBottom w:val="0"/>
      <w:divBdr>
        <w:top w:val="none" w:sz="0" w:space="0" w:color="auto"/>
        <w:left w:val="none" w:sz="0" w:space="0" w:color="auto"/>
        <w:bottom w:val="none" w:sz="0" w:space="0" w:color="auto"/>
        <w:right w:val="none" w:sz="0" w:space="0" w:color="auto"/>
      </w:divBdr>
    </w:div>
    <w:div w:id="1515876161">
      <w:bodyDiv w:val="1"/>
      <w:marLeft w:val="0"/>
      <w:marRight w:val="0"/>
      <w:marTop w:val="0"/>
      <w:marBottom w:val="0"/>
      <w:divBdr>
        <w:top w:val="none" w:sz="0" w:space="0" w:color="auto"/>
        <w:left w:val="none" w:sz="0" w:space="0" w:color="auto"/>
        <w:bottom w:val="none" w:sz="0" w:space="0" w:color="auto"/>
        <w:right w:val="none" w:sz="0" w:space="0" w:color="auto"/>
      </w:divBdr>
    </w:div>
    <w:div w:id="169561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43363-EF28-461E-B9AE-D9F472738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Zhengye Fu</dc:creator>
  <cp:keywords/>
  <dc:description/>
  <cp:lastModifiedBy>Zhengye Fu</cp:lastModifiedBy>
  <cp:revision>38</cp:revision>
  <dcterms:created xsi:type="dcterms:W3CDTF">2024-03-05T06:32:00Z</dcterms:created>
  <dcterms:modified xsi:type="dcterms:W3CDTF">2024-04-15T05:26:00Z</dcterms:modified>
</cp:coreProperties>
</file>