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0AB9D">
      <w:pPr>
        <w:spacing w:line="240" w:lineRule="auto"/>
        <w:ind w:firstLine="880"/>
        <w:jc w:val="center"/>
        <w:rPr>
          <w:rFonts w:hint="eastAsia" w:ascii="黑体" w:hAnsi="黑体" w:eastAsia="黑体" w:cs="黑体"/>
          <w:sz w:val="44"/>
          <w:szCs w:val="44"/>
        </w:rPr>
      </w:pPr>
    </w:p>
    <w:p w14:paraId="74446CD7">
      <w:pPr>
        <w:spacing w:line="240" w:lineRule="auto"/>
        <w:ind w:firstLine="880"/>
        <w:jc w:val="center"/>
        <w:rPr>
          <w:rFonts w:hint="eastAsia" w:ascii="黑体" w:hAnsi="黑体" w:eastAsia="黑体" w:cs="黑体"/>
          <w:sz w:val="44"/>
          <w:szCs w:val="44"/>
        </w:rPr>
      </w:pPr>
    </w:p>
    <w:p w14:paraId="001066E6">
      <w:pPr>
        <w:spacing w:line="240" w:lineRule="auto"/>
        <w:ind w:firstLine="880"/>
        <w:jc w:val="center"/>
        <w:rPr>
          <w:rFonts w:hint="eastAsia" w:ascii="黑体" w:hAnsi="黑体" w:eastAsia="黑体" w:cs="黑体"/>
          <w:sz w:val="44"/>
          <w:szCs w:val="44"/>
        </w:rPr>
      </w:pPr>
    </w:p>
    <w:p w14:paraId="10484386">
      <w:pPr>
        <w:spacing w:line="240" w:lineRule="auto"/>
        <w:ind w:firstLine="0" w:firstLineChars="0"/>
        <w:jc w:val="center"/>
        <w:rPr>
          <w:rFonts w:hint="eastAsia" w:ascii="黑体" w:hAnsi="黑体" w:eastAsia="黑体" w:cs="黑体"/>
          <w:sz w:val="44"/>
          <w:szCs w:val="44"/>
        </w:rPr>
      </w:pPr>
      <w:r>
        <w:rPr>
          <w:rFonts w:hint="eastAsia" w:ascii="黑体" w:hAnsi="黑体" w:eastAsia="黑体" w:cs="黑体"/>
          <w:sz w:val="44"/>
          <w:szCs w:val="44"/>
        </w:rPr>
        <w:t>2026年第八届</w:t>
      </w:r>
    </w:p>
    <w:p w14:paraId="3F532779">
      <w:pPr>
        <w:spacing w:line="240" w:lineRule="auto"/>
        <w:ind w:firstLine="0" w:firstLineChars="0"/>
        <w:jc w:val="center"/>
        <w:rPr>
          <w:rFonts w:hint="eastAsia" w:ascii="黑体" w:hAnsi="黑体" w:eastAsia="黑体" w:cs="黑体"/>
          <w:sz w:val="44"/>
          <w:szCs w:val="44"/>
        </w:rPr>
      </w:pPr>
      <w:r>
        <w:rPr>
          <w:rFonts w:hint="eastAsia" w:ascii="黑体" w:hAnsi="黑体" w:eastAsia="黑体" w:cs="黑体"/>
          <w:sz w:val="44"/>
          <w:szCs w:val="44"/>
        </w:rPr>
        <w:t>全球校园人工智能算法精英大赛</w:t>
      </w:r>
    </w:p>
    <w:p w14:paraId="741E3280">
      <w:pPr>
        <w:spacing w:line="240" w:lineRule="auto"/>
        <w:ind w:firstLine="0" w:firstLineChars="0"/>
        <w:rPr>
          <w:rFonts w:hint="eastAsia" w:ascii="黑体" w:hAnsi="黑体" w:eastAsia="黑体" w:cs="黑体"/>
          <w:sz w:val="44"/>
          <w:szCs w:val="44"/>
        </w:rPr>
      </w:pPr>
    </w:p>
    <w:p w14:paraId="4584558E">
      <w:pPr>
        <w:spacing w:line="240" w:lineRule="auto"/>
        <w:ind w:firstLine="0" w:firstLineChars="0"/>
        <w:jc w:val="center"/>
        <w:rPr>
          <w:rFonts w:hint="eastAsia" w:ascii="黑体" w:hAnsi="黑体" w:eastAsia="黑体" w:cs="黑体"/>
          <w:sz w:val="40"/>
          <w:szCs w:val="40"/>
        </w:rPr>
      </w:pPr>
      <w:r>
        <w:rPr>
          <w:rFonts w:hint="eastAsia" w:ascii="黑体" w:hAnsi="黑体" w:eastAsia="黑体" w:cs="黑体"/>
          <w:sz w:val="40"/>
          <w:szCs w:val="40"/>
        </w:rPr>
        <w:t>算法创新赛</w:t>
      </w:r>
    </w:p>
    <w:p w14:paraId="00D30893">
      <w:pPr>
        <w:spacing w:line="240" w:lineRule="auto"/>
        <w:ind w:firstLine="0" w:firstLineChars="0"/>
        <w:jc w:val="center"/>
        <w:rPr>
          <w:rFonts w:hint="eastAsia" w:ascii="黑体" w:hAnsi="黑体" w:eastAsia="黑体" w:cs="黑体"/>
          <w:sz w:val="36"/>
          <w:szCs w:val="36"/>
        </w:rPr>
      </w:pPr>
      <w:r>
        <w:rPr>
          <w:rFonts w:hint="eastAsia" w:ascii="黑体" w:hAnsi="黑体" w:eastAsia="黑体" w:cs="黑体"/>
          <w:sz w:val="36"/>
          <w:szCs w:val="36"/>
        </w:rPr>
        <w:t>智慧气象</w:t>
      </w:r>
    </w:p>
    <w:p w14:paraId="3AFC96AA">
      <w:pPr>
        <w:spacing w:line="240" w:lineRule="auto"/>
        <w:ind w:firstLine="0" w:firstLineChars="0"/>
        <w:jc w:val="center"/>
        <w:rPr>
          <w:rFonts w:hint="eastAsia" w:ascii="黑体" w:hAnsi="黑体" w:eastAsia="黑体" w:cs="黑体"/>
          <w:sz w:val="44"/>
          <w:szCs w:val="44"/>
        </w:rPr>
      </w:pPr>
      <w:r>
        <w:rPr>
          <w:rFonts w:hint="eastAsia" w:ascii="黑体" w:hAnsi="黑体" w:eastAsia="黑体" w:cs="黑体"/>
          <w:sz w:val="40"/>
          <w:szCs w:val="40"/>
        </w:rPr>
        <w:t>技术报告</w:t>
      </w:r>
    </w:p>
    <w:p w14:paraId="072CD87F">
      <w:pPr>
        <w:spacing w:line="240" w:lineRule="auto"/>
        <w:ind w:firstLine="880"/>
        <w:rPr>
          <w:rFonts w:hint="eastAsia" w:ascii="黑体" w:hAnsi="黑体" w:eastAsia="黑体" w:cs="黑体"/>
          <w:sz w:val="44"/>
          <w:szCs w:val="44"/>
        </w:rPr>
      </w:pPr>
    </w:p>
    <w:p w14:paraId="5E7A2BD2">
      <w:pPr>
        <w:spacing w:line="240" w:lineRule="auto"/>
        <w:ind w:firstLine="2320" w:firstLineChars="725"/>
        <w:rPr>
          <w:rFonts w:hint="eastAsia" w:ascii="仿宋" w:hAnsi="仿宋" w:eastAsia="仿宋" w:cs="仿宋"/>
          <w:sz w:val="32"/>
          <w:szCs w:val="32"/>
          <w:u w:val="single"/>
        </w:rPr>
      </w:pPr>
      <w:r>
        <w:rPr>
          <w:rFonts w:hint="eastAsia" w:ascii="仿宋" w:hAnsi="仿宋" w:eastAsia="仿宋" w:cs="仿宋"/>
          <w:sz w:val="32"/>
          <w:szCs w:val="32"/>
        </w:rPr>
        <w:t>团队名称：</w:t>
      </w:r>
      <w:r>
        <w:rPr>
          <w:rFonts w:hint="eastAsia" w:ascii="仿宋" w:hAnsi="仿宋" w:eastAsia="仿宋" w:cs="仿宋"/>
          <w:sz w:val="32"/>
          <w:szCs w:val="32"/>
          <w:u w:val="single"/>
        </w:rPr>
        <w:t xml:space="preserve">             </w:t>
      </w:r>
    </w:p>
    <w:p w14:paraId="0FEFED29">
      <w:pPr>
        <w:spacing w:line="240" w:lineRule="auto"/>
        <w:ind w:firstLine="2320" w:firstLineChars="725"/>
        <w:rPr>
          <w:rFonts w:hint="eastAsia" w:ascii="仿宋" w:hAnsi="仿宋" w:eastAsia="仿宋" w:cs="仿宋"/>
          <w:sz w:val="32"/>
          <w:szCs w:val="32"/>
          <w:u w:val="single"/>
        </w:rPr>
      </w:pPr>
      <w:r>
        <w:rPr>
          <w:rFonts w:hint="eastAsia" w:ascii="仿宋" w:hAnsi="仿宋" w:eastAsia="仿宋" w:cs="仿宋"/>
          <w:sz w:val="32"/>
          <w:szCs w:val="32"/>
        </w:rPr>
        <w:t>参赛编号</w:t>
      </w:r>
      <w:r>
        <w:rPr>
          <w:rFonts w:hint="eastAsia" w:ascii="仿宋" w:hAnsi="仿宋" w:cs="仿宋"/>
          <w:sz w:val="32"/>
          <w:szCs w:val="32"/>
        </w:rPr>
        <w:t>：</w:t>
      </w:r>
      <w:r>
        <w:rPr>
          <w:rFonts w:hint="eastAsia" w:ascii="仿宋" w:hAnsi="仿宋" w:cs="仿宋"/>
          <w:sz w:val="32"/>
          <w:szCs w:val="32"/>
          <w:u w:val="single"/>
        </w:rPr>
        <w:t xml:space="preserve">AIC-2026-    </w:t>
      </w:r>
    </w:p>
    <w:p w14:paraId="0269F785">
      <w:pPr>
        <w:spacing w:line="240" w:lineRule="auto"/>
        <w:ind w:firstLine="2320" w:firstLineChars="725"/>
        <w:rPr>
          <w:rFonts w:hint="eastAsia" w:ascii="黑体" w:hAnsi="黑体" w:eastAsia="黑体" w:cs="黑体"/>
          <w:sz w:val="44"/>
          <w:szCs w:val="44"/>
        </w:rPr>
      </w:pPr>
      <w:r>
        <w:rPr>
          <w:rFonts w:hint="eastAsia" w:ascii="仿宋" w:hAnsi="仿宋" w:eastAsia="仿宋" w:cs="仿宋"/>
          <w:sz w:val="32"/>
          <w:szCs w:val="32"/>
        </w:rPr>
        <w:t>作品名称：</w:t>
      </w:r>
      <w:r>
        <w:rPr>
          <w:rFonts w:hint="eastAsia" w:ascii="仿宋" w:hAnsi="仿宋" w:eastAsia="仿宋" w:cs="仿宋"/>
          <w:sz w:val="32"/>
          <w:szCs w:val="32"/>
          <w:u w:val="single"/>
        </w:rPr>
        <w:t xml:space="preserve">石窟天盾：风险对齐的窟内微气候预报            </w:t>
      </w:r>
    </w:p>
    <w:p w14:paraId="36495094">
      <w:pPr>
        <w:spacing w:line="240" w:lineRule="auto"/>
        <w:ind w:firstLine="880"/>
        <w:rPr>
          <w:rFonts w:hint="eastAsia" w:ascii="黑体" w:hAnsi="黑体" w:eastAsia="黑体" w:cs="黑体"/>
          <w:sz w:val="44"/>
          <w:szCs w:val="44"/>
        </w:rPr>
      </w:pPr>
    </w:p>
    <w:p w14:paraId="35A51E80">
      <w:pPr>
        <w:spacing w:line="240" w:lineRule="auto"/>
        <w:ind w:firstLine="880"/>
        <w:rPr>
          <w:rFonts w:hint="eastAsia" w:ascii="黑体" w:hAnsi="黑体" w:eastAsia="黑体" w:cs="黑体"/>
          <w:sz w:val="44"/>
          <w:szCs w:val="44"/>
        </w:rPr>
      </w:pPr>
    </w:p>
    <w:p w14:paraId="1A8FF217">
      <w:pPr>
        <w:spacing w:line="240" w:lineRule="auto"/>
        <w:ind w:firstLine="880"/>
        <w:rPr>
          <w:rFonts w:hint="eastAsia" w:ascii="黑体" w:hAnsi="黑体" w:eastAsia="黑体" w:cs="黑体"/>
          <w:sz w:val="44"/>
          <w:szCs w:val="44"/>
        </w:rPr>
      </w:pPr>
    </w:p>
    <w:p w14:paraId="1F470AD0">
      <w:pPr>
        <w:spacing w:line="240" w:lineRule="auto"/>
        <w:ind w:firstLine="880"/>
        <w:rPr>
          <w:rFonts w:hint="eastAsia" w:ascii="黑体" w:hAnsi="黑体" w:eastAsia="黑体" w:cs="黑体"/>
          <w:sz w:val="44"/>
          <w:szCs w:val="44"/>
        </w:rPr>
      </w:pPr>
    </w:p>
    <w:p w14:paraId="037698B8">
      <w:pPr>
        <w:spacing w:line="240" w:lineRule="auto"/>
        <w:ind w:firstLine="880"/>
        <w:rPr>
          <w:rFonts w:hint="eastAsia" w:ascii="黑体" w:hAnsi="黑体" w:eastAsia="黑体" w:cs="黑体"/>
          <w:sz w:val="44"/>
          <w:szCs w:val="44"/>
        </w:rPr>
      </w:pPr>
    </w:p>
    <w:p w14:paraId="77CD856F">
      <w:pPr>
        <w:spacing w:line="240" w:lineRule="auto"/>
        <w:ind w:firstLine="880"/>
        <w:rPr>
          <w:rFonts w:hint="eastAsia" w:ascii="黑体" w:hAnsi="黑体" w:eastAsia="黑体" w:cs="黑体"/>
          <w:sz w:val="44"/>
          <w:szCs w:val="44"/>
        </w:rPr>
      </w:pPr>
    </w:p>
    <w:p w14:paraId="2284F52D">
      <w:pPr>
        <w:spacing w:line="240" w:lineRule="auto"/>
        <w:ind w:firstLine="2320" w:firstLineChars="725"/>
        <w:rPr>
          <w:rFonts w:hint="eastAsia" w:ascii="仿宋" w:hAnsi="仿宋" w:cs="仿宋"/>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7" w:right="1701" w:bottom="1417" w:left="1701" w:header="850" w:footer="850" w:gutter="0"/>
          <w:pgNumType w:fmt="upperRoman" w:start="1"/>
          <w:cols w:space="720" w:num="1"/>
          <w:docGrid w:type="lines" w:linePitch="333" w:charSpace="0"/>
        </w:sectPr>
      </w:pPr>
      <w:r>
        <w:rPr>
          <w:rFonts w:hint="eastAsia" w:ascii="仿宋" w:hAnsi="仿宋" w:cs="仿宋"/>
          <w:sz w:val="32"/>
          <w:szCs w:val="32"/>
        </w:rPr>
        <w:t>日期：2026年10月8日</w:t>
      </w:r>
    </w:p>
    <w:p w14:paraId="61BE90F1">
      <w:pPr>
        <w:pageBreakBefore/>
        <w:spacing w:before="340" w:after="340" w:line="240" w:lineRule="auto"/>
        <w:ind w:firstLine="883"/>
        <w:jc w:val="center"/>
        <w:rPr>
          <w:rFonts w:eastAsia="黑体"/>
          <w:kern w:val="44"/>
          <w:sz w:val="30"/>
          <w:szCs w:val="44"/>
        </w:rPr>
      </w:pPr>
      <w:r>
        <w:rPr>
          <w:rFonts w:hint="eastAsia" w:ascii="宋体" w:hAnsi="宋体" w:cs="宋体"/>
          <w:b/>
          <w:bCs/>
          <w:kern w:val="44"/>
          <w:sz w:val="44"/>
          <w:szCs w:val="44"/>
        </w:rPr>
        <w:t xml:space="preserve">目  </w:t>
      </w:r>
      <w:bookmarkStart w:id="0" w:name="论文目录"/>
      <w:bookmarkEnd w:id="0"/>
      <w:r>
        <w:rPr>
          <w:rFonts w:hint="eastAsia" w:ascii="宋体" w:hAnsi="宋体" w:cs="宋体"/>
          <w:b/>
          <w:bCs/>
          <w:kern w:val="44"/>
          <w:sz w:val="44"/>
          <w:szCs w:val="44"/>
        </w:rPr>
        <w:t>录</w:t>
      </w:r>
    </w:p>
    <w:p w14:paraId="65E01C29">
      <w:pPr>
        <w:pStyle w:val="11"/>
        <w:rPr>
          <w:rFonts w:hint="eastAsia" w:asciiTheme="minorHAnsi" w:hAnsiTheme="minorHAnsi" w:eastAsiaTheme="minorEastAsia" w:cstheme="minorBidi"/>
          <w:sz w:val="22"/>
          <w14:ligatures w14:val="standardContextual"/>
        </w:rPr>
      </w:pPr>
      <w:r>
        <w:rPr>
          <w:rFonts w:eastAsia="楷体"/>
          <w:bCs/>
          <w:sz w:val="32"/>
          <w:szCs w:val="32"/>
        </w:rPr>
        <w:fldChar w:fldCharType="begin"/>
      </w:r>
      <w:r>
        <w:rPr>
          <w:rFonts w:eastAsia="楷体"/>
          <w:bCs/>
          <w:sz w:val="32"/>
          <w:szCs w:val="32"/>
        </w:rPr>
        <w:instrText xml:space="preserve"> TOC \o "1-3" \h \z \u </w:instrText>
      </w:r>
      <w:r>
        <w:rPr>
          <w:rFonts w:eastAsia="楷体"/>
          <w:bCs/>
          <w:sz w:val="32"/>
          <w:szCs w:val="32"/>
        </w:rPr>
        <w:fldChar w:fldCharType="separate"/>
      </w:r>
      <w:r>
        <w:fldChar w:fldCharType="begin"/>
      </w:r>
      <w:r>
        <w:instrText xml:space="preserve"> HYPERLINK \l "_Toc241960365" </w:instrText>
      </w:r>
      <w:r>
        <w:fldChar w:fldCharType="separate"/>
      </w:r>
      <w:r>
        <w:rPr>
          <w:rStyle w:val="19"/>
        </w:rPr>
        <w:t>作品简介</w:t>
      </w:r>
      <w:r>
        <w:rPr>
          <w:rFonts w:hint="eastAsia"/>
        </w:rPr>
        <w:tab/>
      </w:r>
      <w:r>
        <w:rPr>
          <w:rFonts w:hint="eastAsia"/>
        </w:rPr>
        <w:fldChar w:fldCharType="begin"/>
      </w:r>
      <w:r>
        <w:rPr>
          <w:rFonts w:hint="eastAsia"/>
        </w:rPr>
        <w:instrText xml:space="preserve"> </w:instrText>
      </w:r>
      <w:r>
        <w:instrText xml:space="preserve">PAGEREF _Toc241960365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1A5488E">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"_Toc241960366" </w:instrText>
      </w:r>
      <w:r>
        <w:fldChar w:fldCharType="separate"/>
      </w:r>
      <w:r>
        <w:rPr>
          <w:rStyle w:val="19"/>
        </w:rPr>
        <w:t>一、作品概述</w:t>
      </w:r>
      <w:r>
        <w:rPr>
          <w:rFonts w:hint="eastAsia"/>
        </w:rPr>
        <w:tab/>
      </w:r>
      <w:r>
        <w:rPr>
          <w:rFonts w:hint="eastAsia"/>
        </w:rPr>
        <w:fldChar w:fldCharType="begin"/>
      </w:r>
      <w:r>
        <w:rPr>
          <w:rFonts w:hint="eastAsia"/>
        </w:rPr>
        <w:instrText xml:space="preserve"> </w:instrText>
      </w:r>
      <w:r>
        <w:instrText xml:space="preserve">PAGEREF _Toc241960366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CDD57F7">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"_Toc241960367" </w:instrText>
      </w:r>
      <w:r>
        <w:fldChar w:fldCharType="separate"/>
      </w:r>
      <w:r>
        <w:rPr>
          <w:rStyle w:val="19"/>
        </w:rPr>
        <w:t>1.背景介绍</w:t>
      </w:r>
      <w:r>
        <w:rPr>
          <w:rFonts w:hint="eastAsia"/>
        </w:rPr>
        <w:tab/>
      </w:r>
      <w:r>
        <w:rPr>
          <w:rFonts w:hint="eastAsia"/>
        </w:rPr>
        <w:fldChar w:fldCharType="begin"/>
      </w:r>
      <w:r>
        <w:rPr>
          <w:rFonts w:hint="eastAsia"/>
        </w:rPr>
        <w:instrText xml:space="preserve"> </w:instrText>
      </w:r>
      <w:r>
        <w:instrText xml:space="preserve">PAGEREF _Toc241960367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284532D">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"_Toc241960368" </w:instrText>
      </w:r>
      <w:r>
        <w:fldChar w:fldCharType="separate"/>
      </w:r>
      <w:r>
        <w:rPr>
          <w:rStyle w:val="19"/>
        </w:rPr>
        <w:t>2.目标定位</w:t>
      </w:r>
      <w:r>
        <w:rPr>
          <w:rFonts w:hint="eastAsia"/>
        </w:rPr>
        <w:tab/>
      </w:r>
      <w:r>
        <w:rPr>
          <w:rFonts w:hint="eastAsia"/>
        </w:rPr>
        <w:fldChar w:fldCharType="begin"/>
      </w:r>
      <w:r>
        <w:rPr>
          <w:rFonts w:hint="eastAsia"/>
        </w:rPr>
        <w:instrText xml:space="preserve"> </w:instrText>
      </w:r>
      <w:r>
        <w:instrText xml:space="preserve">PAGEREF _Toc241960368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977EB3E">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"_Toc241960369" </w:instrText>
      </w:r>
      <w:r>
        <w:fldChar w:fldCharType="separate"/>
      </w:r>
      <w:r>
        <w:rPr>
          <w:rStyle w:val="19"/>
        </w:rPr>
        <w:t>二、需求分析</w:t>
      </w:r>
      <w:r>
        <w:rPr>
          <w:rFonts w:hint="eastAsia"/>
        </w:rPr>
        <w:tab/>
      </w:r>
      <w:r>
        <w:rPr>
          <w:rFonts w:hint="eastAsia"/>
        </w:rPr>
        <w:fldChar w:fldCharType="begin"/>
      </w:r>
      <w:r>
        <w:rPr>
          <w:rFonts w:hint="eastAsia"/>
        </w:rPr>
        <w:instrText xml:space="preserve"> </w:instrText>
      </w:r>
      <w:r>
        <w:instrText xml:space="preserve">PAGEREF _Toc241960369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8889A23">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"_Toc241960370" </w:instrText>
      </w:r>
      <w:r>
        <w:fldChar w:fldCharType="separate"/>
      </w:r>
      <w:r>
        <w:rPr>
          <w:rStyle w:val="19"/>
        </w:rPr>
        <w:t>1.问题剖析</w:t>
      </w:r>
      <w:r>
        <w:rPr>
          <w:rFonts w:hint="eastAsia"/>
        </w:rPr>
        <w:tab/>
      </w:r>
      <w:r>
        <w:rPr>
          <w:rFonts w:hint="eastAsia"/>
        </w:rPr>
        <w:fldChar w:fldCharType="begin"/>
      </w:r>
      <w:r>
        <w:rPr>
          <w:rFonts w:hint="eastAsia"/>
        </w:rPr>
        <w:instrText xml:space="preserve"> </w:instrText>
      </w:r>
      <w:r>
        <w:instrText xml:space="preserve">PAGEREF _Toc241960370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B8E3124">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"_Toc241960371" </w:instrText>
      </w:r>
      <w:r>
        <w:fldChar w:fldCharType="separate"/>
      </w:r>
      <w:r>
        <w:rPr>
          <w:rStyle w:val="19"/>
        </w:rPr>
        <w:t>2. 需求调研</w:t>
      </w:r>
      <w:r>
        <w:rPr>
          <w:rFonts w:hint="eastAsia"/>
        </w:rPr>
        <w:tab/>
      </w:r>
      <w:r>
        <w:rPr>
          <w:rFonts w:hint="eastAsia"/>
        </w:rPr>
        <w:fldChar w:fldCharType="begin"/>
      </w:r>
      <w:r>
        <w:rPr>
          <w:rFonts w:hint="eastAsia"/>
        </w:rPr>
        <w:instrText xml:space="preserve"> </w:instrText>
      </w:r>
      <w:r>
        <w:instrText xml:space="preserve">PAGEREF _Toc241960371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90018A7">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"_Toc241960372" </w:instrText>
      </w:r>
      <w:r>
        <w:fldChar w:fldCharType="separate"/>
      </w:r>
      <w:r>
        <w:rPr>
          <w:rStyle w:val="19"/>
        </w:rPr>
        <w:t>三、气象数据与人工智能技术的选择与运用</w:t>
      </w:r>
      <w:r>
        <w:rPr>
          <w:rFonts w:hint="eastAsia"/>
        </w:rPr>
        <w:tab/>
      </w:r>
      <w:r>
        <w:rPr>
          <w:rFonts w:hint="eastAsia"/>
        </w:rPr>
        <w:fldChar w:fldCharType="begin"/>
      </w:r>
      <w:r>
        <w:rPr>
          <w:rFonts w:hint="eastAsia"/>
        </w:rPr>
        <w:instrText xml:space="preserve"> </w:instrText>
      </w:r>
      <w:r>
        <w:instrText xml:space="preserve">PAGEREF _Toc241960372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3BEB210">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"_Toc241960373" </w:instrText>
      </w:r>
      <w:r>
        <w:fldChar w:fldCharType="separate"/>
      </w:r>
      <w:r>
        <w:rPr>
          <w:rStyle w:val="19"/>
        </w:rPr>
        <w:t>1.气象数据使用</w:t>
      </w:r>
      <w:r>
        <w:rPr>
          <w:rFonts w:hint="eastAsia"/>
        </w:rPr>
        <w:tab/>
      </w:r>
      <w:r>
        <w:rPr>
          <w:rFonts w:hint="eastAsia"/>
        </w:rPr>
        <w:fldChar w:fldCharType="begin"/>
      </w:r>
      <w:r>
        <w:rPr>
          <w:rFonts w:hint="eastAsia"/>
        </w:rPr>
        <w:instrText xml:space="preserve"> </w:instrText>
      </w:r>
      <w:r>
        <w:instrText xml:space="preserve">PAGEREF _Toc241960373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5C1B8CD">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"_Toc241960374" </w:instrText>
      </w:r>
      <w:r>
        <w:fldChar w:fldCharType="separate"/>
      </w:r>
      <w:r>
        <w:rPr>
          <w:rStyle w:val="19"/>
        </w:rPr>
        <w:t>2.人工智能技术运用</w:t>
      </w:r>
      <w:r>
        <w:rPr>
          <w:rFonts w:hint="eastAsia"/>
        </w:rPr>
        <w:tab/>
      </w:r>
      <w:r>
        <w:rPr>
          <w:rFonts w:hint="eastAsia"/>
        </w:rPr>
        <w:fldChar w:fldCharType="begin"/>
      </w:r>
      <w:r>
        <w:rPr>
          <w:rFonts w:hint="eastAsia"/>
        </w:rPr>
        <w:instrText xml:space="preserve"> </w:instrText>
      </w:r>
      <w:r>
        <w:instrText xml:space="preserve">PAGEREF _Toc241960374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3DB51A9">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"_Toc241960375" </w:instrText>
      </w:r>
      <w:r>
        <w:fldChar w:fldCharType="separate"/>
      </w:r>
      <w:r>
        <w:rPr>
          <w:rStyle w:val="19"/>
        </w:rPr>
        <w:t>四、项目实施</w:t>
      </w:r>
      <w:r>
        <w:rPr>
          <w:rFonts w:hint="eastAsia"/>
        </w:rPr>
        <w:tab/>
      </w:r>
      <w:r>
        <w:rPr>
          <w:rFonts w:hint="eastAsia"/>
        </w:rPr>
        <w:fldChar w:fldCharType="begin"/>
      </w:r>
      <w:r>
        <w:rPr>
          <w:rFonts w:hint="eastAsia"/>
        </w:rPr>
        <w:instrText xml:space="preserve"> </w:instrText>
      </w:r>
      <w:r>
        <w:instrText xml:space="preserve">PAGEREF _Toc241960375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FD89B48">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"_Toc241960376" </w:instrText>
      </w:r>
      <w:r>
        <w:fldChar w:fldCharType="separate"/>
      </w:r>
      <w:r>
        <w:rPr>
          <w:rStyle w:val="19"/>
        </w:rPr>
        <w:t>1.总体方案</w:t>
      </w:r>
      <w:r>
        <w:rPr>
          <w:rFonts w:hint="eastAsia"/>
        </w:rPr>
        <w:tab/>
      </w:r>
      <w:r>
        <w:rPr>
          <w:rFonts w:hint="eastAsia"/>
        </w:rPr>
        <w:fldChar w:fldCharType="begin"/>
      </w:r>
      <w:r>
        <w:rPr>
          <w:rFonts w:hint="eastAsia"/>
        </w:rPr>
        <w:instrText xml:space="preserve"> </w:instrText>
      </w:r>
      <w:r>
        <w:instrText xml:space="preserve">PAGEREF _Toc241960376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3C9FFA9">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"_Toc241960377" </w:instrText>
      </w:r>
      <w:r>
        <w:fldChar w:fldCharType="separate"/>
      </w:r>
      <w:r>
        <w:rPr>
          <w:rStyle w:val="19"/>
        </w:rPr>
        <w:t>2.实施规划</w:t>
      </w:r>
      <w:r>
        <w:rPr>
          <w:rFonts w:hint="eastAsia"/>
        </w:rPr>
        <w:tab/>
      </w:r>
      <w:r>
        <w:rPr>
          <w:rFonts w:hint="eastAsia"/>
        </w:rPr>
        <w:fldChar w:fldCharType="begin"/>
      </w:r>
      <w:r>
        <w:rPr>
          <w:rFonts w:hint="eastAsia"/>
        </w:rPr>
        <w:instrText xml:space="preserve"> </w:instrText>
      </w:r>
      <w:r>
        <w:instrText xml:space="preserve">PAGEREF _Toc241960377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761BC74">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"_Toc241960378" </w:instrText>
      </w:r>
      <w:r>
        <w:fldChar w:fldCharType="separate"/>
      </w:r>
      <w:r>
        <w:rPr>
          <w:rStyle w:val="19"/>
        </w:rPr>
        <w:t>3.实施过程</w:t>
      </w:r>
      <w:r>
        <w:rPr>
          <w:rFonts w:hint="eastAsia"/>
        </w:rPr>
        <w:tab/>
      </w:r>
      <w:r>
        <w:rPr>
          <w:rFonts w:hint="eastAsia"/>
        </w:rPr>
        <w:fldChar w:fldCharType="begin"/>
      </w:r>
      <w:r>
        <w:rPr>
          <w:rFonts w:hint="eastAsia"/>
        </w:rPr>
        <w:instrText xml:space="preserve"> </w:instrText>
      </w:r>
      <w:r>
        <w:instrText xml:space="preserve">PAGEREF _Toc241960378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B87819D">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"_Toc241960379" </w:instrText>
      </w:r>
      <w:r>
        <w:fldChar w:fldCharType="separate"/>
      </w:r>
      <w:r>
        <w:rPr>
          <w:rStyle w:val="19"/>
        </w:rPr>
        <w:t>4.关键环节</w:t>
      </w:r>
      <w:r>
        <w:rPr>
          <w:rFonts w:hint="eastAsia"/>
        </w:rPr>
        <w:tab/>
      </w:r>
      <w:r>
        <w:rPr>
          <w:rFonts w:hint="eastAsia"/>
        </w:rPr>
        <w:fldChar w:fldCharType="begin"/>
      </w:r>
      <w:r>
        <w:rPr>
          <w:rFonts w:hint="eastAsia"/>
        </w:rPr>
        <w:instrText xml:space="preserve"> </w:instrText>
      </w:r>
      <w:r>
        <w:instrText xml:space="preserve">PAGEREF _Toc241960379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88424D9">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"_Toc241960380" </w:instrText>
      </w:r>
      <w:r>
        <w:fldChar w:fldCharType="separate"/>
      </w:r>
      <w:r>
        <w:rPr>
          <w:rStyle w:val="19"/>
        </w:rPr>
        <w:t>五、应用成效</w:t>
      </w:r>
      <w:r>
        <w:rPr>
          <w:rFonts w:hint="eastAsia"/>
        </w:rPr>
        <w:tab/>
      </w:r>
      <w:r>
        <w:rPr>
          <w:rFonts w:hint="eastAsia"/>
        </w:rPr>
        <w:fldChar w:fldCharType="begin"/>
      </w:r>
      <w:r>
        <w:rPr>
          <w:rFonts w:hint="eastAsia"/>
        </w:rPr>
        <w:instrText xml:space="preserve"> </w:instrText>
      </w:r>
      <w:r>
        <w:instrText xml:space="preserve">PAGEREF _Toc241960380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086773D">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"_Toc241960381" </w:instrText>
      </w:r>
      <w:r>
        <w:fldChar w:fldCharType="separate"/>
      </w:r>
      <w:r>
        <w:rPr>
          <w:rStyle w:val="19"/>
        </w:rPr>
        <w:t>1.成果展示</w:t>
      </w:r>
      <w:r>
        <w:rPr>
          <w:rFonts w:hint="eastAsia"/>
        </w:rPr>
        <w:tab/>
      </w:r>
      <w:r>
        <w:rPr>
          <w:rFonts w:hint="eastAsia"/>
        </w:rPr>
        <w:fldChar w:fldCharType="begin"/>
      </w:r>
      <w:r>
        <w:rPr>
          <w:rFonts w:hint="eastAsia"/>
        </w:rPr>
        <w:instrText xml:space="preserve"> </w:instrText>
      </w:r>
      <w:r>
        <w:instrText xml:space="preserve">PAGEREF _Toc241960381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1995A45">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"_Toc241960382" </w:instrText>
      </w:r>
      <w:r>
        <w:fldChar w:fldCharType="separate"/>
      </w:r>
      <w:r>
        <w:rPr>
          <w:rStyle w:val="19"/>
        </w:rPr>
        <w:t>2.效果验证</w:t>
      </w:r>
      <w:r>
        <w:rPr>
          <w:rFonts w:hint="eastAsia"/>
        </w:rPr>
        <w:tab/>
      </w:r>
      <w:r>
        <w:rPr>
          <w:rFonts w:hint="eastAsia"/>
        </w:rPr>
        <w:fldChar w:fldCharType="begin"/>
      </w:r>
      <w:r>
        <w:rPr>
          <w:rFonts w:hint="eastAsia"/>
        </w:rPr>
        <w:instrText xml:space="preserve"> </w:instrText>
      </w:r>
      <w:r>
        <w:instrText xml:space="preserve">PAGEREF _Toc241960382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328CD41">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"_Toc241960383" </w:instrText>
      </w:r>
      <w:r>
        <w:fldChar w:fldCharType="separate"/>
      </w:r>
      <w:r>
        <w:rPr>
          <w:rStyle w:val="19"/>
        </w:rPr>
        <w:t>3.应用价值</w:t>
      </w:r>
      <w:r>
        <w:rPr>
          <w:rFonts w:hint="eastAsia"/>
        </w:rPr>
        <w:tab/>
      </w:r>
      <w:r>
        <w:rPr>
          <w:rFonts w:hint="eastAsia"/>
        </w:rPr>
        <w:fldChar w:fldCharType="begin"/>
      </w:r>
      <w:r>
        <w:rPr>
          <w:rFonts w:hint="eastAsia"/>
        </w:rPr>
        <w:instrText xml:space="preserve"> </w:instrText>
      </w:r>
      <w:r>
        <w:instrText xml:space="preserve">PAGEREF _Toc241960383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F56F555">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"_Toc241960384" </w:instrText>
      </w:r>
      <w:r>
        <w:fldChar w:fldCharType="separate"/>
      </w:r>
      <w:r>
        <w:rPr>
          <w:rStyle w:val="19"/>
        </w:rPr>
        <w:t>六、总结与展望</w:t>
      </w:r>
      <w:r>
        <w:rPr>
          <w:rFonts w:hint="eastAsia"/>
        </w:rPr>
        <w:tab/>
      </w:r>
      <w:r>
        <w:rPr>
          <w:rFonts w:hint="eastAsia"/>
        </w:rPr>
        <w:fldChar w:fldCharType="begin"/>
      </w:r>
      <w:r>
        <w:rPr>
          <w:rFonts w:hint="eastAsia"/>
        </w:rPr>
        <w:instrText xml:space="preserve"> </w:instrText>
      </w:r>
      <w:r>
        <w:instrText xml:space="preserve">PAGEREF _Toc241960384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60E72A0">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"_Toc241960385" </w:instrText>
      </w:r>
      <w:r>
        <w:fldChar w:fldCharType="separate"/>
      </w:r>
      <w:r>
        <w:rPr>
          <w:rStyle w:val="19"/>
        </w:rPr>
        <w:t>1.经验总结</w:t>
      </w:r>
      <w:r>
        <w:rPr>
          <w:rFonts w:hint="eastAsia"/>
        </w:rPr>
        <w:tab/>
      </w:r>
      <w:r>
        <w:rPr>
          <w:rFonts w:hint="eastAsia"/>
        </w:rPr>
        <w:fldChar w:fldCharType="begin"/>
      </w:r>
      <w:r>
        <w:rPr>
          <w:rFonts w:hint="eastAsia"/>
        </w:rPr>
        <w:instrText xml:space="preserve"> </w:instrText>
      </w:r>
      <w:r>
        <w:instrText xml:space="preserve">PAGEREF _Toc241960385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3505F88">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"_Toc241960386" </w:instrText>
      </w:r>
      <w:r>
        <w:fldChar w:fldCharType="separate"/>
      </w:r>
      <w:r>
        <w:rPr>
          <w:rStyle w:val="19"/>
        </w:rPr>
        <w:t>2.未来规划</w:t>
      </w:r>
      <w:r>
        <w:rPr>
          <w:rFonts w:hint="eastAsia"/>
        </w:rPr>
        <w:tab/>
      </w:r>
      <w:r>
        <w:rPr>
          <w:rFonts w:hint="eastAsia"/>
        </w:rPr>
        <w:fldChar w:fldCharType="begin"/>
      </w:r>
      <w:r>
        <w:rPr>
          <w:rFonts w:hint="eastAsia"/>
        </w:rPr>
        <w:instrText xml:space="preserve"> </w:instrText>
      </w:r>
      <w:r>
        <w:instrText xml:space="preserve">PAGEREF _Toc241960386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D6DC477">
      <w:pPr>
        <w:pStyle w:val="11"/>
        <w:rPr>
          <w:rFonts w:hint="eastAsia" w:asciiTheme="minorHAnsi" w:hAnsiTheme="minorHAnsi" w:eastAsiaTheme="minorEastAsia" w:cstheme="minorBidi"/>
          <w:sz w:val="22"/>
          <w14:ligatures w14:val="standardContextual"/>
        </w:rPr>
      </w:pPr>
      <w:r>
        <w:fldChar w:fldCharType="begin"/>
      </w:r>
      <w:r>
        <w:instrText xml:space="preserve"> HYPERLINK \l "_Toc241960387" </w:instrText>
      </w:r>
      <w:r>
        <w:fldChar w:fldCharType="separate"/>
      </w:r>
      <w:r>
        <w:rPr>
          <w:rStyle w:val="19"/>
        </w:rPr>
        <w:t>七、附录</w:t>
      </w:r>
      <w:r>
        <w:rPr>
          <w:rFonts w:hint="eastAsia"/>
        </w:rPr>
        <w:tab/>
      </w:r>
      <w:r>
        <w:rPr>
          <w:rFonts w:hint="eastAsia"/>
        </w:rPr>
        <w:fldChar w:fldCharType="begin"/>
      </w:r>
      <w:r>
        <w:rPr>
          <w:rFonts w:hint="eastAsia"/>
        </w:rPr>
        <w:instrText xml:space="preserve"> </w:instrText>
      </w:r>
      <w:r>
        <w:instrText xml:space="preserve">PAGEREF _Toc241960387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716DDD4">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"_Toc241960388" </w:instrText>
      </w:r>
      <w:r>
        <w:fldChar w:fldCharType="separate"/>
      </w:r>
      <w:r>
        <w:rPr>
          <w:rStyle w:val="19"/>
        </w:rPr>
        <w:t>1.数据资料</w:t>
      </w:r>
      <w:r>
        <w:rPr>
          <w:rFonts w:hint="eastAsia"/>
        </w:rPr>
        <w:tab/>
      </w:r>
      <w:r>
        <w:rPr>
          <w:rFonts w:hint="eastAsia"/>
        </w:rPr>
        <w:fldChar w:fldCharType="begin"/>
      </w:r>
      <w:r>
        <w:rPr>
          <w:rFonts w:hint="eastAsia"/>
        </w:rPr>
        <w:instrText xml:space="preserve"> </w:instrText>
      </w:r>
      <w:r>
        <w:instrText xml:space="preserve">PAGEREF _Toc241960388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348C444">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"_Toc241960389" </w:instrText>
      </w:r>
      <w:r>
        <w:fldChar w:fldCharType="separate"/>
      </w:r>
      <w:r>
        <w:rPr>
          <w:rStyle w:val="19"/>
        </w:rPr>
        <w:t>2.代码与模型</w:t>
      </w:r>
      <w:r>
        <w:rPr>
          <w:rFonts w:hint="eastAsia"/>
        </w:rPr>
        <w:tab/>
      </w:r>
      <w:r>
        <w:rPr>
          <w:rFonts w:hint="eastAsia"/>
        </w:rPr>
        <w:fldChar w:fldCharType="begin"/>
      </w:r>
      <w:r>
        <w:rPr>
          <w:rFonts w:hint="eastAsia"/>
        </w:rPr>
        <w:instrText xml:space="preserve"> </w:instrText>
      </w:r>
      <w:r>
        <w:instrText xml:space="preserve">PAGEREF _Toc241960389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99E2BA8">
      <w:pPr>
        <w:pStyle w:val="13"/>
        <w:ind w:firstLine="480"/>
        <w:rPr>
          <w:rFonts w:hint="eastAsia" w:asciiTheme="minorHAnsi" w:hAnsiTheme="minorHAnsi" w:eastAsiaTheme="minorEastAsia" w:cstheme="minorBidi"/>
          <w:sz w:val="22"/>
          <w14:ligatures w14:val="standardContextual"/>
        </w:rPr>
      </w:pPr>
      <w:r>
        <w:fldChar w:fldCharType="begin"/>
      </w:r>
      <w:r>
        <w:instrText xml:space="preserve"> HYPERLINK \l "_Toc241960390" </w:instrText>
      </w:r>
      <w:r>
        <w:fldChar w:fldCharType="separate"/>
      </w:r>
      <w:r>
        <w:rPr>
          <w:rStyle w:val="19"/>
        </w:rPr>
        <w:t>3.参考文献</w:t>
      </w:r>
      <w:r>
        <w:rPr>
          <w:rFonts w:hint="eastAsia"/>
        </w:rPr>
        <w:tab/>
      </w:r>
      <w:r>
        <w:rPr>
          <w:rFonts w:hint="eastAsia"/>
        </w:rPr>
        <w:fldChar w:fldCharType="begin"/>
      </w:r>
      <w:r>
        <w:rPr>
          <w:rFonts w:hint="eastAsia"/>
        </w:rPr>
        <w:instrText xml:space="preserve"> </w:instrText>
      </w:r>
      <w:r>
        <w:instrText xml:space="preserve">PAGEREF _Toc241960390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C160A6D">
      <w:pPr>
        <w:pStyle w:val="11"/>
        <w:spacing w:line="240" w:lineRule="auto"/>
        <w:rPr>
          <w:rFonts w:eastAsia="楷体"/>
          <w:bCs/>
          <w:kern w:val="0"/>
          <w:sz w:val="32"/>
          <w:szCs w:val="32"/>
        </w:rPr>
      </w:pPr>
      <w:r>
        <w:rPr>
          <w:rFonts w:eastAsia="楷体"/>
          <w:bCs/>
          <w:kern w:val="0"/>
          <w:szCs w:val="32"/>
        </w:rPr>
        <w:fldChar w:fldCharType="end"/>
      </w:r>
      <w:bookmarkStart w:id="1" w:name="_Toc17032"/>
    </w:p>
    <w:p w14:paraId="249AE18C">
      <w:pPr>
        <w:spacing w:line="240" w:lineRule="auto"/>
        <w:rPr>
          <w:rFonts w:eastAsia="楷体"/>
          <w:bCs/>
          <w:kern w:val="0"/>
          <w:sz w:val="32"/>
          <w:szCs w:val="32"/>
        </w:rPr>
      </w:pPr>
    </w:p>
    <w:p w14:paraId="64CB8BB4">
      <w:pPr>
        <w:spacing w:line="240" w:lineRule="auto"/>
        <w:rPr>
          <w:rFonts w:eastAsia="楷体"/>
          <w:bCs/>
          <w:kern w:val="0"/>
          <w:sz w:val="32"/>
          <w:szCs w:val="32"/>
        </w:rPr>
      </w:pPr>
    </w:p>
    <w:p w14:paraId="6FBB5C0B">
      <w:pPr>
        <w:spacing w:line="240" w:lineRule="auto"/>
        <w:rPr>
          <w:rFonts w:eastAsia="楷体"/>
          <w:bCs/>
          <w:kern w:val="0"/>
          <w:sz w:val="32"/>
          <w:szCs w:val="32"/>
        </w:rPr>
      </w:pPr>
    </w:p>
    <w:p w14:paraId="01C7022B">
      <w:pPr>
        <w:spacing w:line="240" w:lineRule="auto"/>
        <w:rPr>
          <w:rFonts w:eastAsia="楷体"/>
          <w:bCs/>
          <w:kern w:val="0"/>
          <w:sz w:val="32"/>
          <w:szCs w:val="32"/>
        </w:rPr>
        <w:sectPr>
          <w:footerReference r:id="rId11" w:type="default"/>
          <w:pgSz w:w="11906" w:h="16838"/>
          <w:pgMar w:top="1417" w:right="1701" w:bottom="1417" w:left="1701" w:header="850" w:footer="992" w:gutter="0"/>
          <w:pgNumType w:start="1"/>
          <w:cols w:space="720" w:num="1"/>
          <w:docGrid w:type="lines" w:linePitch="333" w:charSpace="0"/>
        </w:sectPr>
      </w:pPr>
    </w:p>
    <w:p w14:paraId="4AAADBF3">
      <w:pPr>
        <w:pStyle w:val="15"/>
        <w:spacing w:line="240" w:lineRule="auto"/>
        <w:ind w:firstLine="883"/>
        <w:rPr>
          <w:rFonts w:hint="eastAsia"/>
        </w:rPr>
      </w:pPr>
      <w:bookmarkStart w:id="2" w:name="_Toc241960365"/>
      <w:r>
        <w:rPr>
          <w:rFonts w:hint="eastAsia"/>
        </w:rPr>
        <w:t>作品简介</w:t>
      </w:r>
      <w:bookmarkEnd w:id="2"/>
    </w:p>
    <w:p w14:paraId="17C4D931">
      <w:pPr>
        <w:spacing w:line="240" w:lineRule="auto"/>
        <w:ind w:firstLine="480"/>
        <w:rPr>
          <w:rFonts w:hint="eastAsia" w:ascii="宋体" w:hAnsi="宋体"/>
        </w:rPr>
        <w:sectPr>
          <w:footerReference r:id="rId12" w:type="default"/>
          <w:pgSz w:w="11906" w:h="16838"/>
          <w:pgMar w:top="1417" w:right="1701" w:bottom="1417" w:left="1701" w:header="850" w:footer="992" w:gutter="0"/>
          <w:cols w:space="720" w:num="1"/>
          <w:docGrid w:type="lines" w:linePitch="333" w:charSpace="0"/>
        </w:sectPr>
      </w:pPr>
      <w:r>
        <w:rPr>
          <w:rFonts w:ascii="宋体" w:hAnsi="宋体"/>
        </w:rPr>
        <w:t>石窟壁画、彩塑的盐害风险与窟内高湿暴露密切相关，但现有平台多侧重实时报警与事后处置，且窟内长期实测数据有限，难以直接监督预测。本项目面向“高湿风险漏报”重构预报目标：以文献参数化热湿物理模型生成窟内湿度合成标签，利用借鉴Koopman/EDMD思想的延迟嵌入与多尺度特征提取刻画洞窟微环境记忆，并引入借鉴twCRPS思想的阈值风险加权分位数损失，使模型从“平均精度”转向“风险对齐”。实验中超阈F1由0.072提升至0.164，AUC由0.862提升至0.903，点预测精度同步提升；滚动预报检出率达35.1%，平均提前46.3小时。并通过独立真实洞窟数据开展外部效度检验，为石窟文物保护提供高湿风险提前预警与决策支持。</w:t>
      </w:r>
    </w:p>
    <w:bookmarkEnd w:id="1"/>
    <w:p w14:paraId="75CCE418">
      <w:pPr>
        <w:pStyle w:val="2"/>
        <w:ind w:firstLine="643"/>
      </w:pPr>
      <w:bookmarkStart w:id="3" w:name="_Toc241960366"/>
      <w:r>
        <w:t>一、作品概述</w:t>
      </w:r>
      <w:bookmarkEnd w:id="3"/>
    </w:p>
    <w:p w14:paraId="50576EDE">
      <w:pPr>
        <w:pStyle w:val="3"/>
        <w:ind w:firstLine="562"/>
      </w:pPr>
      <w:bookmarkStart w:id="4" w:name="_Toc241960367"/>
      <w:r>
        <w:t>1.背景介绍</w:t>
      </w:r>
      <w:bookmarkEnd w:id="4"/>
    </w:p>
    <w:p w14:paraId="4545281E">
      <w:pPr>
        <w:spacing w:line="240" w:lineRule="auto"/>
        <w:ind w:firstLine="480"/>
      </w:pPr>
      <w:r>
        <w:t>石窟寺壁画与彩塑的主要病害之一是盐害</w:t>
      </w:r>
      <w:r>
        <w:rPr>
          <w:rFonts w:hint="eastAsia"/>
        </w:rPr>
        <w:t>，例如：</w:t>
      </w:r>
      <w:r>
        <w:t>酥碱、疱疹、起甲</w:t>
      </w:r>
      <w:r>
        <w:rPr>
          <w:rFonts w:hint="eastAsia"/>
        </w:rPr>
        <w:t>等。它的形成过程</w:t>
      </w:r>
      <w:r>
        <w:t>是：</w:t>
      </w:r>
      <w:r>
        <w:rPr>
          <w:rFonts w:hint="eastAsia"/>
        </w:rPr>
        <w:t>当</w:t>
      </w:r>
      <w:r>
        <w:t>洞窟内相对湿度超过某一阈值</w:t>
      </w:r>
      <w:r>
        <w:rPr>
          <w:rFonts w:hint="eastAsia"/>
        </w:rPr>
        <w:t>时，</w:t>
      </w:r>
      <w:r>
        <w:t>可溶盐吸湿潮解</w:t>
      </w:r>
      <w:r>
        <w:rPr>
          <w:rFonts w:hint="eastAsia"/>
        </w:rPr>
        <w:t>，</w:t>
      </w:r>
      <w:r>
        <w:t>干燥时再结晶膨胀</w:t>
      </w:r>
      <w:r>
        <w:rPr>
          <w:rFonts w:hint="eastAsia"/>
        </w:rPr>
        <w:t>，导致</w:t>
      </w:r>
      <w:r>
        <w:t>壁画地仗层结构</w:t>
      </w:r>
      <w:r>
        <w:rPr>
          <w:rFonts w:hint="eastAsia"/>
        </w:rPr>
        <w:t>被</w:t>
      </w:r>
      <w:r>
        <w:t>破坏。敦煌研究院的业务口径以 62% 为警戒线；文献进一步把潮解起始定在 67%、把吸湿突变定在 75%。</w:t>
      </w:r>
      <w:r>
        <w:rPr>
          <w:rFonts w:hint="eastAsia"/>
        </w:rPr>
        <w:t>所以相比“平均湿度是多少”，做</w:t>
      </w:r>
      <w:r>
        <w:t>保护决策</w:t>
      </w:r>
      <w:r>
        <w:rPr>
          <w:rFonts w:hint="eastAsia"/>
        </w:rPr>
        <w:t>更需要</w:t>
      </w:r>
      <w:r>
        <w:t>关心的是"未来 24–72 小时会不会超过阈值、超过多久"。</w:t>
      </w:r>
    </w:p>
    <w:p w14:paraId="0920EF34">
      <w:pPr>
        <w:spacing w:line="240" w:lineRule="auto"/>
        <w:ind w:firstLine="480"/>
      </w:pPr>
      <w:r>
        <w:t>目前，</w:t>
      </w:r>
      <w:r>
        <w:rPr>
          <w:rFonts w:hint="eastAsia"/>
        </w:rPr>
        <w:t>石窟</w:t>
      </w:r>
      <w:r>
        <w:t>已经具备较为完善的气象与洞窟监测基础。</w:t>
      </w:r>
      <w:r>
        <w:rPr>
          <w:rFonts w:hint="eastAsia"/>
        </w:rPr>
        <w:t>例如</w:t>
      </w:r>
      <w:r>
        <w:t>甘肃省气象部门已在窟区核心区域布设7套区域自动气象站，持续获取气压、气温、湿度、降水及风向风速等外场气象数据；敦煌研究院也已开展115个莫高窟洞窟的监测工作，相关数据接入甘肃省石窟寺监测预警平台。现有平台能够实现实时监测、指标越限报警和事后处置，为文物保护提供了重要支撑。</w:t>
      </w:r>
    </w:p>
    <w:p w14:paraId="4F854B5F">
      <w:pPr>
        <w:spacing w:line="240" w:lineRule="auto"/>
        <w:ind w:firstLine="480"/>
      </w:pPr>
      <w:r>
        <w:t>但现有体系主要解决的是“现在是否已经超阈”的问题，而石窟文物保护更需要回答“未来是否会超阈”。如果能够提前48小时识别高湿风险，管理人员便可以根据风险等级提前安排洞窟开放与关闭、通风调控和游客批次调整，将被动处置转变为可计划、可执行的预防性干预。对于损伤具有不可逆性的石窟文物而言，这段提前量正是风险干预的重要窗口。</w:t>
      </w:r>
    </w:p>
    <w:p w14:paraId="47A95F2B">
      <w:pPr>
        <w:spacing w:line="240" w:lineRule="auto"/>
        <w:ind w:firstLine="480"/>
      </w:pPr>
      <w:r>
        <w:t>与此同时，数据获取也是实现提前预报的关键瓶颈。窟外已有NASA POWER逐小时再分析气象数据，可覆盖2001—2025年，累计219,144小时且无缺测；但窟内微气候长期连续实测数据尚缺乏可直接用于建模的公开数据集，导致传统依赖大规模实测数据训练的预测方法难以直接应用。</w:t>
      </w:r>
    </w:p>
    <w:p w14:paraId="47B4BE6D">
      <w:pPr>
        <w:spacing w:line="240" w:lineRule="auto"/>
        <w:ind w:firstLine="480"/>
      </w:pPr>
      <w:r>
        <w:t>因此，本作品针对现有监测体系中“实时监测有余、提前预报不足”的关键缺口，</w:t>
      </w:r>
      <w:r>
        <w:rPr>
          <w:rFonts w:hint="eastAsia"/>
        </w:rPr>
        <w:t>以敦煌莫高窟为例，</w:t>
      </w:r>
      <w:r>
        <w:t>利用公开的窟外气象数据，结合石窟热湿传输机理与人工智能方法，在有限窟内实测数据条件下建立窟内微气候预测模型，实现未来24—72小时窟内湿度及超阈风险预报，为石窟文物保护提供从“实时发现”走向“提前预警”的技术支撑。</w:t>
      </w:r>
    </w:p>
    <w:p w14:paraId="7BFA3236">
      <w:pPr>
        <w:spacing w:line="240" w:lineRule="auto"/>
        <w:ind w:firstLine="0" w:firstLineChars="0"/>
        <w:rPr>
          <w:b/>
          <w:bCs/>
          <w:sz w:val="28"/>
          <w:szCs w:val="28"/>
        </w:rPr>
      </w:pPr>
    </w:p>
    <w:p w14:paraId="486540EC">
      <w:pPr>
        <w:pStyle w:val="3"/>
        <w:ind w:firstLine="562"/>
      </w:pPr>
      <w:bookmarkStart w:id="5" w:name="_Toc241960368"/>
      <w:r>
        <w:rPr>
          <w:rFonts w:hint="eastAsia"/>
        </w:rPr>
        <w:t>2.目标定位</w:t>
      </w:r>
      <w:bookmarkEnd w:id="5"/>
    </w:p>
    <w:p w14:paraId="6F786896">
      <w:pPr>
        <w:spacing w:line="240" w:lineRule="auto"/>
        <w:ind w:firstLine="560" w:firstLineChars="0"/>
        <w:rPr>
          <w:rFonts w:hint="eastAsia" w:ascii="宋体" w:hAnsi="宋体"/>
        </w:rPr>
      </w:pPr>
      <w:r>
        <w:rPr>
          <w:rFonts w:hint="eastAsia"/>
        </w:rPr>
        <w:t>本作品主要面向</w:t>
      </w:r>
      <w:r>
        <w:rPr>
          <w:rFonts w:ascii="宋体" w:hAnsi="宋体"/>
        </w:rPr>
        <w:t>在</w:t>
      </w:r>
      <w:r>
        <w:rPr>
          <w:rFonts w:hint="eastAsia" w:ascii="宋体" w:hAnsi="宋体"/>
        </w:rPr>
        <w:t>石窟</w:t>
      </w:r>
      <w:r>
        <w:rPr>
          <w:rFonts w:ascii="宋体" w:hAnsi="宋体"/>
        </w:rPr>
        <w:t>内实测标签不可得、决策不可逆的条件下，建立一个可训练、可解释、可在普通 CPU上</w:t>
      </w:r>
      <w:r>
        <w:rPr>
          <w:rFonts w:hint="eastAsia" w:ascii="宋体" w:hAnsi="宋体"/>
        </w:rPr>
        <w:t>可</w:t>
      </w:r>
      <w:r>
        <w:rPr>
          <w:rFonts w:ascii="宋体" w:hAnsi="宋体"/>
        </w:rPr>
        <w:t>运行的窟内湿度风险预报算法。</w:t>
      </w:r>
    </w:p>
    <w:p w14:paraId="79512DF0">
      <w:pPr>
        <w:spacing w:line="240" w:lineRule="auto"/>
        <w:ind w:firstLine="240" w:firstLineChars="100"/>
        <w:rPr>
          <w:rFonts w:hint="eastAsia" w:ascii="宋体" w:hAnsi="宋体"/>
        </w:rPr>
      </w:pPr>
      <w:r>
        <w:rPr>
          <w:rFonts w:hint="eastAsia" w:ascii="宋体" w:hAnsi="宋体"/>
        </w:rPr>
        <w:t>1.</w:t>
      </w:r>
      <w:r>
        <w:rPr>
          <w:rFonts w:ascii="宋体" w:hAnsi="宋体"/>
        </w:rPr>
        <w:t>解决窟内微气候风险难以提前预判的问题</w:t>
      </w:r>
    </w:p>
    <w:p w14:paraId="3A5C3C4F">
      <w:pPr>
        <w:spacing w:line="240" w:lineRule="auto"/>
        <w:ind w:left="480" w:leftChars="200" w:firstLine="0" w:firstLineChars="0"/>
        <w:rPr>
          <w:rFonts w:hint="eastAsia" w:ascii="宋体" w:hAnsi="宋体"/>
        </w:rPr>
      </w:pPr>
      <w:r>
        <w:rPr>
          <w:rFonts w:ascii="宋体" w:hAnsi="宋体"/>
        </w:rPr>
        <w:t>面向</w:t>
      </w:r>
      <w:r>
        <w:rPr>
          <w:rFonts w:hint="eastAsia" w:ascii="宋体" w:hAnsi="宋体"/>
        </w:rPr>
        <w:t>石</w:t>
      </w:r>
      <w:r>
        <w:rPr>
          <w:rFonts w:ascii="宋体" w:hAnsi="宋体"/>
        </w:rPr>
        <w:t>窟壁画盐害防控中窟内微气候变化难以提前感知、现有监测以实时观测和超阈报警为主的问题，作品旨在利用室外气象条件与窟内微环境之间的关联规律，建立面向未来24—72小时的窟内相对湿度风险预报方法，实现由“发生后监测”向“发生前预警”的转变，为文物保护人员争取提前干预时间。</w:t>
      </w:r>
    </w:p>
    <w:p w14:paraId="7F8280BB">
      <w:pPr>
        <w:spacing w:line="240" w:lineRule="auto"/>
        <w:ind w:firstLine="240" w:firstLineChars="100"/>
        <w:rPr>
          <w:rFonts w:hint="eastAsia" w:ascii="宋体" w:hAnsi="宋体"/>
        </w:rPr>
      </w:pPr>
      <w:r>
        <w:rPr>
          <w:rFonts w:hint="eastAsia" w:ascii="宋体" w:hAnsi="宋体"/>
        </w:rPr>
        <w:t>2.</w:t>
      </w:r>
      <w:r>
        <w:rPr>
          <w:rFonts w:ascii="宋体" w:hAnsi="宋体"/>
        </w:rPr>
        <w:t>构建面向文物保护场景的智能风险预报模型</w:t>
      </w:r>
    </w:p>
    <w:p w14:paraId="4C918490">
      <w:pPr>
        <w:spacing w:line="240" w:lineRule="auto"/>
        <w:ind w:left="480" w:leftChars="200" w:firstLine="0" w:firstLineChars="0"/>
        <w:rPr>
          <w:rFonts w:hint="eastAsia" w:ascii="宋体" w:hAnsi="宋体"/>
        </w:rPr>
      </w:pPr>
      <w:r>
        <w:rPr>
          <w:rFonts w:ascii="宋体" w:hAnsi="宋体"/>
        </w:rPr>
        <w:t>以公开可获取的室外气象数据作为主要驱动，结合洞窟微气候的物理传递规律，利用延迟嵌入输运算子建立室外气象变化与窟内湿度风险之间的映射关系，并引入面向湿度风险阈值及持续时间的风险加权机制，使模型不仅关注平均预测误差，同时重点识别可能影响壁画保存的高风险湿度过程。通过24—72小时多时效滚动预报及跨洞窟验证，形成具有风险识别和提前预警能力的算法原型。</w:t>
      </w:r>
    </w:p>
    <w:p w14:paraId="05976142">
      <w:pPr>
        <w:spacing w:line="240" w:lineRule="auto"/>
        <w:ind w:firstLine="240" w:firstLineChars="100"/>
        <w:rPr>
          <w:rFonts w:hint="eastAsia" w:ascii="宋体" w:hAnsi="宋体"/>
        </w:rPr>
      </w:pPr>
      <w:r>
        <w:rPr>
          <w:rFonts w:hint="eastAsia" w:ascii="宋体" w:hAnsi="宋体"/>
        </w:rPr>
        <w:t>3.</w:t>
      </w:r>
      <w:r>
        <w:rPr>
          <w:rFonts w:ascii="宋体" w:hAnsi="宋体"/>
        </w:rPr>
        <w:t>形成可落地的窟内微气候风险预警方案</w:t>
      </w:r>
    </w:p>
    <w:p w14:paraId="1B7AC565">
      <w:pPr>
        <w:spacing w:line="240" w:lineRule="auto"/>
        <w:ind w:left="480" w:leftChars="200" w:firstLine="0" w:firstLineChars="0"/>
        <w:rPr>
          <w:rFonts w:hint="eastAsia" w:ascii="宋体" w:hAnsi="宋体"/>
        </w:rPr>
      </w:pPr>
      <w:r>
        <w:rPr>
          <w:rFonts w:ascii="宋体" w:hAnsi="宋体"/>
        </w:rPr>
        <w:t>在模型验证基础上，形成一套无需新增专用硬件、可在普通CPU环境运行的窟内微气候风险预报算法，为文物保护部门提供“气象驱动—风险预测—提前预警”的技术路径。通过实验数据和真实洞穴观测数据进行验证，探索其在莫高窟等石窟文物保护场景中的应用价值，为后续结合长期实测数据开展模型标定、业务化部署和推广应用提供基础。</w:t>
      </w:r>
    </w:p>
    <w:p w14:paraId="4FF371CE">
      <w:pPr>
        <w:spacing w:line="240" w:lineRule="auto"/>
        <w:ind w:firstLine="560" w:firstLineChars="0"/>
        <w:rPr>
          <w:rFonts w:hint="eastAsia" w:ascii="宋体" w:hAnsi="宋体"/>
        </w:rPr>
      </w:pPr>
    </w:p>
    <w:p w14:paraId="4961DBEE">
      <w:pPr>
        <w:pStyle w:val="2"/>
        <w:ind w:firstLine="643"/>
      </w:pPr>
      <w:bookmarkStart w:id="6" w:name="_Toc241960369"/>
      <w:r>
        <w:t>二、需求分析</w:t>
      </w:r>
      <w:bookmarkEnd w:id="6"/>
    </w:p>
    <w:p w14:paraId="4A3F091C">
      <w:pPr>
        <w:pStyle w:val="3"/>
        <w:ind w:firstLine="562"/>
        <w:rPr>
          <w:rFonts w:hint="eastAsia"/>
        </w:rPr>
      </w:pPr>
      <w:bookmarkStart w:id="7" w:name="_Toc241960370"/>
      <w:r>
        <w:rPr>
          <w:rFonts w:hint="eastAsia"/>
        </w:rPr>
        <w:t>1.问题剖析</w:t>
      </w:r>
      <w:bookmarkEnd w:id="7"/>
    </w:p>
    <w:p w14:paraId="6F4D543B">
      <w:pPr>
        <w:spacing w:line="240" w:lineRule="auto"/>
        <w:ind w:firstLine="240" w:firstLineChars="100"/>
      </w:pPr>
      <w:r>
        <w:rPr>
          <w:rFonts w:hint="eastAsia"/>
        </w:rPr>
        <w:t>1.现有监测能够“看见风险”，但难以提前预测风险。</w:t>
      </w:r>
    </w:p>
    <w:p w14:paraId="04A54C34">
      <w:pPr>
        <w:spacing w:line="240" w:lineRule="auto"/>
        <w:ind w:left="480" w:leftChars="200" w:firstLine="0" w:firstLineChars="0"/>
      </w:pPr>
      <w:r>
        <w:rPr>
          <w:rFonts w:hint="eastAsia"/>
        </w:rPr>
        <w:t>目前莫高窟已经具备较完善的气象和窟内环境监测基础，现有体系能够及时回答“当前洞窟环境是否异常”，但对于“未来24—72小时是否可能进入高湿风险区间”仍缺少有效的预测手段。因此，现有业务模式更多是“实时监测 + 越限报警 + 事后处置”，而文物保护真正需要进一步解决的是“提前”这一环节，即在风险尚未发生时获得足够的干预窗口，从而为调整游客批次、开放安排以及通风等措施提供依据。</w:t>
      </w:r>
    </w:p>
    <w:p w14:paraId="14507384">
      <w:pPr>
        <w:spacing w:line="240" w:lineRule="auto"/>
        <w:ind w:left="480" w:leftChars="200" w:firstLine="0" w:firstLineChars="0"/>
        <w:rPr>
          <w:rFonts w:hint="eastAsia"/>
        </w:rPr>
      </w:pPr>
    </w:p>
    <w:p w14:paraId="5469289A">
      <w:pPr>
        <w:spacing w:line="240" w:lineRule="auto"/>
        <w:ind w:firstLine="240" w:firstLineChars="100"/>
      </w:pPr>
      <w:r>
        <w:rPr>
          <w:rFonts w:hint="eastAsia"/>
        </w:rPr>
        <w:t>2.风险是“超阈时长”，而不是“平均误差”。</w:t>
      </w:r>
    </w:p>
    <w:p w14:paraId="6147813F">
      <w:pPr>
        <w:spacing w:line="240" w:lineRule="auto"/>
        <w:ind w:left="480" w:leftChars="200" w:firstLine="0" w:firstLineChars="0"/>
      </w:pPr>
      <w:r>
        <w:rPr>
          <w:rFonts w:hint="eastAsia"/>
        </w:rPr>
        <w:t>壁画盐害与湿度风险并不是简单的瞬时数值问题，而与相对湿度超过风险阈值后的持续时间以及反复次数密切相关。对于文物保护而言，一个预测模型即使在整体平均意义上具有较小的RMSE或较高的R²，如果无法有效识别高湿风险事件，在实际预警场景中的价值仍然有限。原有相关研究和常规预测方法更多以RMSE、R²等点预测精度指标作为主要优化目标，其优化方向是降低整体平均误差，而不是重点提升风险阈值附近以及高风险时段的识别能力。这形成了“预测数值看起来较准，但真正需要预警的风险事件可能被漏报”的目标错配问题。</w:t>
      </w:r>
    </w:p>
    <w:p w14:paraId="0F363DE8">
      <w:pPr>
        <w:spacing w:line="240" w:lineRule="auto"/>
        <w:ind w:firstLine="480"/>
      </w:pPr>
    </w:p>
    <w:p w14:paraId="2EF1B5F7">
      <w:pPr>
        <w:spacing w:line="240" w:lineRule="auto"/>
        <w:ind w:firstLine="240" w:firstLineChars="100"/>
      </w:pPr>
      <w:r>
        <w:rPr>
          <w:rFonts w:hint="eastAsia"/>
        </w:rPr>
        <w:t>3.窟内长期实测数据不足，使直接开展数据驱动预测面临目标变量不可观测。</w:t>
      </w:r>
    </w:p>
    <w:p w14:paraId="09DE7F8E">
      <w:pPr>
        <w:spacing w:line="240" w:lineRule="auto"/>
        <w:ind w:left="480" w:leftChars="200" w:firstLine="0" w:firstLineChars="0"/>
      </w:pPr>
      <w:r>
        <w:rPr>
          <w:rFonts w:hint="eastAsia"/>
        </w:rPr>
        <w:t>如果直接采用监督学习方法建立“室外气象 → 窟内湿度”的预测模型，需要大量连续、可靠的窟内历史观测数据作为训练标签。但目前公开数据中缺乏可直接用于长期建模的莫高窟窟内微气候长序列实测数据，而窟外气象数据则具有较好的连续性和公开可获得性。因此，在目标变量缺乏大规模实测标签的情况下，如何利用已有文献中的洞窟热湿传递规律，将室外气象变化转化为具有物理合理性的窟内微气候代理，是开展人工智能预测需要解决的问题。</w:t>
      </w:r>
    </w:p>
    <w:p w14:paraId="37D00E41">
      <w:pPr>
        <w:spacing w:line="240" w:lineRule="auto"/>
        <w:ind w:firstLine="480"/>
      </w:pPr>
    </w:p>
    <w:p w14:paraId="43BF98C6">
      <w:pPr>
        <w:spacing w:line="240" w:lineRule="auto"/>
        <w:ind w:firstLine="240" w:firstLineChars="100"/>
      </w:pPr>
      <w:r>
        <w:rPr>
          <w:rFonts w:hint="eastAsia"/>
        </w:rPr>
        <w:t>4.室外气象与窟内微气候之间存在复杂的时滞和传递关系，简单映射难以满足预测需求。</w:t>
      </w:r>
    </w:p>
    <w:p w14:paraId="2854B082">
      <w:pPr>
        <w:spacing w:line="240" w:lineRule="auto"/>
        <w:ind w:left="480" w:leftChars="200" w:firstLine="0" w:firstLineChars="0"/>
      </w:pPr>
      <w:r>
        <w:rPr>
          <w:rFonts w:hint="eastAsia"/>
        </w:rPr>
        <w:t>室外气象变化进入洞窟后，会受到洞窟围岩热湿交换、通风换气以及历史状态等因素影响，表现出一定的时间延迟、振幅衰减和非线性响应。因此，将某一时刻的室外相对湿度直接对应到同一时刻的窟内相对湿度，或者采用简单的一阶传递关系，难以完整描述窟内微气候的动态变化过程。</w:t>
      </w:r>
    </w:p>
    <w:p w14:paraId="54043721">
      <w:pPr>
        <w:spacing w:line="240" w:lineRule="auto"/>
        <w:ind w:firstLine="480"/>
      </w:pPr>
    </w:p>
    <w:p w14:paraId="40C3C6E7">
      <w:pPr>
        <w:spacing w:line="240" w:lineRule="auto"/>
        <w:ind w:firstLine="240" w:firstLineChars="100"/>
      </w:pPr>
      <w:r>
        <w:rPr>
          <w:rFonts w:hint="eastAsia"/>
        </w:rPr>
        <w:t>5.预测时效从24小时延伸至48—72小时后，风险极值区域的误差控制更加困难。</w:t>
      </w:r>
    </w:p>
    <w:p w14:paraId="31B2648F">
      <w:pPr>
        <w:spacing w:line="240" w:lineRule="auto"/>
        <w:ind w:left="480" w:leftChars="200" w:firstLine="0" w:firstLineChars="0"/>
      </w:pPr>
      <w:r>
        <w:rPr>
          <w:rFonts w:hint="eastAsia"/>
        </w:rPr>
        <w:t>文物保护需要足够的提前量才能支持实际干预，因此仅提供短时预测并不能完全满足需求。随着预测时效由24小时进一步延伸至48—72小时，多步预测中的误差会逐渐累积，而高湿风险往往恰好属于预测分布中的极端区域。若模型仍然以整体平均误差最小为主要目标，容易出现正常时段预测较稳定、但真正需要预警的高湿事件识别能力不足的问题。</w:t>
      </w:r>
    </w:p>
    <w:p w14:paraId="23C89738">
      <w:pPr>
        <w:pStyle w:val="3"/>
        <w:ind w:firstLine="562"/>
      </w:pPr>
      <w:bookmarkStart w:id="8" w:name="_Toc241960371"/>
      <w:r>
        <w:t>2. 需求调研</w:t>
      </w:r>
      <w:bookmarkEnd w:id="8"/>
    </w:p>
    <w:p w14:paraId="615E0DF1">
      <w:pPr>
        <w:spacing w:line="240" w:lineRule="auto"/>
        <w:ind w:firstLine="480"/>
      </w:pPr>
      <w:r>
        <w:t>为确保需求判断具有依据，本作品主要从业务需求、学术文献和数据可得性三个方面开展调研</w:t>
      </w:r>
      <w:r>
        <w:rPr>
          <w:rFonts w:hint="eastAsia"/>
        </w:rPr>
        <w:t>并进行了方案论证</w:t>
      </w:r>
      <w:r>
        <w:t>。</w:t>
      </w:r>
    </w:p>
    <w:p w14:paraId="7049C524">
      <w:pPr>
        <w:spacing w:line="240" w:lineRule="auto"/>
        <w:ind w:firstLine="0" w:firstLineChars="0"/>
      </w:pPr>
      <w:r>
        <w:rPr>
          <w:b/>
          <w:bCs/>
        </w:rPr>
        <w:t>（1）业务需求调研</w:t>
      </w:r>
    </w:p>
    <w:p w14:paraId="591CFA2D">
      <w:pPr>
        <w:spacing w:line="240" w:lineRule="auto"/>
        <w:ind w:firstLine="480"/>
      </w:pPr>
      <w:r>
        <w:t>通过检索文保主管部门、敦煌研究院等公开资料，核对壁画保护中的湿度风险阈值、现有监测平台及监测能力。调研发现，目前窟外气象观测和窟内监测体系已经具备，现有方式主要以“实时监测+越限报警”为主，因此实际需求重点并非增加监测，而是利用已有气象信息进一步实现窟内湿度风险的提前预判。</w:t>
      </w:r>
    </w:p>
    <w:p w14:paraId="47B6732E">
      <w:pPr>
        <w:spacing w:line="240" w:lineRule="auto"/>
        <w:ind w:firstLine="0" w:firstLineChars="0"/>
      </w:pPr>
      <w:r>
        <w:rPr>
          <w:b/>
          <w:bCs/>
        </w:rPr>
        <w:t>（2）学术文献调研</w:t>
      </w:r>
    </w:p>
    <w:p w14:paraId="3D6D7597">
      <w:pPr>
        <w:spacing w:line="240" w:lineRule="auto"/>
        <w:ind w:firstLine="480"/>
      </w:pPr>
      <w:r>
        <w:t>围绕“洞窟微环境预测”“室内相对湿度预测”“壁画盐害与湿度阈值”等方向检索相关研究，重点核对模型的预测时效、数据条件和风险指标。调研发现，已有研究主要关注预测精度，对24小时以上的多步预测以及历史气候数据获取等问题仍存在不足，为本作品的研究方向提供了依据。</w:t>
      </w:r>
    </w:p>
    <w:p w14:paraId="2B44FF71">
      <w:pPr>
        <w:spacing w:line="240" w:lineRule="auto"/>
        <w:ind w:firstLine="0" w:firstLineChars="0"/>
      </w:pPr>
      <w:r>
        <w:rPr>
          <w:b/>
          <w:bCs/>
        </w:rPr>
        <w:t>（3）数据可得性调研</w:t>
      </w:r>
    </w:p>
    <w:p w14:paraId="110866DF">
      <w:pPr>
        <w:spacing w:line="240" w:lineRule="auto"/>
        <w:ind w:firstLine="480"/>
      </w:pPr>
      <w:r>
        <w:t>对 NASA POWER、NOAA ISD、ICCP 洞穴观测等数据进行实际下载和解析，验证室外气象数据及公开洞穴观测数据的可用性。同时发现，长期、连续的莫高窟窟内实测数据并非公开可直接获取的数据资源。因此，本作品采用公开室外气象数据作为主要驱动，并结合物理代理和独立真实洞穴观测进行验证。</w:t>
      </w:r>
    </w:p>
    <w:p w14:paraId="0A5F442B">
      <w:pPr>
        <w:spacing w:line="240" w:lineRule="auto"/>
        <w:ind w:firstLine="480"/>
      </w:pPr>
      <w:r>
        <w:t>综上，三条调研线共同将需求归纳为三个核心问题：窟内目标数据难获取、传统预测指标与文保风险不完全匹配、24–72小时多步预测难度较高。</w:t>
      </w:r>
    </w:p>
    <w:p w14:paraId="03C6E038">
      <w:pPr>
        <w:spacing w:line="240" w:lineRule="auto"/>
        <w:ind w:firstLine="0" w:firstLineChars="0"/>
      </w:pPr>
    </w:p>
    <w:p w14:paraId="7F947977">
      <w:pPr>
        <w:pStyle w:val="2"/>
        <w:ind w:firstLine="643"/>
      </w:pPr>
      <w:bookmarkStart w:id="9" w:name="_Toc241960372"/>
      <w:r>
        <w:t>三、气象数据与人工智能技术的选择与运用</w:t>
      </w:r>
      <w:bookmarkEnd w:id="9"/>
    </w:p>
    <w:p w14:paraId="7E04C21D">
      <w:pPr>
        <w:pStyle w:val="3"/>
        <w:ind w:firstLine="562"/>
      </w:pPr>
      <w:bookmarkStart w:id="10" w:name="_Toc241960373"/>
      <w:r>
        <w:rPr>
          <w:rFonts w:hint="eastAsia"/>
        </w:rPr>
        <w:t>1.气象数据使用</w:t>
      </w:r>
      <w:bookmarkEnd w:id="10"/>
    </w:p>
    <w:p w14:paraId="1797C45B">
      <w:pPr>
        <w:spacing w:line="240" w:lineRule="auto"/>
        <w:ind w:firstLine="480"/>
      </w:pPr>
      <w:r>
        <w:t>本作品采用“公开室外气象数据为主要驱动，多源数据交叉验证”的数据方案</w:t>
      </w:r>
      <w:r>
        <w:rPr>
          <w:rFonts w:hint="eastAsia"/>
        </w:rPr>
        <w:t>，</w:t>
      </w:r>
      <w:r>
        <w:t>以公开数据和文献实测数据支撑模型构建与验证。</w:t>
      </w:r>
    </w:p>
    <w:p w14:paraId="5DEB6EF8">
      <w:pPr>
        <w:spacing w:line="240" w:lineRule="auto"/>
        <w:ind w:firstLine="480"/>
        <w:rPr>
          <w:rFonts w:ascii="宋体" w:hAnsi="宋体"/>
        </w:rPr>
      </w:pPr>
      <w:r>
        <w:rPr>
          <w:rFonts w:hint="eastAsia" w:ascii="宋体" w:hAnsi="宋体" w:cs="微软雅黑"/>
        </w:rPr>
        <w:t>气象数据分为四类，性质与用途各不相同，见下表。需要特别说明的是，唯一进入建模链路的驱动数据是</w:t>
      </w:r>
      <w:r>
        <w:rPr>
          <w:rFonts w:ascii="宋体" w:hAnsi="宋体"/>
        </w:rPr>
        <w:t xml:space="preserve"> NASA POWER </w:t>
      </w:r>
      <w:r>
        <w:rPr>
          <w:rFonts w:hint="eastAsia" w:ascii="宋体" w:hAnsi="宋体" w:cs="微软雅黑"/>
        </w:rPr>
        <w:t>逐小时再分析资料；其余三类只承担校验与验证职能，不参与训练。</w:t>
      </w:r>
    </w:p>
    <w:p w14:paraId="329B371C">
      <w:pPr>
        <w:pStyle w:val="6"/>
        <w:keepNext/>
        <w:ind w:firstLine="3200" w:firstLineChars="1600"/>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数据来源及作用</w:t>
      </w:r>
    </w:p>
    <w:tbl>
      <w:tblPr>
        <w:tblStyle w:val="26"/>
        <w:tblW w:w="5000" w:type="pct"/>
        <w:tblInd w:w="0" w:type="dxa"/>
        <w:tblLayout w:type="autofit"/>
        <w:tblCellMar>
          <w:top w:w="0" w:type="dxa"/>
          <w:left w:w="108" w:type="dxa"/>
          <w:bottom w:w="0" w:type="dxa"/>
          <w:right w:w="108" w:type="dxa"/>
        </w:tblCellMar>
      </w:tblPr>
      <w:tblGrid>
        <w:gridCol w:w="1410"/>
        <w:gridCol w:w="1262"/>
        <w:gridCol w:w="3336"/>
        <w:gridCol w:w="2496"/>
      </w:tblGrid>
      <w:tr w14:paraId="70D81129">
        <w:tblPrEx>
          <w:tblCellMar>
            <w:top w:w="0" w:type="dxa"/>
            <w:left w:w="108" w:type="dxa"/>
            <w:bottom w:w="0" w:type="dxa"/>
            <w:right w:w="108" w:type="dxa"/>
          </w:tblCellMar>
        </w:tblPrEx>
        <w:tc>
          <w:tcPr>
            <w:tcW w:w="2160" w:type="dxa"/>
            <w:tcBorders>
              <w:bottom w:val="single" w:color="7E7E7E" w:themeColor="text1" w:themeTint="80" w:sz="4" w:space="0"/>
              <w:right w:val="nil"/>
              <w:insideH w:val="single" w:sz="4" w:space="0"/>
            </w:tcBorders>
          </w:tcPr>
          <w:p w14:paraId="06026EFF">
            <w:pPr>
              <w:spacing w:before="60" w:after="60" w:line="240" w:lineRule="auto"/>
              <w:ind w:firstLine="0" w:firstLineChars="0"/>
              <w:rPr>
                <w:rFonts w:ascii="宋体" w:hAnsi="宋体"/>
                <w:b/>
                <w:bCs/>
                <w:caps/>
              </w:rPr>
            </w:pPr>
            <w:r>
              <w:rPr>
                <w:rFonts w:ascii="宋体" w:hAnsi="宋体"/>
                <w:b/>
                <w:bCs/>
                <w:caps/>
                <w:color w:val="1A237E"/>
              </w:rPr>
              <w:t>数据</w:t>
            </w:r>
          </w:p>
        </w:tc>
        <w:tc>
          <w:tcPr>
            <w:tcW w:w="2160" w:type="dxa"/>
            <w:tcBorders>
              <w:bottom w:val="single" w:color="7E7E7E" w:themeColor="text1" w:themeTint="80" w:sz="4" w:space="0"/>
              <w:insideH w:val="single" w:sz="4" w:space="0"/>
            </w:tcBorders>
          </w:tcPr>
          <w:p w14:paraId="2668EAD4">
            <w:pPr>
              <w:spacing w:before="60" w:after="60" w:line="240" w:lineRule="auto"/>
              <w:ind w:firstLine="0" w:firstLineChars="0"/>
              <w:rPr>
                <w:rFonts w:ascii="宋体" w:hAnsi="宋体"/>
                <w:b/>
                <w:bCs/>
                <w:caps/>
              </w:rPr>
            </w:pPr>
            <w:r>
              <w:rPr>
                <w:rFonts w:ascii="宋体" w:hAnsi="宋体"/>
                <w:b/>
                <w:bCs/>
                <w:caps/>
                <w:color w:val="1A237E"/>
              </w:rPr>
              <w:t>性质</w:t>
            </w:r>
          </w:p>
        </w:tc>
        <w:tc>
          <w:tcPr>
            <w:tcW w:w="2160" w:type="dxa"/>
            <w:tcBorders>
              <w:bottom w:val="single" w:color="7E7E7E" w:themeColor="text1" w:themeTint="80" w:sz="4" w:space="0"/>
              <w:insideH w:val="single" w:sz="4" w:space="0"/>
            </w:tcBorders>
          </w:tcPr>
          <w:p w14:paraId="220597B7">
            <w:pPr>
              <w:spacing w:before="60" w:after="60" w:line="240" w:lineRule="auto"/>
              <w:ind w:firstLine="482"/>
              <w:rPr>
                <w:rFonts w:ascii="宋体" w:hAnsi="宋体"/>
                <w:b/>
                <w:bCs/>
                <w:caps/>
              </w:rPr>
            </w:pPr>
            <w:r>
              <w:rPr>
                <w:rFonts w:ascii="宋体" w:hAnsi="宋体"/>
                <w:b/>
                <w:bCs/>
                <w:caps/>
                <w:color w:val="1A237E"/>
              </w:rPr>
              <w:t>来源</w:t>
            </w:r>
          </w:p>
        </w:tc>
        <w:tc>
          <w:tcPr>
            <w:tcW w:w="2160" w:type="dxa"/>
            <w:tcBorders>
              <w:bottom w:val="single" w:color="7E7E7E" w:themeColor="text1" w:themeTint="80" w:sz="4" w:space="0"/>
              <w:insideH w:val="single" w:sz="4" w:space="0"/>
            </w:tcBorders>
          </w:tcPr>
          <w:p w14:paraId="4B9A1302">
            <w:pPr>
              <w:spacing w:before="60" w:after="60" w:line="240" w:lineRule="auto"/>
              <w:ind w:firstLine="482"/>
              <w:rPr>
                <w:rFonts w:ascii="宋体" w:hAnsi="宋体"/>
                <w:b/>
                <w:bCs/>
                <w:caps/>
              </w:rPr>
            </w:pPr>
            <w:r>
              <w:rPr>
                <w:rFonts w:ascii="宋体" w:hAnsi="宋体"/>
                <w:b/>
                <w:bCs/>
                <w:caps/>
                <w:color w:val="1A237E"/>
              </w:rPr>
              <w:t>在作品中的作用</w:t>
            </w:r>
          </w:p>
        </w:tc>
      </w:tr>
      <w:tr w14:paraId="22AA2C3C">
        <w:tblPrEx>
          <w:tblCellMar>
            <w:top w:w="0" w:type="dxa"/>
            <w:left w:w="108" w:type="dxa"/>
            <w:bottom w:w="0" w:type="dxa"/>
            <w:right w:w="108" w:type="dxa"/>
          </w:tblCellMar>
        </w:tblPrEx>
        <w:tc>
          <w:tcPr>
            <w:tcW w:w="2160" w:type="dxa"/>
            <w:tcBorders>
              <w:right w:val="single" w:color="7E7E7E" w:themeColor="text1" w:themeTint="80" w:sz="4" w:space="0"/>
              <w:insideV w:val="single" w:sz="4" w:space="0"/>
            </w:tcBorders>
            <w:shd w:val="clear" w:color="auto" w:fill="F1F1F1" w:themeFill="background1" w:themeFillShade="F2"/>
          </w:tcPr>
          <w:p w14:paraId="2C173F24">
            <w:pPr>
              <w:spacing w:before="60" w:after="60" w:line="240" w:lineRule="auto"/>
              <w:ind w:firstLine="0" w:firstLineChars="0"/>
              <w:rPr>
                <w:rFonts w:ascii="宋体" w:hAnsi="宋体"/>
                <w:b/>
                <w:bCs/>
                <w:caps/>
              </w:rPr>
            </w:pPr>
            <w:r>
              <w:rPr>
                <w:rFonts w:ascii="宋体" w:hAnsi="宋体"/>
                <w:b/>
                <w:bCs/>
                <w:caps/>
              </w:rPr>
              <w:t>NASA</w:t>
            </w:r>
            <w:r>
              <w:rPr>
                <w:rFonts w:hint="eastAsia" w:ascii="宋体" w:hAnsi="宋体"/>
                <w:b/>
                <w:bCs/>
                <w:caps/>
              </w:rPr>
              <w:t xml:space="preserve"> </w:t>
            </w:r>
            <w:r>
              <w:rPr>
                <w:rFonts w:ascii="宋体" w:hAnsi="宋体"/>
                <w:b/>
                <w:bCs/>
                <w:caps/>
              </w:rPr>
              <w:t>POWER 逐小时气象</w:t>
            </w:r>
          </w:p>
        </w:tc>
        <w:tc>
          <w:tcPr>
            <w:tcW w:w="2160" w:type="dxa"/>
            <w:shd w:val="clear" w:color="auto" w:fill="F1F1F1" w:themeFill="background1" w:themeFillShade="F2"/>
          </w:tcPr>
          <w:p w14:paraId="12DE1BA0">
            <w:pPr>
              <w:spacing w:before="60" w:after="60" w:line="240" w:lineRule="auto"/>
              <w:ind w:firstLine="0" w:firstLineChars="0"/>
              <w:rPr>
                <w:rFonts w:ascii="宋体" w:hAnsi="宋体"/>
              </w:rPr>
            </w:pPr>
            <w:r>
              <w:rPr>
                <w:rFonts w:ascii="宋体" w:hAnsi="宋体"/>
              </w:rPr>
              <w:t>再分析产品（非站点观测）</w:t>
            </w:r>
          </w:p>
        </w:tc>
        <w:tc>
          <w:tcPr>
            <w:tcW w:w="2160" w:type="dxa"/>
            <w:shd w:val="clear" w:color="auto" w:fill="F1F1F1" w:themeFill="background1" w:themeFillShade="F2"/>
          </w:tcPr>
          <w:p w14:paraId="6DD690E7">
            <w:pPr>
              <w:spacing w:before="60" w:after="60" w:line="240" w:lineRule="auto"/>
              <w:ind w:firstLine="480"/>
              <w:rPr>
                <w:rFonts w:ascii="宋体" w:hAnsi="宋体"/>
              </w:rPr>
            </w:pPr>
            <w:r>
              <w:rPr>
                <w:rFonts w:ascii="宋体" w:hAnsi="宋体"/>
              </w:rPr>
              <w:t>NASA POWER API v2.10.2 ，坐标 40.04°N / 94.81°E</w:t>
            </w:r>
          </w:p>
        </w:tc>
        <w:tc>
          <w:tcPr>
            <w:tcW w:w="2160" w:type="dxa"/>
            <w:shd w:val="clear" w:color="auto" w:fill="F1F1F1" w:themeFill="background1" w:themeFillShade="F2"/>
          </w:tcPr>
          <w:p w14:paraId="5B81EE92">
            <w:pPr>
              <w:spacing w:before="60" w:after="60" w:line="240" w:lineRule="auto"/>
              <w:ind w:firstLine="0" w:firstLineChars="0"/>
              <w:rPr>
                <w:rFonts w:ascii="宋体" w:hAnsi="宋体"/>
              </w:rPr>
            </w:pPr>
            <w:r>
              <w:rPr>
                <w:rFonts w:ascii="宋体" w:hAnsi="宋体"/>
              </w:rPr>
              <w:t>唯一的室外驱动： T2M</w:t>
            </w:r>
            <w:r>
              <w:rPr>
                <w:rFonts w:hint="eastAsia" w:ascii="宋体" w:hAnsi="宋体"/>
              </w:rPr>
              <w:t>、</w:t>
            </w:r>
            <w:r>
              <w:rPr>
                <w:rFonts w:ascii="宋体" w:hAnsi="宋体"/>
              </w:rPr>
              <w:t>RH2M</w:t>
            </w:r>
            <w:r>
              <w:rPr>
                <w:rFonts w:hint="eastAsia" w:ascii="宋体" w:hAnsi="宋体"/>
              </w:rPr>
              <w:t>、</w:t>
            </w:r>
            <w:r>
              <w:rPr>
                <w:rFonts w:ascii="宋体" w:hAnsi="宋体"/>
              </w:rPr>
              <w:t>WS10M</w:t>
            </w:r>
            <w:r>
              <w:rPr>
                <w:rFonts w:hint="eastAsia" w:ascii="宋体" w:hAnsi="宋体"/>
              </w:rPr>
              <w:t>、</w:t>
            </w:r>
            <w:r>
              <w:rPr>
                <w:rFonts w:ascii="宋体" w:hAnsi="宋体"/>
              </w:rPr>
              <w:t xml:space="preserve"> PSC</w:t>
            </w:r>
            <w:r>
              <w:rPr>
                <w:rFonts w:hint="eastAsia" w:ascii="宋体" w:hAnsi="宋体"/>
              </w:rPr>
              <w:t>、</w:t>
            </w:r>
            <w:r>
              <w:rPr>
                <w:rFonts w:ascii="宋体" w:hAnsi="宋体"/>
              </w:rPr>
              <w:t>ALLSKY_SFC_SW_DWN</w:t>
            </w:r>
            <w:r>
              <w:rPr>
                <w:rFonts w:hint="eastAsia" w:ascii="宋体" w:hAnsi="宋体"/>
              </w:rPr>
              <w:t>、</w:t>
            </w:r>
            <w:r>
              <w:rPr>
                <w:rFonts w:ascii="宋体" w:hAnsi="宋体"/>
              </w:rPr>
              <w:t>PRECTOTCORR</w:t>
            </w:r>
          </w:p>
        </w:tc>
      </w:tr>
      <w:tr w14:paraId="3040A700">
        <w:tblPrEx>
          <w:tblCellMar>
            <w:top w:w="0" w:type="dxa"/>
            <w:left w:w="108" w:type="dxa"/>
            <w:bottom w:w="0" w:type="dxa"/>
            <w:right w:w="108" w:type="dxa"/>
          </w:tblCellMar>
        </w:tblPrEx>
        <w:tc>
          <w:tcPr>
            <w:tcW w:w="2160" w:type="dxa"/>
            <w:tcBorders>
              <w:right w:val="single" w:color="7E7E7E" w:themeColor="text1" w:themeTint="80" w:sz="4" w:space="0"/>
              <w:insideV w:val="single" w:sz="4" w:space="0"/>
            </w:tcBorders>
          </w:tcPr>
          <w:p w14:paraId="756FC16D">
            <w:pPr>
              <w:spacing w:before="60" w:after="60" w:line="240" w:lineRule="auto"/>
              <w:ind w:firstLine="0" w:firstLineChars="0"/>
              <w:rPr>
                <w:rFonts w:ascii="宋体" w:hAnsi="宋体"/>
                <w:b/>
                <w:bCs/>
                <w:caps/>
              </w:rPr>
            </w:pPr>
            <w:r>
              <w:rPr>
                <w:rFonts w:ascii="宋体" w:hAnsi="宋体"/>
                <w:b/>
                <w:bCs/>
                <w:caps/>
              </w:rPr>
              <w:t>NOAA ISD 敦煌站</w:t>
            </w:r>
          </w:p>
        </w:tc>
        <w:tc>
          <w:tcPr>
            <w:tcW w:w="2160" w:type="dxa"/>
          </w:tcPr>
          <w:p w14:paraId="5B5C6550">
            <w:pPr>
              <w:spacing w:before="60" w:after="60" w:line="240" w:lineRule="auto"/>
              <w:ind w:firstLine="0" w:firstLineChars="0"/>
              <w:rPr>
                <w:rFonts w:ascii="宋体" w:hAnsi="宋体"/>
              </w:rPr>
            </w:pPr>
            <w:r>
              <w:rPr>
                <w:rFonts w:ascii="宋体" w:hAnsi="宋体"/>
              </w:rPr>
              <w:t>地面站观测</w:t>
            </w:r>
          </w:p>
        </w:tc>
        <w:tc>
          <w:tcPr>
            <w:tcW w:w="2160" w:type="dxa"/>
          </w:tcPr>
          <w:p w14:paraId="02A78B81">
            <w:pPr>
              <w:spacing w:before="60" w:after="60" w:line="240" w:lineRule="auto"/>
              <w:ind w:firstLine="480"/>
              <w:rPr>
                <w:rFonts w:ascii="宋体" w:hAnsi="宋体"/>
              </w:rPr>
            </w:pPr>
            <w:r>
              <w:rPr>
                <w:rFonts w:ascii="宋体" w:hAnsi="宋体"/>
              </w:rPr>
              <w:t>ncei.noaa.gov 全球逐时库，站号 USAF 524180 / WMO 52418</w:t>
            </w:r>
          </w:p>
        </w:tc>
        <w:tc>
          <w:tcPr>
            <w:tcW w:w="2160" w:type="dxa"/>
          </w:tcPr>
          <w:p w14:paraId="709F7461">
            <w:pPr>
              <w:spacing w:before="60" w:after="60" w:line="240" w:lineRule="auto"/>
              <w:ind w:firstLine="0" w:firstLineChars="0"/>
              <w:rPr>
                <w:rFonts w:ascii="宋体" w:hAnsi="宋体"/>
              </w:rPr>
            </w:pPr>
            <w:r>
              <w:rPr>
                <w:rFonts w:ascii="宋体" w:hAnsi="宋体"/>
              </w:rPr>
              <w:t>外场真实性交叉核对（该站 2023-04-28 后停报）</w:t>
            </w:r>
          </w:p>
        </w:tc>
      </w:tr>
      <w:tr w14:paraId="3CF14EF2">
        <w:tblPrEx>
          <w:tblCellMar>
            <w:top w:w="0" w:type="dxa"/>
            <w:left w:w="108" w:type="dxa"/>
            <w:bottom w:w="0" w:type="dxa"/>
            <w:right w:w="108" w:type="dxa"/>
          </w:tblCellMar>
        </w:tblPrEx>
        <w:tc>
          <w:tcPr>
            <w:tcW w:w="2160" w:type="dxa"/>
            <w:tcBorders>
              <w:right w:val="single" w:color="7E7E7E" w:themeColor="text1" w:themeTint="80" w:sz="4" w:space="0"/>
              <w:insideV w:val="single" w:sz="4" w:space="0"/>
            </w:tcBorders>
            <w:shd w:val="clear" w:color="auto" w:fill="F1F1F1" w:themeFill="background1" w:themeFillShade="F2"/>
          </w:tcPr>
          <w:p w14:paraId="3B537BD9">
            <w:pPr>
              <w:spacing w:before="60" w:after="60" w:line="240" w:lineRule="auto"/>
              <w:ind w:firstLine="0" w:firstLineChars="0"/>
              <w:rPr>
                <w:rFonts w:ascii="宋体" w:hAnsi="宋体"/>
                <w:b/>
                <w:bCs/>
                <w:caps/>
              </w:rPr>
            </w:pPr>
            <w:r>
              <w:rPr>
                <w:rFonts w:ascii="宋体" w:hAnsi="宋体"/>
                <w:b/>
                <w:bCs/>
                <w:caps/>
              </w:rPr>
              <w:t>ICCP 洞穴观测</w:t>
            </w:r>
          </w:p>
        </w:tc>
        <w:tc>
          <w:tcPr>
            <w:tcW w:w="2160" w:type="dxa"/>
            <w:shd w:val="clear" w:color="auto" w:fill="F1F1F1" w:themeFill="background1" w:themeFillShade="F2"/>
          </w:tcPr>
          <w:p w14:paraId="0CC30D4D">
            <w:pPr>
              <w:spacing w:before="60" w:after="60" w:line="240" w:lineRule="auto"/>
              <w:ind w:firstLine="0" w:firstLineChars="0"/>
              <w:rPr>
                <w:rFonts w:ascii="宋体" w:hAnsi="宋体"/>
              </w:rPr>
            </w:pPr>
            <w:r>
              <w:rPr>
                <w:rFonts w:ascii="宋体" w:hAnsi="宋体"/>
              </w:rPr>
              <w:t>真实观测</w:t>
            </w:r>
          </w:p>
        </w:tc>
        <w:tc>
          <w:tcPr>
            <w:tcW w:w="2160" w:type="dxa"/>
            <w:shd w:val="clear" w:color="auto" w:fill="F1F1F1" w:themeFill="background1" w:themeFillShade="F2"/>
          </w:tcPr>
          <w:p w14:paraId="31E1F1CE">
            <w:pPr>
              <w:spacing w:before="60" w:after="60" w:line="240" w:lineRule="auto"/>
              <w:ind w:firstLine="480"/>
              <w:rPr>
                <w:rFonts w:ascii="宋体" w:hAnsi="宋体"/>
              </w:rPr>
            </w:pPr>
            <w:r>
              <w:rPr>
                <w:rFonts w:ascii="宋体" w:hAnsi="宋体"/>
              </w:rPr>
              <w:t>Zenodo 10.5281/zenodo.17505739 ， CC-BY-4.0</w:t>
            </w:r>
          </w:p>
        </w:tc>
        <w:tc>
          <w:tcPr>
            <w:tcW w:w="2160" w:type="dxa"/>
            <w:shd w:val="clear" w:color="auto" w:fill="F1F1F1" w:themeFill="background1" w:themeFillShade="F2"/>
          </w:tcPr>
          <w:p w14:paraId="44063378">
            <w:pPr>
              <w:spacing w:before="60" w:after="60" w:line="240" w:lineRule="auto"/>
              <w:ind w:firstLine="0" w:firstLineChars="0"/>
              <w:rPr>
                <w:rFonts w:ascii="宋体" w:hAnsi="宋体"/>
              </w:rPr>
            </w:pPr>
            <w:r>
              <w:rPr>
                <w:rFonts w:ascii="宋体" w:hAnsi="宋体"/>
              </w:rPr>
              <w:t>外部效度验证，不含任何合成标签</w:t>
            </w:r>
          </w:p>
        </w:tc>
      </w:tr>
      <w:tr w14:paraId="233B009C">
        <w:tblPrEx>
          <w:tblCellMar>
            <w:top w:w="0" w:type="dxa"/>
            <w:left w:w="108" w:type="dxa"/>
            <w:bottom w:w="0" w:type="dxa"/>
            <w:right w:w="108" w:type="dxa"/>
          </w:tblCellMar>
        </w:tblPrEx>
        <w:tc>
          <w:tcPr>
            <w:tcW w:w="2160" w:type="dxa"/>
            <w:tcBorders>
              <w:right w:val="single" w:color="7E7E7E" w:themeColor="text1" w:themeTint="80" w:sz="4" w:space="0"/>
              <w:insideV w:val="single" w:sz="4" w:space="0"/>
            </w:tcBorders>
          </w:tcPr>
          <w:p w14:paraId="106E7747">
            <w:pPr>
              <w:spacing w:before="60" w:after="60" w:line="240" w:lineRule="auto"/>
              <w:ind w:firstLine="482"/>
              <w:rPr>
                <w:rFonts w:ascii="宋体" w:hAnsi="宋体"/>
                <w:b/>
                <w:bCs/>
                <w:caps/>
              </w:rPr>
            </w:pPr>
            <w:r>
              <w:rPr>
                <w:rFonts w:ascii="宋体" w:hAnsi="宋体"/>
                <w:b/>
                <w:bCs/>
                <w:caps/>
              </w:rPr>
              <w:t>已发表文献实测统计量</w:t>
            </w:r>
          </w:p>
        </w:tc>
        <w:tc>
          <w:tcPr>
            <w:tcW w:w="2160" w:type="dxa"/>
          </w:tcPr>
          <w:p w14:paraId="78E29EB4">
            <w:pPr>
              <w:spacing w:before="60" w:after="60" w:line="240" w:lineRule="auto"/>
              <w:ind w:firstLine="0" w:firstLineChars="0"/>
              <w:rPr>
                <w:rFonts w:ascii="宋体" w:hAnsi="宋体"/>
              </w:rPr>
            </w:pPr>
            <w:r>
              <w:rPr>
                <w:rFonts w:ascii="宋体" w:hAnsi="宋体"/>
              </w:rPr>
              <w:t>文献数据</w:t>
            </w:r>
          </w:p>
        </w:tc>
        <w:tc>
          <w:tcPr>
            <w:tcW w:w="2160" w:type="dxa"/>
          </w:tcPr>
          <w:p w14:paraId="28EF5D46">
            <w:pPr>
              <w:spacing w:before="60" w:after="60" w:line="240" w:lineRule="auto"/>
              <w:ind w:firstLine="480"/>
              <w:rPr>
                <w:rFonts w:ascii="宋体" w:hAnsi="宋体"/>
              </w:rPr>
            </w:pPr>
            <w:r>
              <w:rPr>
                <w:rFonts w:ascii="宋体" w:hAnsi="宋体"/>
              </w:rPr>
              <w:t>Gong 等（2025）、 Zhang &amp; Wang （2023 ）等论文正文</w:t>
            </w:r>
          </w:p>
        </w:tc>
        <w:tc>
          <w:tcPr>
            <w:tcW w:w="2160" w:type="dxa"/>
          </w:tcPr>
          <w:p w14:paraId="01D9FFE7">
            <w:pPr>
              <w:spacing w:before="60" w:after="60" w:line="240" w:lineRule="auto"/>
              <w:ind w:firstLine="0" w:firstLineChars="0"/>
              <w:rPr>
                <w:rFonts w:ascii="宋体" w:hAnsi="宋体"/>
              </w:rPr>
            </w:pPr>
            <w:r>
              <w:rPr>
                <w:rFonts w:ascii="宋体" w:hAnsi="宋体"/>
              </w:rPr>
              <w:t>物理模型标定与同窟同期对照</w:t>
            </w:r>
          </w:p>
        </w:tc>
      </w:tr>
    </w:tbl>
    <w:p w14:paraId="553E9BCA">
      <w:pPr>
        <w:spacing w:line="240" w:lineRule="auto"/>
        <w:ind w:firstLine="562"/>
        <w:rPr>
          <w:rFonts w:hint="eastAsia"/>
          <w:b/>
          <w:bCs/>
          <w:sz w:val="28"/>
          <w:szCs w:val="28"/>
        </w:rPr>
      </w:pPr>
    </w:p>
    <w:p w14:paraId="2626E3F8">
      <w:pPr>
        <w:spacing w:line="240" w:lineRule="auto"/>
        <w:ind w:firstLine="0" w:firstLineChars="0"/>
      </w:pPr>
      <w:r>
        <w:rPr>
          <w:b/>
          <w:bCs/>
        </w:rPr>
        <w:t>（2）数据获取与处理</w:t>
      </w:r>
    </w:p>
    <w:p w14:paraId="3D04686D">
      <w:pPr>
        <w:spacing w:line="240" w:lineRule="auto"/>
        <w:ind w:firstLine="480"/>
      </w:pPr>
      <w:r>
        <w:t>所有数据均采用脚本化方式获取，不使用来源不明的人工拷贝数据。NASA POWER 数据按年份下载后统一合并；ICCP 数据通过脚本获取并进行筛选。</w:t>
      </w:r>
    </w:p>
    <w:p w14:paraId="6D26F470">
      <w:pPr>
        <w:spacing w:line="240" w:lineRule="auto"/>
        <w:ind w:firstLine="0" w:firstLineChars="0"/>
      </w:pPr>
      <w:r>
        <w:t>数据处理过程中重点完成以下步骤：</w:t>
      </w:r>
    </w:p>
    <w:p w14:paraId="0A7C5A89">
      <w:pPr>
        <w:spacing w:line="240" w:lineRule="auto"/>
        <w:ind w:firstLineChars="0"/>
      </w:pPr>
      <w:r>
        <w:rPr>
          <w:rFonts w:hint="eastAsia"/>
        </w:rPr>
        <w:t>a.</w:t>
      </w:r>
      <w:r>
        <w:t xml:space="preserve">将时间标准统一为 </w:t>
      </w:r>
      <w:r>
        <w:rPr>
          <w:b/>
          <w:bCs/>
        </w:rPr>
        <w:t>UTC</w:t>
      </w:r>
      <w:r>
        <w:t>，避免 NASA POWER 默认时间标准造成日循环相位错位；</w:t>
      </w:r>
    </w:p>
    <w:p w14:paraId="5FA9F855">
      <w:pPr>
        <w:spacing w:line="240" w:lineRule="auto"/>
        <w:ind w:firstLineChars="0"/>
      </w:pPr>
      <w:r>
        <w:rPr>
          <w:rFonts w:hint="eastAsia"/>
        </w:rPr>
        <w:t>b.</w:t>
      </w:r>
      <w:r>
        <w:t xml:space="preserve">气压变量采用 </w:t>
      </w:r>
      <w:r>
        <w:rPr>
          <w:b/>
          <w:bCs/>
        </w:rPr>
        <w:t>PSC（订正气压）</w:t>
      </w:r>
      <w:r>
        <w:t>，而不是 PS；</w:t>
      </w:r>
    </w:p>
    <w:p w14:paraId="16A8C86C">
      <w:pPr>
        <w:spacing w:line="240" w:lineRule="auto"/>
        <w:ind w:firstLineChars="0"/>
      </w:pPr>
      <w:r>
        <w:rPr>
          <w:rFonts w:hint="eastAsia"/>
        </w:rPr>
        <w:t>c.</w:t>
      </w:r>
      <w:r>
        <w:t>对多源数据进行时间对齐、缺测检查和质量核验；</w:t>
      </w:r>
    </w:p>
    <w:p w14:paraId="641D8E28">
      <w:pPr>
        <w:spacing w:line="240" w:lineRule="auto"/>
        <w:ind w:firstLineChars="0"/>
      </w:pPr>
      <w:r>
        <w:rPr>
          <w:rFonts w:hint="eastAsia"/>
        </w:rPr>
        <w:t>d.</w:t>
      </w:r>
      <w:r>
        <w:t>在严格因果约束下构造 258维气象特征，避免使用未来信息；</w:t>
      </w:r>
    </w:p>
    <w:p w14:paraId="2BFBCACD">
      <w:pPr>
        <w:spacing w:line="240" w:lineRule="auto"/>
        <w:ind w:firstLineChars="0"/>
        <w:rPr>
          <w:rFonts w:hint="eastAsia"/>
        </w:rPr>
      </w:pPr>
      <w:r>
        <w:rPr>
          <w:rFonts w:hint="eastAsia"/>
        </w:rPr>
        <w:t>e.</w:t>
      </w:r>
      <w:r>
        <w:t>按时间顺序划分训练集、验证集和测试集，保证预测实验不存在未来信息泄露。</w:t>
      </w:r>
    </w:p>
    <w:p w14:paraId="759FDB95">
      <w:pPr>
        <w:spacing w:line="240" w:lineRule="auto"/>
        <w:ind w:firstLine="0" w:firstLineChars="0"/>
        <w:rPr>
          <w:rFonts w:hint="eastAsia"/>
        </w:rPr>
      </w:pPr>
    </w:p>
    <w:p w14:paraId="10B7DD6A">
      <w:pPr>
        <w:pStyle w:val="3"/>
        <w:ind w:firstLine="562"/>
      </w:pPr>
      <w:bookmarkStart w:id="11" w:name="_Toc241960374"/>
      <w:r>
        <w:rPr>
          <w:rFonts w:hint="eastAsia"/>
        </w:rPr>
        <w:t>2.人工智能技术运用</w:t>
      </w:r>
      <w:bookmarkEnd w:id="11"/>
    </w:p>
    <w:p w14:paraId="7DBAB1EF">
      <w:pPr>
        <w:spacing w:line="240" w:lineRule="auto"/>
        <w:ind w:firstLine="480"/>
        <w:rPr>
          <w:rFonts w:hint="eastAsia"/>
        </w:rPr>
      </w:pPr>
      <w:r>
        <w:t>本作品针对“窟内实测标签不足、室外气象与窟内湿度存在滞后关系、传统预测目标与文保风险不匹配”等问题，构建“多时效外场预报—延迟嵌入输运算子—风险对齐训练”三层人工智能技术路线。</w:t>
      </w:r>
    </w:p>
    <w:p w14:paraId="380940DC">
      <w:pPr>
        <w:spacing w:line="240" w:lineRule="auto"/>
        <w:ind w:firstLine="0" w:firstLineChars="0"/>
        <w:rPr>
          <w:rFonts w:ascii="宋体" w:hAnsi="宋体"/>
          <w:b/>
          <w:bCs/>
        </w:rPr>
      </w:pPr>
    </w:p>
    <w:p w14:paraId="7E491BA0">
      <w:pPr>
        <w:spacing w:line="240" w:lineRule="auto"/>
        <w:ind w:firstLine="0" w:firstLineChars="0"/>
        <w:rPr>
          <w:rFonts w:hint="eastAsia" w:ascii="宋体" w:hAnsi="宋体"/>
        </w:rPr>
      </w:pPr>
      <w:r>
        <w:rPr>
          <w:rFonts w:ascii="宋体" w:hAnsi="宋体"/>
          <w:b/>
          <w:bCs/>
        </w:rPr>
        <w:t>第一阶段：</w:t>
      </w:r>
      <w:r>
        <w:rPr>
          <w:rFonts w:hint="eastAsia" w:ascii="宋体" w:hAnsi="宋体"/>
          <w:b/>
          <w:bCs/>
        </w:rPr>
        <w:t>L1</w:t>
      </w:r>
      <w:r>
        <w:rPr>
          <w:rFonts w:ascii="宋体" w:hAnsi="宋体"/>
          <w:b/>
          <w:bCs/>
        </w:rPr>
        <w:t>多时效外场气象预测。</w:t>
      </w:r>
    </w:p>
    <w:p w14:paraId="1540146E">
      <w:pPr>
        <w:spacing w:line="240" w:lineRule="auto"/>
        <w:ind w:firstLine="480"/>
        <w:rPr>
          <w:rFonts w:hint="eastAsia" w:ascii="宋体" w:hAnsi="宋体"/>
        </w:rPr>
      </w:pPr>
      <w:r>
        <w:rPr>
          <w:rFonts w:hint="eastAsia" w:ascii="宋体" w:hAnsi="宋体"/>
        </w:rPr>
        <w:t>使用 NASA POWER 逐小时公开再分析资料作为唯一室外驱动，输出未来 24-72 h 的室外分位数轨迹，为后续算子层提供“未来外场状态”。其输出形式为：</w:t>
      </w:r>
    </w:p>
    <w:p w14:paraId="29C54634">
      <w:pPr>
        <w:spacing w:line="240" w:lineRule="auto"/>
        <w:ind w:firstLine="1680" w:firstLineChars="700"/>
        <w:rPr>
          <w:rFonts w:hint="eastAsia" w:ascii="宋体" w:hAnsi="宋体"/>
        </w:rPr>
      </w:pPr>
      <w:r>
        <w:rPr>
          <w:rFonts w:hint="eastAsia" w:ascii="宋体" w:hAnsi="宋体"/>
        </w:rPr>
        <w:t xml:space="preserve">室外分位数轨迹 </w:t>
      </w:r>
      <w:r>
        <w:rPr>
          <w:rFonts w:ascii="宋体" w:hAnsi="宋体"/>
        </w:rPr>
        <w:t>=</w:t>
      </w:r>
      <w:r>
        <w:rPr>
          <w:rFonts w:hint="eastAsia" w:ascii="宋体" w:hAnsi="宋体"/>
        </w:rPr>
        <w:t xml:space="preserve"> </w:t>
      </w:r>
      <w:r>
        <w:rPr>
          <w:rFonts w:ascii="宋体" w:hAnsi="宋体"/>
        </w:rPr>
        <w:t>72h</w:t>
      </w:r>
      <w:r>
        <w:rPr>
          <w:rFonts w:hint="eastAsia" w:ascii="宋体" w:hAnsi="宋体"/>
        </w:rPr>
        <w:t xml:space="preserve"> × </w:t>
      </w:r>
      <w:r>
        <w:rPr>
          <w:rFonts w:ascii="宋体" w:hAnsi="宋体"/>
        </w:rPr>
        <w:t>5</w:t>
      </w:r>
      <w:r>
        <w:rPr>
          <w:rFonts w:hint="eastAsia" w:ascii="宋体" w:hAnsi="宋体"/>
        </w:rPr>
        <w:t xml:space="preserve">要素 × </w:t>
      </w:r>
      <w:r>
        <w:rPr>
          <w:rFonts w:ascii="Cambria Math" w:hAnsi="Cambria Math" w:cs="Cambria Math"/>
        </w:rPr>
        <w:t>𝑄</w:t>
      </w:r>
      <w:r>
        <w:rPr>
          <w:rFonts w:hint="eastAsia" w:ascii="宋体" w:hAnsi="宋体"/>
        </w:rPr>
        <w:t>分位</w:t>
      </w:r>
    </w:p>
    <w:p w14:paraId="035E2E97">
      <w:pPr>
        <w:spacing w:line="240" w:lineRule="auto"/>
        <w:ind w:firstLine="0" w:firstLineChars="0"/>
        <w:rPr>
          <w:rFonts w:hint="eastAsia" w:ascii="宋体" w:hAnsi="宋体"/>
        </w:rPr>
      </w:pPr>
      <w:r>
        <w:rPr>
          <w:rFonts w:hint="eastAsia" w:ascii="宋体" w:hAnsi="宋体"/>
        </w:rPr>
        <w:t>L1 的作用是提供未来 s 时刻的外场状态。骨干网络为 MLP，可替换 LSTM、PatchTST。该层输出的是概率预报形式的分位数轨迹，而不是单一点预报，以便后续风险对齐训练直接作用在尾部。</w:t>
      </w:r>
    </w:p>
    <w:p w14:paraId="5AF67BE8">
      <w:pPr>
        <w:spacing w:line="240" w:lineRule="auto"/>
        <w:ind w:firstLine="0" w:firstLineChars="0"/>
        <w:rPr>
          <w:rFonts w:ascii="宋体" w:hAnsi="宋体"/>
          <w:b/>
          <w:bCs/>
        </w:rPr>
      </w:pPr>
    </w:p>
    <w:p w14:paraId="05948D03">
      <w:pPr>
        <w:spacing w:line="240" w:lineRule="auto"/>
        <w:ind w:firstLine="0" w:firstLineChars="0"/>
        <w:rPr>
          <w:rFonts w:hint="eastAsia" w:ascii="宋体" w:hAnsi="宋体"/>
        </w:rPr>
      </w:pPr>
      <w:r>
        <w:rPr>
          <w:rFonts w:ascii="宋体" w:hAnsi="宋体"/>
          <w:b/>
          <w:bCs/>
        </w:rPr>
        <w:t>第二阶段：</w:t>
      </w:r>
      <w:r>
        <w:rPr>
          <w:rFonts w:hint="eastAsia" w:ascii="宋体" w:hAnsi="宋体"/>
          <w:b/>
          <w:bCs/>
        </w:rPr>
        <w:t>L2</w:t>
      </w:r>
      <w:r>
        <w:rPr>
          <w:rFonts w:ascii="宋体" w:hAnsi="宋体"/>
          <w:b/>
          <w:bCs/>
        </w:rPr>
        <w:t>延迟嵌入 Koopman/EDMD 输运算子。</w:t>
      </w:r>
    </w:p>
    <w:p w14:paraId="6AD259A6">
      <w:pPr>
        <w:spacing w:line="240" w:lineRule="auto"/>
        <w:ind w:firstLine="480"/>
        <w:rPr>
          <w:rFonts w:hint="eastAsia" w:ascii="宋体" w:hAnsi="宋体"/>
        </w:rPr>
      </w:pPr>
      <w:r>
        <w:rPr>
          <w:rFonts w:hint="eastAsia" w:ascii="宋体" w:hAnsi="宋体"/>
        </w:rPr>
        <w:t>窟内无实测标签，只有物理模型生成的合成标签。若把物理模型直接接在预报模型后面，会有两个问题：逐时步推进的物理模型难以高效反传，且推理代价高。因此需要一个闭式解、可微、可解释的高速代理。</w:t>
      </w:r>
    </w:p>
    <w:p w14:paraId="27AC5D3C">
      <w:pPr>
        <w:spacing w:line="240" w:lineRule="auto"/>
        <w:ind w:firstLine="480"/>
        <w:rPr>
          <w:rFonts w:ascii="宋体" w:hAnsi="宋体"/>
        </w:rPr>
      </w:pPr>
      <w:r>
        <w:rPr>
          <w:rFonts w:hint="eastAsia" w:ascii="宋体" w:hAnsi="宋体"/>
        </w:rPr>
        <w:t>理论依据为 Takens 嵌入定理与 HAVOK：在受迫系统中，未被观测的标量可观测量可从被观测量的延迟坐标中重构。</w:t>
      </w:r>
    </w:p>
    <w:p w14:paraId="09325CC0">
      <w:pPr>
        <w:spacing w:line="240" w:lineRule="auto"/>
        <w:ind w:firstLine="480"/>
        <w:rPr>
          <w:rFonts w:hint="eastAsia" w:ascii="宋体" w:hAnsi="宋体"/>
        </w:rPr>
      </w:pPr>
    </w:p>
    <w:p w14:paraId="7919491A">
      <w:pPr>
        <w:spacing w:line="240" w:lineRule="auto"/>
        <w:ind w:firstLine="0" w:firstLineChars="0"/>
        <w:rPr>
          <w:rFonts w:hint="eastAsia" w:ascii="宋体" w:hAnsi="宋体"/>
          <w:b/>
          <w:bCs/>
        </w:rPr>
      </w:pPr>
      <w:r>
        <w:rPr>
          <w:rFonts w:hint="eastAsia" w:ascii="宋体" w:hAnsi="宋体"/>
          <w:b/>
          <w:bCs/>
        </w:rPr>
        <w:t>（1）算子形式与闭式解推导：</w:t>
      </w:r>
    </w:p>
    <w:p w14:paraId="456DFC0E">
      <w:pPr>
        <w:spacing w:line="240" w:lineRule="auto"/>
        <w:ind w:firstLine="480"/>
        <w:rPr>
          <w:rFonts w:hint="eastAsia" w:ascii="宋体" w:hAnsi="宋体"/>
        </w:rPr>
      </w:pPr>
      <w:r>
        <w:rPr>
          <w:rFonts w:hint="eastAsia" w:ascii="宋体" w:hAnsi="宋体"/>
        </w:rPr>
        <w:t xml:space="preserve">设外场驱动 </w:t>
      </w:r>
      <w:r>
        <w:rPr>
          <w:rFonts w:ascii="Cambria Math" w:hAnsi="Cambria Math" w:cs="Cambria Math"/>
        </w:rPr>
        <w:t>𝑢</w:t>
      </w:r>
      <w:r>
        <w:rPr>
          <w:rFonts w:ascii="Cambria Math" w:hAnsi="Cambria Math" w:cs="Cambria Math"/>
          <w:vertAlign w:val="subscript"/>
        </w:rPr>
        <w:t>𝑡</w:t>
      </w:r>
      <w:r>
        <w:rPr>
          <w:rFonts w:hint="eastAsia" w:ascii="宋体" w:hAnsi="宋体"/>
        </w:rPr>
        <w:t>∈</w:t>
      </w:r>
      <w:r>
        <w:rPr>
          <w:rFonts w:ascii="Cambria Math" w:hAnsi="Cambria Math" w:cs="Cambria Math"/>
        </w:rPr>
        <w:t>𝑅</w:t>
      </w:r>
      <w:r>
        <w:rPr>
          <w:rFonts w:ascii="Cambria Math" w:hAnsi="Cambria Math" w:cs="Cambria Math"/>
          <w:vertAlign w:val="superscript"/>
        </w:rPr>
        <w:t>𝑑</w:t>
      </w:r>
      <w:r>
        <w:rPr>
          <w:rFonts w:hint="eastAsia" w:ascii="宋体" w:hAnsi="宋体"/>
        </w:rPr>
        <w:t>，构造提升特征 Ψ</w:t>
      </w:r>
      <w:r>
        <w:rPr>
          <w:rFonts w:ascii="宋体" w:hAnsi="宋体"/>
        </w:rPr>
        <w:t>(</w:t>
      </w:r>
      <w:r>
        <w:rPr>
          <w:rFonts w:ascii="Cambria Math" w:hAnsi="Cambria Math" w:cs="Cambria Math"/>
        </w:rPr>
        <w:t>𝑢</w:t>
      </w:r>
      <w:r>
        <w:rPr>
          <w:rFonts w:ascii="宋体" w:hAnsi="宋体"/>
        </w:rPr>
        <w:t>,</w:t>
      </w:r>
      <w:r>
        <w:rPr>
          <w:rFonts w:ascii="Cambria Math" w:hAnsi="Cambria Math" w:cs="Cambria Math"/>
        </w:rPr>
        <w:t>𝑡</w:t>
      </w:r>
      <w:r>
        <w:rPr>
          <w:rFonts w:ascii="宋体" w:hAnsi="宋体"/>
        </w:rPr>
        <w:t>)</w:t>
      </w:r>
      <w:r>
        <w:rPr>
          <w:rFonts w:hint="eastAsia" w:ascii="宋体" w:hAnsi="宋体"/>
        </w:rPr>
        <w:t>∈</w:t>
      </w:r>
      <w:r>
        <w:rPr>
          <w:rFonts w:ascii="Cambria Math" w:hAnsi="Cambria Math" w:cs="Cambria Math"/>
        </w:rPr>
        <w:t>𝑅</w:t>
      </w:r>
      <w:r>
        <w:rPr>
          <w:rFonts w:ascii="Cambria Math" w:hAnsi="Cambria Math" w:cs="Cambria Math"/>
          <w:vertAlign w:val="superscript"/>
        </w:rPr>
        <w:t>𝑝</w:t>
      </w:r>
      <w:r>
        <w:rPr>
          <w:rFonts w:hint="eastAsia" w:ascii="宋体" w:hAnsi="宋体"/>
        </w:rPr>
        <w:t>。采用 EDMD 思想，假设提升特征近似满足线性演化：Ψ</w:t>
      </w:r>
      <w:r>
        <w:rPr>
          <w:rFonts w:ascii="宋体" w:hAnsi="宋体"/>
        </w:rPr>
        <w:t>(</w:t>
      </w:r>
      <w:r>
        <w:rPr>
          <w:rFonts w:ascii="Cambria Math" w:hAnsi="Cambria Math" w:cs="Cambria Math"/>
        </w:rPr>
        <w:t>𝑢</w:t>
      </w:r>
      <w:r>
        <w:rPr>
          <w:rFonts w:ascii="宋体" w:hAnsi="宋体"/>
        </w:rPr>
        <w:t>,</w:t>
      </w:r>
      <w:r>
        <w:rPr>
          <w:rFonts w:ascii="Cambria Math" w:hAnsi="Cambria Math" w:cs="Cambria Math"/>
        </w:rPr>
        <w:t>𝑡</w:t>
      </w:r>
      <w:r>
        <w:rPr>
          <w:rFonts w:ascii="宋体" w:hAnsi="宋体"/>
        </w:rPr>
        <w:t>+1)</w:t>
      </w:r>
      <w:r>
        <w:rPr>
          <w:rFonts w:hint="eastAsia" w:ascii="宋体" w:hAnsi="宋体"/>
        </w:rPr>
        <w:t>≈</w:t>
      </w:r>
      <w:r>
        <w:rPr>
          <w:rFonts w:ascii="Cambria Math" w:hAnsi="Cambria Math" w:cs="Cambria Math"/>
        </w:rPr>
        <w:t>𝐾</w:t>
      </w:r>
      <w:r>
        <w:rPr>
          <w:rFonts w:hint="eastAsia" w:ascii="宋体" w:hAnsi="宋体"/>
        </w:rPr>
        <w:t>Ψ</w:t>
      </w:r>
      <w:r>
        <w:rPr>
          <w:rFonts w:ascii="宋体" w:hAnsi="宋体"/>
        </w:rPr>
        <w:t>(</w:t>
      </w:r>
      <w:r>
        <w:rPr>
          <w:rFonts w:ascii="Cambria Math" w:hAnsi="Cambria Math" w:cs="Cambria Math"/>
        </w:rPr>
        <w:t>𝑢</w:t>
      </w:r>
      <w:r>
        <w:rPr>
          <w:rFonts w:ascii="宋体" w:hAnsi="宋体"/>
        </w:rPr>
        <w:t>,</w:t>
      </w:r>
      <w:r>
        <w:rPr>
          <w:rFonts w:ascii="Cambria Math" w:hAnsi="Cambria Math" w:cs="Cambria Math"/>
        </w:rPr>
        <w:t>𝑡</w:t>
      </w:r>
      <w:r>
        <w:rPr>
          <w:rFonts w:ascii="宋体" w:hAnsi="宋体"/>
        </w:rPr>
        <w:t>)</w:t>
      </w:r>
      <w:r>
        <w:rPr>
          <w:rFonts w:hint="eastAsia" w:ascii="宋体" w:hAnsi="宋体"/>
        </w:rPr>
        <w:t xml:space="preserve">其中 </w:t>
      </w:r>
      <w:r>
        <w:rPr>
          <w:rFonts w:ascii="Cambria Math" w:hAnsi="Cambria Math" w:cs="Cambria Math"/>
        </w:rPr>
        <w:t>𝐾</w:t>
      </w:r>
      <w:r>
        <w:rPr>
          <w:rFonts w:hint="eastAsia" w:ascii="宋体" w:hAnsi="宋体"/>
        </w:rPr>
        <w:t xml:space="preserve"> 由岭回归闭式解给出。标准形式为：</w:t>
      </w:r>
    </w:p>
    <w:p w14:paraId="0AAB00F8">
      <w:pPr>
        <w:spacing w:line="240" w:lineRule="auto"/>
        <w:ind w:firstLine="480"/>
        <w:rPr>
          <w:rFonts w:hint="eastAsia" w:ascii="宋体" w:hAnsi="宋体"/>
        </w:rPr>
      </w:pPr>
      <m:oMathPara>
        <m:oMath>
          <m:r>
            <m:rPr/>
            <w:rPr>
              <w:rFonts w:ascii="Cambria Math" w:hAnsi="Cambria Math"/>
            </w:rPr>
            <m:t>K=</m:t>
          </m:r>
          <m:func>
            <m:funcPr>
              <m:ctrlPr>
                <w:rPr>
                  <w:rFonts w:ascii="Cambria Math" w:hAnsi="Cambria Math"/>
                </w:rPr>
              </m:ctrlPr>
            </m:funcPr>
            <m:fName>
              <m:r>
                <m:rPr>
                  <m:sty m:val="p"/>
                </m:rPr>
                <w:rPr>
                  <w:rFonts w:ascii="Cambria Math" w:hAns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K</m:t>
                      </m:r>
                      <m:ctrlPr>
                        <w:rPr>
                          <w:rFonts w:ascii="Cambria Math" w:hAnsi="Cambria Math"/>
                        </w:rPr>
                      </m:ctrlPr>
                    </m:lim>
                  </m:limLow>
                  <m:ctrlPr>
                    <w:rPr>
                      <w:rFonts w:ascii="Cambria Math" w:hAnsi="Cambria Math"/>
                    </w:rPr>
                  </m:ctrlPr>
                </m:fName>
                <m:e>
                  <m:nary>
                    <m:naryPr>
                      <m:chr m:val="∑"/>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Sup>
                        <m:sSubSupPr>
                          <m:ctrlPr>
                            <w:rPr>
                              <w:rFonts w:ascii="Cambria Math" w:hAnsi="Cambria Math"/>
                            </w:rPr>
                          </m:ctrlPr>
                        </m:sSubSupPr>
                        <m:e>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m:rPr/>
                                    <w:rPr>
                                      <w:rFonts w:ascii="Cambria Math" w:hAnsi="Cambria Math"/>
                                    </w:rPr>
                                    <m:t>u,t+1</m:t>
                                  </m:r>
                                  <m:ctrlPr>
                                    <w:rPr>
                                      <w:rFonts w:ascii="Cambria Math" w:hAnsi="Cambria Math"/>
                                    </w:rPr>
                                  </m:ctrlPr>
                                </m:e>
                              </m:d>
                              <m:r>
                                <m:rPr/>
                                <w:rPr>
                                  <w:rFonts w:ascii="Cambria Math" w:hAnsi="Cambria Math"/>
                                </w:rPr>
                                <m:t>−K</m:t>
                              </m:r>
                              <m:r>
                                <m:rPr>
                                  <m:sty m:val="p"/>
                                </m:rPr>
                                <w:rPr>
                                  <w:rFonts w:ascii="Cambria Math" w:hAnsi="Cambria Math"/>
                                </w:rPr>
                                <m:t>Ψ</m:t>
                              </m:r>
                              <m:d>
                                <m:dPr>
                                  <m:ctrlPr>
                                    <w:rPr>
                                      <w:rFonts w:ascii="Cambria Math" w:hAnsi="Cambria Math"/>
                                    </w:rPr>
                                  </m:ctrlPr>
                                </m:dPr>
                                <m:e>
                                  <m:r>
                                    <m:rPr/>
                                    <w:rPr>
                                      <w:rFonts w:ascii="Cambria Math" w:hAnsi="Cambria Math"/>
                                    </w:rPr>
                                    <m:t>u,t</m:t>
                                  </m:r>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ctrlPr>
                    <w:rPr>
                      <w:rFonts w:ascii="Cambria Math" w:hAnsi="Cambria Math"/>
                    </w:rPr>
                  </m:ctrlPr>
                </m:e>
              </m:func>
              <m:ctrlPr>
                <w:rPr>
                  <w:rFonts w:ascii="Cambria Math" w:hAnsi="Cambria Math"/>
                </w:rPr>
              </m:ctrlPr>
            </m:e>
          </m:func>
          <m:r>
            <m:rPr/>
            <w:rPr>
              <w:rFonts w:ascii="Cambria Math" w:hAnsi="Cambria Math"/>
            </w:rPr>
            <m:t>+β</m:t>
          </m:r>
          <m:sSubSup>
            <m:sSubSupPr>
              <m:ctrlPr>
                <w:rPr>
                  <w:rFonts w:ascii="Cambria Math" w:hAnsi="Cambria Math"/>
                </w:rPr>
              </m:ctrlPr>
            </m:sSubSupPr>
            <m:e>
              <m:d>
                <m:dPr>
                  <m:begChr m:val="‖"/>
                  <m:endChr m:val="‖"/>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6EB9C81A">
      <w:pPr>
        <w:spacing w:line="240" w:lineRule="auto"/>
        <w:ind w:firstLine="480"/>
        <w:rPr>
          <w:rFonts w:hint="eastAsia" w:ascii="宋体" w:hAnsi="宋体"/>
        </w:rPr>
      </w:pPr>
      <w:r>
        <w:rPr>
          <w:rFonts w:hint="eastAsia" w:ascii="宋体" w:hAnsi="宋体"/>
        </w:rPr>
        <w:t>其闭式解为：</w:t>
      </w:r>
    </w:p>
    <w:p w14:paraId="515A5426">
      <w:pPr>
        <w:spacing w:line="240" w:lineRule="auto"/>
        <w:ind w:firstLine="480"/>
        <w:rPr>
          <w:rFonts w:hint="eastAsia" w:ascii="宋体" w:hAnsi="宋体"/>
        </w:rPr>
      </w:pPr>
      <m:oMathPara>
        <m:oMath>
          <m:r>
            <m:rP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Ψ</m:t>
                      </m:r>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Ψ</m:t>
                  </m:r>
                  <m:r>
                    <m:rPr/>
                    <w:rPr>
                      <w:rFonts w:ascii="Cambria Math" w:hAnsi="Cambria Math"/>
                    </w:rPr>
                    <m:t>+βI</m:t>
                  </m:r>
                  <m:ctrlPr>
                    <w:rPr>
                      <w:rFonts w:ascii="Cambria Math" w:hAnsi="Cambria Math"/>
                    </w:rPr>
                  </m:ctrlPr>
                </m:e>
              </m:d>
              <m:ctrlPr>
                <w:rPr>
                  <w:rFonts w:ascii="Cambria Math" w:hAnsi="Cambria Math"/>
                </w:rPr>
              </m:ctrlPr>
            </m:e>
            <m:sup>
              <m:r>
                <m:rPr/>
                <w:rPr>
                  <w:rFonts w:ascii="Cambria Math" w:hAnsi="Cambria Math"/>
                </w:rPr>
                <m:t>−1</m:t>
              </m:r>
              <m:ctrlPr>
                <w:rPr>
                  <w:rFonts w:ascii="Cambria Math" w:hAnsi="Cambria Math"/>
                </w:rPr>
              </m:ctrlPr>
            </m:sup>
          </m:sSup>
          <m:sSup>
            <m:sSupPr>
              <m:ctrlPr>
                <w:rPr>
                  <w:rFonts w:ascii="Cambria Math" w:hAnsi="Cambria Math"/>
                </w:rPr>
              </m:ctrlPr>
            </m:sSupPr>
            <m:e>
              <m:r>
                <m:rPr>
                  <m:sty m:val="p"/>
                </m:rPr>
                <w:rPr>
                  <w:rFonts w:ascii="Cambria Math" w:hAnsi="Cambria Math"/>
                </w:rPr>
                <m:t>Ψ</m:t>
              </m:r>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Ψ</m:t>
          </m:r>
          <m:r>
            <m:rPr/>
            <w:rPr>
              <w:rFonts w:ascii="Cambria Math" w:hAnsi="Cambria Math"/>
            </w:rPr>
            <m:t>'</m:t>
          </m:r>
        </m:oMath>
      </m:oMathPara>
    </w:p>
    <w:p w14:paraId="022D6C27">
      <w:pPr>
        <w:spacing w:line="240" w:lineRule="auto"/>
        <w:ind w:firstLine="480"/>
        <w:rPr>
          <w:rFonts w:hint="eastAsia" w:ascii="宋体" w:hAnsi="宋体"/>
        </w:rPr>
      </w:pPr>
      <w:r>
        <w:rPr>
          <w:rFonts w:hint="eastAsia" w:ascii="宋体" w:hAnsi="宋体"/>
        </w:rPr>
        <w:t>其中 Ψ 的每一行是 Ψ</w:t>
      </w:r>
      <w:r>
        <w:rPr>
          <w:rFonts w:ascii="宋体" w:hAnsi="宋体"/>
        </w:rPr>
        <w:t>(</w:t>
      </w:r>
      <w:r>
        <w:rPr>
          <w:rFonts w:ascii="Cambria Math" w:hAnsi="Cambria Math" w:cs="Cambria Math"/>
        </w:rPr>
        <w:t>𝑢</w:t>
      </w:r>
      <w:r>
        <w:rPr>
          <w:rFonts w:ascii="宋体" w:hAnsi="宋体"/>
        </w:rPr>
        <w:t>,</w:t>
      </w:r>
      <w:r>
        <w:rPr>
          <w:rFonts w:ascii="Cambria Math" w:hAnsi="Cambria Math" w:cs="Cambria Math"/>
        </w:rPr>
        <w:t>𝑡</w:t>
      </w:r>
      <w:r>
        <w:rPr>
          <w:rFonts w:ascii="宋体" w:hAnsi="宋体"/>
        </w:rPr>
        <w:t>)</w:t>
      </w:r>
      <w:r>
        <w:rPr>
          <w:rFonts w:ascii="Cambria Math" w:hAnsi="Cambria Math" w:cs="Cambria Math"/>
          <w:vertAlign w:val="superscript"/>
        </w:rPr>
        <w:t>𝑇</w:t>
      </w:r>
      <w:r>
        <w:rPr>
          <w:rFonts w:hint="eastAsia" w:ascii="宋体" w:hAnsi="宋体"/>
        </w:rPr>
        <w:t>，Ψ′的每一行是 Ψ</w:t>
      </w:r>
      <w:r>
        <w:rPr>
          <w:rFonts w:ascii="宋体" w:hAnsi="宋体"/>
        </w:rPr>
        <w:t>(</w:t>
      </w:r>
      <w:r>
        <w:rPr>
          <w:rFonts w:ascii="Cambria Math" w:hAnsi="Cambria Math" w:cs="Cambria Math"/>
        </w:rPr>
        <w:t>𝑢</w:t>
      </w:r>
      <w:r>
        <w:rPr>
          <w:rFonts w:ascii="宋体" w:hAnsi="宋体"/>
        </w:rPr>
        <w:t>,</w:t>
      </w:r>
      <w:r>
        <w:rPr>
          <w:rFonts w:ascii="Cambria Math" w:hAnsi="Cambria Math" w:cs="Cambria Math"/>
        </w:rPr>
        <w:t>𝑡</w:t>
      </w:r>
      <w:r>
        <w:rPr>
          <w:rFonts w:ascii="宋体" w:hAnsi="宋体"/>
        </w:rPr>
        <w:t>+1)</w:t>
      </w:r>
      <w:r>
        <w:rPr>
          <w:rFonts w:ascii="Cambria Math" w:hAnsi="Cambria Math" w:cs="Cambria Math"/>
          <w:vertAlign w:val="superscript"/>
        </w:rPr>
        <w:t>𝑇</w:t>
      </w:r>
      <w:r>
        <w:rPr>
          <w:rFonts w:hint="eastAsia" w:ascii="宋体" w:hAnsi="宋体"/>
        </w:rPr>
        <w:t>。读出层同样采用岭回归：</w:t>
      </w:r>
    </w:p>
    <w:p w14:paraId="175AC713">
      <w:pPr>
        <w:spacing w:line="240" w:lineRule="auto"/>
        <w:ind w:firstLine="480"/>
        <w:rPr>
          <w:rFonts w:hint="eastAsia" w:ascii="宋体" w:hAnsi="宋体"/>
        </w:rPr>
      </w:pPr>
      <m:oMathPara>
        <m:oMath>
          <m:sSub>
            <m:sSubPr>
              <m:ctrlPr>
                <w:rPr>
                  <w:rFonts w:ascii="Cambria Math" w:hAnsi="Cambria Math"/>
                </w:rPr>
              </m:ctrlPr>
            </m:sSubPr>
            <m:e>
              <m:acc>
                <m:accPr>
                  <m:chr m:val="ˆ"/>
                  <m:ctrlPr>
                    <w:rPr>
                      <w:rFonts w:ascii="Cambria Math" w:hAnsi="Cambria Math"/>
                    </w:rPr>
                  </m:ctrlPr>
                </m:accPr>
                <m:e>
                  <m:r>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Ψ</m:t>
          </m:r>
          <m:d>
            <m:dPr>
              <m:ctrlPr>
                <w:rPr>
                  <w:rFonts w:ascii="Cambria Math" w:hAnsi="Cambria Math"/>
                </w:rPr>
              </m:ctrlPr>
            </m:dPr>
            <m:e>
              <m:r>
                <m:rPr/>
                <w:rPr>
                  <w:rFonts w:ascii="Cambria Math" w:hAnsi="Cambria Math"/>
                </w:rPr>
                <m:t>u,t</m:t>
              </m:r>
              <m:ctrlPr>
                <w:rPr>
                  <w:rFonts w:ascii="Cambria Math" w:hAnsi="Cambria Math"/>
                </w:rPr>
              </m:ctrlPr>
            </m:e>
          </m:d>
        </m:oMath>
      </m:oMathPara>
    </w:p>
    <w:p w14:paraId="726FF4B8">
      <w:pPr>
        <w:spacing w:line="240" w:lineRule="auto"/>
        <w:ind w:firstLine="480"/>
        <w:rPr>
          <w:rFonts w:hint="eastAsia" w:ascii="宋体" w:hAnsi="宋体"/>
        </w:rPr>
      </w:pPr>
      <m:oMathPara>
        <m:oMath>
          <m:r>
            <m:rPr/>
            <w:rPr>
              <w:rFonts w:ascii="Cambria Math" w:hAnsi="Cambria Math"/>
            </w:rPr>
            <m:t>w=</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Ψ</m:t>
                      </m:r>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Ψ</m:t>
                  </m:r>
                  <m:r>
                    <m:rPr/>
                    <w:rPr>
                      <w:rFonts w:ascii="Cambria Math" w:hAnsi="Cambria Math"/>
                    </w:rPr>
                    <m:t>+βI</m:t>
                  </m:r>
                  <m:ctrlPr>
                    <w:rPr>
                      <w:rFonts w:ascii="Cambria Math" w:hAnsi="Cambria Math"/>
                    </w:rPr>
                  </m:ctrlPr>
                </m:e>
              </m:d>
              <m:ctrlPr>
                <w:rPr>
                  <w:rFonts w:ascii="Cambria Math" w:hAnsi="Cambria Math"/>
                </w:rPr>
              </m:ctrlPr>
            </m:e>
            <m:sup>
              <m:r>
                <m:rPr/>
                <w:rPr>
                  <w:rFonts w:ascii="Cambria Math" w:hAnsi="Cambria Math"/>
                </w:rPr>
                <m:t>−1</m:t>
              </m:r>
              <m:ctrlPr>
                <w:rPr>
                  <w:rFonts w:ascii="Cambria Math" w:hAnsi="Cambria Math"/>
                </w:rPr>
              </m:ctrlPr>
            </m:sup>
          </m:sSup>
          <m:sSup>
            <m:sSupPr>
              <m:ctrlPr>
                <w:rPr>
                  <w:rFonts w:ascii="Cambria Math" w:hAnsi="Cambria Math"/>
                </w:rPr>
              </m:ctrlPr>
            </m:sSupPr>
            <m:e>
              <m:r>
                <m:rPr>
                  <m:sty m:val="p"/>
                </m:rPr>
                <w:rPr>
                  <w:rFonts w:ascii="Cambria Math" w:hAnsi="Cambria Math"/>
                </w:rPr>
                <m:t>Ψ</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h</m:t>
          </m:r>
        </m:oMath>
      </m:oMathPara>
    </w:p>
    <w:p w14:paraId="3CDE3EC1">
      <w:pPr>
        <w:spacing w:line="240" w:lineRule="auto"/>
        <w:ind w:firstLine="480"/>
        <w:rPr>
          <w:rFonts w:ascii="宋体" w:hAnsi="宋体"/>
        </w:rPr>
      </w:pPr>
      <w:r>
        <w:rPr>
          <w:rFonts w:hint="eastAsia" w:ascii="宋体" w:hAnsi="宋体"/>
        </w:rPr>
        <w:t>其中h 为窟内 RH 合成标签。</w:t>
      </w:r>
      <w:r>
        <w:rPr>
          <w:rFonts w:ascii="Cambria Math" w:hAnsi="Cambria Math" w:cs="Cambria Math"/>
        </w:rPr>
        <w:t>𝐾</w:t>
      </w:r>
      <w:r>
        <w:rPr>
          <w:rFonts w:hint="eastAsia" w:ascii="宋体" w:hAnsi="宋体"/>
        </w:rPr>
        <w:t>的特征值谱给出物理可解释的时间常数与衰减率。两个解均不含反向传播，满足“纯 CPU、无 BPTT”的部署约束。</w:t>
      </w:r>
    </w:p>
    <w:p w14:paraId="53A5BC68">
      <w:pPr>
        <w:spacing w:line="240" w:lineRule="auto"/>
        <w:ind w:firstLine="480"/>
        <w:rPr>
          <w:rFonts w:hint="eastAsia" w:ascii="宋体" w:hAnsi="宋体"/>
        </w:rPr>
      </w:pPr>
    </w:p>
    <w:p w14:paraId="4452140D">
      <w:pPr>
        <w:spacing w:line="240" w:lineRule="auto"/>
        <w:ind w:firstLine="0" w:firstLineChars="0"/>
        <w:rPr>
          <w:rFonts w:hint="eastAsia" w:ascii="宋体" w:hAnsi="宋体"/>
          <w:b/>
          <w:bCs/>
        </w:rPr>
      </w:pPr>
      <w:r>
        <w:rPr>
          <w:rFonts w:hint="eastAsia" w:ascii="宋体" w:hAnsi="宋体"/>
          <w:b/>
          <w:bCs/>
        </w:rPr>
        <w:t>（2）</w:t>
      </w:r>
      <w:r>
        <w:rPr>
          <w:rFonts w:ascii="宋体" w:hAnsi="宋体"/>
          <w:b/>
          <w:bCs/>
        </w:rPr>
        <w:t>特征设计及物理动机</w:t>
      </w:r>
    </w:p>
    <w:p w14:paraId="2D912B8E">
      <w:pPr>
        <w:spacing w:line="240" w:lineRule="auto"/>
        <w:ind w:firstLine="0" w:firstLineChars="0"/>
        <w:rPr>
          <w:rFonts w:hint="eastAsia" w:ascii="宋体" w:hAnsi="宋体"/>
        </w:rPr>
      </w:pPr>
      <w:r>
        <w:rPr>
          <w:rFonts w:ascii="宋体" w:hAnsi="宋体"/>
        </w:rPr>
        <w:t>Ψ 由三族构成，共 258 维，每族对应明确物理量：</w:t>
      </w:r>
    </w:p>
    <w:p w14:paraId="31D9B309">
      <w:pPr>
        <w:pStyle w:val="6"/>
        <w:keepNext/>
        <w:ind w:firstLine="3000" w:firstLineChars="1500"/>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2</w:t>
      </w:r>
      <w:r>
        <w:fldChar w:fldCharType="end"/>
      </w:r>
      <w:r>
        <w:rPr>
          <w:rFonts w:hint="eastAsia"/>
        </w:rPr>
        <w:t>特证设计及物理动机</w:t>
      </w:r>
    </w:p>
    <w:tbl>
      <w:tblPr>
        <w:tblStyle w:val="28"/>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1"/>
        <w:gridCol w:w="2267"/>
        <w:gridCol w:w="3396"/>
      </w:tblGrid>
      <w:tr w14:paraId="1E5200C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bottom w:val="single" w:color="7E7E7E" w:themeColor="text1" w:themeTint="80" w:sz="4" w:space="0"/>
              <w:insideH w:val="single" w:sz="4" w:space="0"/>
            </w:tcBorders>
          </w:tcPr>
          <w:p w14:paraId="33E95E32">
            <w:pPr>
              <w:spacing w:line="240" w:lineRule="auto"/>
              <w:ind w:firstLine="0" w:firstLineChars="0"/>
              <w:rPr>
                <w:rFonts w:hint="eastAsia" w:ascii="宋体" w:hAnsi="宋体"/>
                <w:b/>
                <w:bCs/>
              </w:rPr>
            </w:pPr>
            <w:r>
              <w:rPr>
                <w:rFonts w:ascii="宋体" w:hAnsi="宋体"/>
                <w:b/>
                <w:bCs/>
              </w:rPr>
              <w:t>特征族</w:t>
            </w:r>
          </w:p>
        </w:tc>
        <w:tc>
          <w:tcPr>
            <w:tcW w:w="2267" w:type="dxa"/>
            <w:tcBorders>
              <w:bottom w:val="single" w:color="7E7E7E" w:themeColor="text1" w:themeTint="80" w:sz="4" w:space="0"/>
              <w:insideH w:val="single" w:sz="4" w:space="0"/>
            </w:tcBorders>
          </w:tcPr>
          <w:p w14:paraId="1ACF8367">
            <w:pPr>
              <w:spacing w:line="240" w:lineRule="auto"/>
              <w:ind w:firstLine="0" w:firstLineChars="0"/>
              <w:rPr>
                <w:rFonts w:hint="eastAsia" w:ascii="宋体" w:hAnsi="宋体"/>
                <w:b/>
                <w:bCs/>
              </w:rPr>
            </w:pPr>
            <w:r>
              <w:rPr>
                <w:rFonts w:ascii="宋体" w:hAnsi="宋体"/>
                <w:b/>
                <w:bCs/>
              </w:rPr>
              <w:t>维度</w:t>
            </w:r>
          </w:p>
        </w:tc>
        <w:tc>
          <w:tcPr>
            <w:tcW w:w="3396" w:type="dxa"/>
            <w:tcBorders>
              <w:bottom w:val="single" w:color="7E7E7E" w:themeColor="text1" w:themeTint="80" w:sz="4" w:space="0"/>
              <w:insideH w:val="single" w:sz="4" w:space="0"/>
            </w:tcBorders>
          </w:tcPr>
          <w:p w14:paraId="25F0B4BA">
            <w:pPr>
              <w:spacing w:line="240" w:lineRule="auto"/>
              <w:ind w:firstLine="0" w:firstLineChars="0"/>
              <w:rPr>
                <w:rFonts w:hint="eastAsia" w:ascii="宋体" w:hAnsi="宋体"/>
                <w:b/>
                <w:bCs/>
              </w:rPr>
            </w:pPr>
            <w:r>
              <w:rPr>
                <w:rFonts w:ascii="宋体" w:hAnsi="宋体"/>
                <w:b/>
                <w:bCs/>
              </w:rPr>
              <w:t>物理含义</w:t>
            </w:r>
          </w:p>
        </w:tc>
      </w:tr>
      <w:tr w14:paraId="40D2317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top w:val="single" w:color="7E7E7E" w:themeColor="text1" w:themeTint="80" w:sz="4" w:space="0"/>
              <w:bottom w:val="single" w:color="7E7E7E" w:themeColor="text1" w:themeTint="80" w:sz="4" w:space="0"/>
              <w:insideH w:val="single" w:sz="4" w:space="0"/>
            </w:tcBorders>
          </w:tcPr>
          <w:p w14:paraId="4AF50838">
            <w:pPr>
              <w:spacing w:line="240" w:lineRule="auto"/>
              <w:ind w:firstLine="0" w:firstLineChars="0"/>
              <w:rPr>
                <w:rFonts w:hint="eastAsia" w:ascii="宋体" w:hAnsi="宋体"/>
                <w:b/>
                <w:bCs/>
              </w:rPr>
            </w:pPr>
            <w:r>
              <w:rPr>
                <w:rFonts w:ascii="宋体" w:hAnsi="宋体"/>
                <w:b/>
                <w:bCs/>
              </w:rPr>
              <w:t>快变延迟坐标</w:t>
            </w:r>
          </w:p>
        </w:tc>
        <w:tc>
          <w:tcPr>
            <w:tcW w:w="2267" w:type="dxa"/>
            <w:tcBorders>
              <w:top w:val="single" w:color="7E7E7E" w:themeColor="text1" w:themeTint="80" w:sz="4" w:space="0"/>
              <w:bottom w:val="single" w:color="7E7E7E" w:themeColor="text1" w:themeTint="80" w:sz="4" w:space="0"/>
              <w:insideH w:val="single" w:sz="4" w:space="0"/>
            </w:tcBorders>
          </w:tcPr>
          <w:p w14:paraId="35492715">
            <w:pPr>
              <w:spacing w:line="240" w:lineRule="auto"/>
              <w:ind w:firstLine="0" w:firstLineChars="0"/>
              <w:rPr>
                <w:rFonts w:hint="eastAsia" w:ascii="宋体" w:hAnsi="宋体"/>
              </w:rPr>
            </w:pPr>
            <w:r>
              <w:rPr>
                <w:rFonts w:ascii="宋体" w:hAnsi="宋体"/>
              </w:rPr>
              <w:t>48 × 5 = 240</w:t>
            </w:r>
          </w:p>
        </w:tc>
        <w:tc>
          <w:tcPr>
            <w:tcW w:w="3396" w:type="dxa"/>
            <w:tcBorders>
              <w:top w:val="single" w:color="7E7E7E" w:themeColor="text1" w:themeTint="80" w:sz="4" w:space="0"/>
              <w:bottom w:val="single" w:color="7E7E7E" w:themeColor="text1" w:themeTint="80" w:sz="4" w:space="0"/>
              <w:insideH w:val="single" w:sz="4" w:space="0"/>
            </w:tcBorders>
          </w:tcPr>
          <w:p w14:paraId="526D2931">
            <w:pPr>
              <w:spacing w:line="240" w:lineRule="auto"/>
              <w:ind w:firstLine="0" w:firstLineChars="0"/>
              <w:rPr>
                <w:rFonts w:hint="eastAsia" w:ascii="宋体" w:hAnsi="宋体"/>
              </w:rPr>
            </w:pPr>
            <w:r>
              <w:rPr>
                <w:rFonts w:ascii="宋体" w:hAnsi="宋体"/>
              </w:rPr>
              <w:t>日循环与天气过程的高频响应</w:t>
            </w:r>
          </w:p>
        </w:tc>
      </w:tr>
      <w:tr w14:paraId="5E61F4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Pr>
          <w:p w14:paraId="5AC074F3">
            <w:pPr>
              <w:spacing w:line="240" w:lineRule="auto"/>
              <w:ind w:firstLine="0" w:firstLineChars="0"/>
              <w:rPr>
                <w:rFonts w:hint="eastAsia" w:ascii="宋体" w:hAnsi="宋体"/>
                <w:b/>
                <w:bCs/>
              </w:rPr>
            </w:pPr>
            <w:r>
              <w:rPr>
                <w:rFonts w:ascii="宋体" w:hAnsi="宋体"/>
                <w:b/>
                <w:bCs/>
              </w:rPr>
              <w:t>多尺度滑动均值</w:t>
            </w:r>
          </w:p>
        </w:tc>
        <w:tc>
          <w:tcPr>
            <w:tcW w:w="2267" w:type="dxa"/>
          </w:tcPr>
          <w:p w14:paraId="24537C80">
            <w:pPr>
              <w:spacing w:line="240" w:lineRule="auto"/>
              <w:ind w:firstLine="0" w:firstLineChars="0"/>
              <w:rPr>
                <w:rFonts w:hint="eastAsia" w:ascii="宋体" w:hAnsi="宋体"/>
              </w:rPr>
            </w:pPr>
            <w:r>
              <w:rPr>
                <w:rFonts w:hint="eastAsia" w:ascii="宋体" w:hAnsi="宋体"/>
              </w:rPr>
              <w:t>12</w:t>
            </w:r>
          </w:p>
        </w:tc>
        <w:tc>
          <w:tcPr>
            <w:tcW w:w="3396" w:type="dxa"/>
          </w:tcPr>
          <w:p w14:paraId="31DBF565">
            <w:pPr>
              <w:spacing w:line="240" w:lineRule="auto"/>
              <w:ind w:firstLine="0" w:firstLineChars="0"/>
              <w:rPr>
                <w:rFonts w:hint="eastAsia" w:ascii="宋体" w:hAnsi="宋体"/>
              </w:rPr>
            </w:pPr>
            <w:r>
              <w:rPr>
                <w:rFonts w:ascii="宋体" w:hAnsi="宋体"/>
              </w:rPr>
              <w:t>窟壁温度本质是室外气温的低通滤波结果，显式给出“慢热状态”。窗口 1/3/7/30/90/365 天</w:t>
            </w:r>
          </w:p>
        </w:tc>
      </w:tr>
      <w:tr w14:paraId="42359D0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tcBorders>
              <w:top w:val="single" w:color="7E7E7E" w:themeColor="text1" w:themeTint="80" w:sz="4" w:space="0"/>
              <w:bottom w:val="single" w:color="7E7E7E" w:themeColor="text1" w:themeTint="80" w:sz="4" w:space="0"/>
              <w:insideH w:val="single" w:sz="4" w:space="0"/>
            </w:tcBorders>
          </w:tcPr>
          <w:p w14:paraId="6EF4EB56">
            <w:pPr>
              <w:spacing w:line="240" w:lineRule="auto"/>
              <w:ind w:firstLine="0" w:firstLineChars="0"/>
              <w:rPr>
                <w:rFonts w:hint="eastAsia" w:ascii="宋体" w:hAnsi="宋体"/>
                <w:b/>
                <w:bCs/>
              </w:rPr>
            </w:pPr>
            <w:r>
              <w:rPr>
                <w:rFonts w:ascii="宋体" w:hAnsi="宋体"/>
                <w:b/>
                <w:bCs/>
              </w:rPr>
              <w:t>Magnus 比值项</w:t>
            </w:r>
          </w:p>
        </w:tc>
        <w:tc>
          <w:tcPr>
            <w:tcW w:w="2267" w:type="dxa"/>
            <w:tcBorders>
              <w:top w:val="single" w:color="7E7E7E" w:themeColor="text1" w:themeTint="80" w:sz="4" w:space="0"/>
              <w:bottom w:val="single" w:color="7E7E7E" w:themeColor="text1" w:themeTint="80" w:sz="4" w:space="0"/>
              <w:insideH w:val="single" w:sz="4" w:space="0"/>
            </w:tcBorders>
          </w:tcPr>
          <w:p w14:paraId="44F5358F">
            <w:pPr>
              <w:spacing w:line="240" w:lineRule="auto"/>
              <w:ind w:firstLine="0" w:firstLineChars="0"/>
              <w:rPr>
                <w:rFonts w:hint="eastAsia" w:ascii="宋体" w:hAnsi="宋体"/>
              </w:rPr>
            </w:pPr>
            <w:r>
              <w:rPr>
                <w:rFonts w:hint="eastAsia" w:ascii="宋体" w:hAnsi="宋体"/>
              </w:rPr>
              <w:t>6</w:t>
            </w:r>
          </w:p>
        </w:tc>
        <w:tc>
          <w:tcPr>
            <w:tcW w:w="3396" w:type="dxa"/>
            <w:tcBorders>
              <w:top w:val="single" w:color="7E7E7E" w:themeColor="text1" w:themeTint="80" w:sz="4" w:space="0"/>
              <w:bottom w:val="single" w:color="7E7E7E" w:themeColor="text1" w:themeTint="80" w:sz="4" w:space="0"/>
              <w:insideH w:val="single" w:sz="4" w:space="0"/>
            </w:tcBorders>
          </w:tcPr>
          <w:p w14:paraId="0E147769">
            <w:pPr>
              <w:spacing w:line="240" w:lineRule="auto"/>
              <w:ind w:firstLine="0" w:firstLineChars="0"/>
              <w:rPr>
                <w:rFonts w:hint="eastAsia" w:ascii="宋体" w:hAnsi="宋体"/>
              </w:rPr>
            </w:pPr>
            <w:r>
              <w:rPr>
                <w:rFonts w:hint="eastAsia" w:ascii="宋体" w:hAnsi="宋体"/>
              </w:rPr>
              <w:t xml:space="preserve">因 </w:t>
            </w:r>
            <w:r>
              <w:rPr>
                <w:rFonts w:ascii="Cambria Math" w:hAnsi="Cambria Math" w:cs="Cambria Math"/>
              </w:rPr>
              <w:t>𝑅𝐻</w:t>
            </w:r>
            <w:r>
              <w:rPr>
                <w:rFonts w:ascii="宋体" w:hAnsi="宋体"/>
              </w:rPr>
              <w:t>=</w:t>
            </w:r>
            <w:r>
              <w:rPr>
                <w:rFonts w:ascii="Cambria Math" w:hAnsi="Cambria Math" w:cs="Cambria Math"/>
              </w:rPr>
              <w:t>𝑞</w:t>
            </w:r>
            <w:r>
              <w:rPr>
                <w:rFonts w:ascii="宋体" w:hAnsi="宋体"/>
              </w:rPr>
              <w:t>/</w:t>
            </w:r>
            <w:r>
              <w:rPr>
                <w:rFonts w:ascii="Cambria Math" w:hAnsi="Cambria Math" w:cs="Cambria Math"/>
              </w:rPr>
              <w:t>𝑞</w:t>
            </w:r>
            <w:r>
              <w:rPr>
                <w:rFonts w:ascii="Cambria Math" w:hAnsi="Cambria Math" w:cs="Cambria Math"/>
                <w:vertAlign w:val="subscript"/>
              </w:rPr>
              <w:t>𝑠𝑎𝑡</w:t>
            </w:r>
            <w:r>
              <w:rPr>
                <w:rFonts w:ascii="宋体" w:hAnsi="宋体"/>
              </w:rPr>
              <w:t>(</w:t>
            </w:r>
            <w:r>
              <w:rPr>
                <w:rFonts w:ascii="Cambria Math" w:hAnsi="Cambria Math" w:cs="Cambria Math"/>
              </w:rPr>
              <w:t>𝑇</w:t>
            </w:r>
            <w:r>
              <w:rPr>
                <w:rFonts w:ascii="宋体" w:hAnsi="宋体"/>
              </w:rPr>
              <w:t>)</w:t>
            </w:r>
            <w:r>
              <w:rPr>
                <w:rFonts w:hint="eastAsia" w:ascii="宋体" w:hAnsi="宋体"/>
              </w:rPr>
              <w:t>，把温湿耦合的非线性直接写进特征，而非指望线性读出层去逼近</w:t>
            </w:r>
          </w:p>
        </w:tc>
      </w:tr>
    </w:tbl>
    <w:p w14:paraId="259B5ADB">
      <w:pPr>
        <w:spacing w:line="240" w:lineRule="auto"/>
        <w:ind w:firstLine="0" w:firstLineChars="0"/>
        <w:rPr>
          <w:rFonts w:hint="eastAsia" w:ascii="宋体" w:hAnsi="宋体"/>
        </w:rPr>
      </w:pPr>
      <w:r>
        <w:rPr>
          <w:rFonts w:hint="eastAsia" w:ascii="宋体" w:hAnsi="宋体"/>
        </w:rPr>
        <w:t>严格因果：第 t 行只依赖≤t 时刻信息，没有未来信息的泄露。</w:t>
      </w:r>
    </w:p>
    <w:p w14:paraId="7E07AC54">
      <w:pPr>
        <w:spacing w:line="240" w:lineRule="auto"/>
        <w:ind w:firstLine="0" w:firstLineChars="0"/>
        <w:rPr>
          <w:rFonts w:hint="eastAsia" w:ascii="宋体" w:hAnsi="宋体"/>
          <w:b/>
          <w:bCs/>
        </w:rPr>
      </w:pPr>
      <w:r>
        <w:rPr>
          <w:rFonts w:hint="eastAsia" w:ascii="宋体" w:hAnsi="宋体"/>
          <w:b/>
          <w:bCs/>
        </w:rPr>
        <w:t>（3）物理可解释性及使用边界</w:t>
      </w:r>
    </w:p>
    <w:p w14:paraId="71C540F3">
      <w:pPr>
        <w:spacing w:line="240" w:lineRule="auto"/>
        <w:ind w:firstLine="480"/>
        <w:rPr>
          <w:rFonts w:hint="eastAsia" w:ascii="宋体" w:hAnsi="宋体"/>
        </w:rPr>
      </w:pPr>
      <w:r>
        <w:rPr>
          <w:rFonts w:hint="eastAsia" w:ascii="宋体" w:hAnsi="宋体"/>
        </w:rPr>
        <w:t xml:space="preserve">spectrum() 给出 K 的慢变特征值谱（衰减时间常数 </w:t>
      </w:r>
      <w:r>
        <w:rPr>
          <w:rFonts w:ascii="Cambria Math" w:hAnsi="Cambria Math" w:cs="Cambria Math"/>
        </w:rPr>
        <w:t>𝜏</w:t>
      </w:r>
      <w:r>
        <w:rPr>
          <w:rFonts w:hint="eastAsia" w:ascii="宋体" w:hAnsi="宋体"/>
        </w:rPr>
        <w:t>与振荡周期）。group_importance() 给出特征族权重占比，用于回答“模型学到了哪条物理通道”。</w:t>
      </w:r>
    </w:p>
    <w:p w14:paraId="0233AD5F">
      <w:pPr>
        <w:spacing w:line="240" w:lineRule="auto"/>
        <w:ind w:firstLine="0" w:firstLineChars="0"/>
        <w:rPr>
          <w:rFonts w:hint="eastAsia" w:ascii="宋体" w:hAnsi="宋体"/>
        </w:rPr>
      </w:pPr>
      <w:r>
        <w:rPr>
          <w:rFonts w:hint="eastAsia" w:ascii="宋体" w:hAnsi="宋体"/>
        </w:rPr>
        <w:t>解释边界：</w:t>
      </w:r>
    </w:p>
    <w:p w14:paraId="286FDBFF">
      <w:pPr>
        <w:spacing w:line="240" w:lineRule="auto"/>
        <w:ind w:firstLine="480"/>
        <w:rPr>
          <w:rFonts w:hint="eastAsia" w:ascii="宋体" w:hAnsi="宋体"/>
        </w:rPr>
      </w:pPr>
      <w:r>
        <w:rPr>
          <w:rFonts w:ascii="Cambria Math" w:hAnsi="Cambria Math" w:cs="Cambria Math"/>
        </w:rPr>
        <w:t>𝐾</w:t>
      </w:r>
      <w:r>
        <w:rPr>
          <w:rFonts w:hint="eastAsia" w:ascii="宋体" w:hAnsi="宋体"/>
        </w:rPr>
        <w:t>接近 1 的特征值部分来自滑动均值特征构造本身的低通性质，因此只有谱中清晰的 24 h 模态与年周期模态可用于物理论述，</w:t>
      </w:r>
      <w:r>
        <w:rPr>
          <w:rFonts w:ascii="Cambria Math" w:hAnsi="Cambria Math" w:cs="Cambria Math"/>
        </w:rPr>
        <w:t>𝜏</w:t>
      </w:r>
      <w:r>
        <w:rPr>
          <w:rFonts w:hint="eastAsia" w:ascii="宋体" w:hAnsi="宋体"/>
        </w:rPr>
        <w:t>数值不得直接与文献的换气次数做数值对表，只做量级一致性陈述。</w:t>
      </w:r>
    </w:p>
    <w:p w14:paraId="69BA49FE">
      <w:pPr>
        <w:spacing w:line="240" w:lineRule="auto"/>
        <w:ind w:firstLine="0" w:firstLineChars="0"/>
        <w:rPr>
          <w:rFonts w:ascii="宋体" w:hAnsi="宋体"/>
          <w:b/>
          <w:bCs/>
        </w:rPr>
      </w:pPr>
    </w:p>
    <w:p w14:paraId="4A393280">
      <w:pPr>
        <w:spacing w:line="240" w:lineRule="auto"/>
        <w:ind w:firstLine="0" w:firstLineChars="0"/>
        <w:rPr>
          <w:rFonts w:hint="eastAsia" w:ascii="宋体" w:hAnsi="宋体"/>
          <w:b/>
          <w:bCs/>
        </w:rPr>
      </w:pPr>
      <w:r>
        <w:rPr>
          <w:rFonts w:ascii="宋体" w:hAnsi="宋体"/>
          <w:b/>
          <w:bCs/>
        </w:rPr>
        <w:t>第三阶段：</w:t>
      </w:r>
      <w:r>
        <w:rPr>
          <w:rFonts w:hint="eastAsia" w:ascii="宋体" w:hAnsi="宋体"/>
          <w:b/>
          <w:bCs/>
        </w:rPr>
        <w:t>L3</w:t>
      </w:r>
      <w:r>
        <w:rPr>
          <w:rFonts w:ascii="宋体" w:hAnsi="宋体"/>
          <w:b/>
          <w:bCs/>
        </w:rPr>
        <w:t>风险对齐训练。</w:t>
      </w:r>
    </w:p>
    <w:p w14:paraId="7ECA4529">
      <w:pPr>
        <w:spacing w:line="240" w:lineRule="auto"/>
        <w:ind w:firstLine="480"/>
        <w:rPr>
          <w:rFonts w:ascii="宋体" w:hAnsi="宋体"/>
        </w:rPr>
      </w:pPr>
      <w:r>
        <w:rPr>
          <w:rFonts w:ascii="宋体" w:hAnsi="宋体"/>
        </w:rPr>
        <w:t>本作品采用已有的 twCRPS 评分规则，将其从评价指标转化为训练目标，提出面向‘阈值+持续时间’型损伤判据的风险对齐训练。</w:t>
      </w:r>
    </w:p>
    <w:p w14:paraId="7D31511C">
      <w:pPr>
        <w:spacing w:line="240" w:lineRule="auto"/>
        <w:ind w:firstLine="480"/>
        <w:rPr>
          <w:rFonts w:hint="eastAsia" w:ascii="宋体" w:hAnsi="宋体"/>
        </w:rPr>
      </w:pPr>
    </w:p>
    <w:p w14:paraId="632DA27A">
      <w:pPr>
        <w:spacing w:line="240" w:lineRule="auto"/>
        <w:ind w:firstLine="0" w:firstLineChars="0"/>
        <w:rPr>
          <w:rFonts w:hint="eastAsia" w:ascii="宋体" w:hAnsi="宋体"/>
          <w:b/>
          <w:bCs/>
        </w:rPr>
      </w:pPr>
      <w:r>
        <w:rPr>
          <w:rFonts w:hint="eastAsia" w:ascii="宋体" w:hAnsi="宋体"/>
          <w:b/>
          <w:bCs/>
        </w:rPr>
        <w:t>（1）方法：阈值加权连续排序概率评分 twCRPS</w:t>
      </w:r>
    </w:p>
    <w:p w14:paraId="023B5E4D">
      <w:pPr>
        <w:spacing w:line="240" w:lineRule="auto"/>
        <w:ind w:firstLine="480"/>
        <w:rPr>
          <w:rFonts w:hint="eastAsia" w:ascii="宋体" w:hAnsi="宋体"/>
        </w:rPr>
      </w:pPr>
      <w:r>
        <w:rPr>
          <w:rFonts w:hint="eastAsia" w:ascii="宋体" w:hAnsi="宋体"/>
        </w:rPr>
        <w:t>采用 Gneiting &amp; Ranjan（2011）提出的 twCRPS：</w:t>
      </w:r>
    </w:p>
    <w:p w14:paraId="3A9D7475">
      <w:pPr>
        <w:spacing w:line="240" w:lineRule="auto"/>
        <w:ind w:firstLine="480"/>
        <w:rPr>
          <w:rFonts w:hint="eastAsia" w:ascii="宋体" w:hAnsi="宋体"/>
        </w:rPr>
      </w:pPr>
      <m:oMathPara>
        <m:oMath>
          <m:r>
            <m:rPr>
              <m:sty m:val="p"/>
            </m:rPr>
            <w:rPr>
              <w:rFonts w:ascii="Cambria Math" w:hAnsi="Cambria Math"/>
            </w:rPr>
            <m:t>twCRPS</m:t>
          </m:r>
          <m:d>
            <m:dPr>
              <m:ctrlPr>
                <w:rPr>
                  <w:rFonts w:ascii="Cambria Math" w:hAnsi="Cambria Math"/>
                </w:rPr>
              </m:ctrlPr>
            </m:dPr>
            <m:e>
              <m:r>
                <m:rPr/>
                <w:rPr>
                  <w:rFonts w:ascii="Cambria Math" w:hAnsi="Cambria Math"/>
                </w:rPr>
                <m:t>F,y;v</m:t>
              </m:r>
              <m:ctrlPr>
                <w:rPr>
                  <w:rFonts w:ascii="Cambria Math" w:hAnsi="Cambria Math"/>
                </w:rPr>
              </m:ctrlPr>
            </m:e>
          </m:d>
          <m:r>
            <m:rPr/>
            <w:rPr>
              <w:rFonts w:ascii="Cambria Math" w:hAnsi="Cambria Math"/>
            </w:rPr>
            <m:t>=</m:t>
          </m:r>
          <m:nary>
            <m:naryPr>
              <m:limLoc m:val="subSup"/>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p>
                <m:sSupPr>
                  <m:ctrlPr>
                    <w:rPr>
                      <w:rFonts w:ascii="Cambria Math" w:hAnsi="Cambria Math"/>
                    </w:rPr>
                  </m:ctrlPr>
                </m:sSupPr>
                <m:e>
                  <m:d>
                    <m:dPr>
                      <m:ctrlPr>
                        <w:rPr>
                          <w:rFonts w:ascii="Cambria Math" w:hAnsi="Cambria Math"/>
                        </w:rPr>
                      </m:ctrlPr>
                    </m:dPr>
                    <m:e>
                      <m:r>
                        <m:rPr/>
                        <w:rPr>
                          <w:rFonts w:ascii="Cambria Math" w:hAnsi="Cambria Math"/>
                        </w:rPr>
                        <m:t>F</m:t>
                      </m:r>
                      <m:d>
                        <m:dPr>
                          <m:ctrlPr>
                            <w:rPr>
                              <w:rFonts w:ascii="Cambria Math" w:hAnsi="Cambria Math"/>
                            </w:rPr>
                          </m:ctrlPr>
                        </m:dPr>
                        <m:e>
                          <m:r>
                            <m:rPr/>
                            <w:rPr>
                              <w:rFonts w:ascii="Cambria Math" w:hAnsi="Cambria Math"/>
                            </w:rPr>
                            <m:t>z</m:t>
                          </m:r>
                          <m:ctrlPr>
                            <w:rPr>
                              <w:rFonts w:ascii="Cambria Math" w:hAnsi="Cambria Math"/>
                            </w:rPr>
                          </m:ctrlPr>
                        </m:e>
                      </m:d>
                      <m:r>
                        <m:rPr/>
                        <w:rPr>
                          <w:rFonts w:ascii="Cambria Math" w:hAnsi="Cambria Math"/>
                        </w:rPr>
                        <m:t>−1</m:t>
                      </m:r>
                      <m:d>
                        <m:dPr>
                          <m:ctrlPr>
                            <w:rPr>
                              <w:rFonts w:ascii="Cambria Math" w:hAnsi="Cambria Math"/>
                            </w:rPr>
                          </m:ctrlPr>
                        </m:dPr>
                        <m:e>
                          <m:r>
                            <m:rPr/>
                            <w:rPr>
                              <w:rFonts w:ascii="Cambria Math" w:hAnsi="Cambria Math"/>
                            </w:rPr>
                            <m:t>z≥y</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r>
            <m:rPr/>
            <w:rPr>
              <w:rFonts w:ascii="Cambria Math" w:hAnsi="Cambria Math"/>
            </w:rPr>
            <m:t>v</m:t>
          </m:r>
          <m:d>
            <m:dPr>
              <m:ctrlPr>
                <w:rPr>
                  <w:rFonts w:ascii="Cambria Math" w:hAnsi="Cambria Math"/>
                </w:rPr>
              </m:ctrlPr>
            </m:dPr>
            <m:e>
              <m:r>
                <m:rPr/>
                <w:rPr>
                  <w:rFonts w:ascii="Cambria Math" w:hAnsi="Cambria Math"/>
                </w:rPr>
                <m:t>z</m:t>
              </m:r>
              <m:ctrlPr>
                <w:rPr>
                  <w:rFonts w:ascii="Cambria Math" w:hAnsi="Cambria Math"/>
                </w:rPr>
              </m:ctrlPr>
            </m:e>
          </m:d>
          <m:r>
            <m:rPr/>
            <w:rPr>
              <w:rFonts w:ascii="Cambria Math" w:hAnsi="Cambria Math"/>
            </w:rPr>
            <m:t> dz</m:t>
          </m:r>
        </m:oMath>
      </m:oMathPara>
    </w:p>
    <w:p w14:paraId="71241DF3">
      <w:pPr>
        <w:spacing w:line="240" w:lineRule="auto"/>
        <w:ind w:firstLine="480"/>
        <w:rPr>
          <w:rFonts w:hint="eastAsia" w:ascii="宋体" w:hAnsi="宋体"/>
        </w:rPr>
      </w:pPr>
      <w:r>
        <w:rPr>
          <w:rFonts w:hint="eastAsia" w:ascii="宋体" w:hAnsi="宋体"/>
        </w:rPr>
        <w:t>当 v(z)=1{z≥r} 时，评分只关注 r 以上的尾部。实现上采用等价的加权分位数（pinball）损失：</w:t>
      </w:r>
    </w:p>
    <w:p w14:paraId="119DE5B2">
      <w:pPr>
        <w:spacing w:line="240" w:lineRule="auto"/>
        <w:ind w:firstLine="480"/>
        <w:rPr>
          <w:rFonts w:hint="eastAsia" w:ascii="宋体" w:hAnsi="宋体"/>
        </w:rPr>
      </w:pPr>
      <m:oMathPara>
        <m:oMath>
          <m:r>
            <m:rPr>
              <m:sty m:val="p"/>
              <m:scr m:val="script"/>
            </m:rPr>
            <w:rPr>
              <w:rFonts w:ascii="Cambria Math" w:hAnsi="Cambria Math"/>
            </w:rPr>
            <m:t>ℒ</m:t>
          </m:r>
          <m:r>
            <m:rPr/>
            <w:rPr>
              <w:rFonts w:ascii="Cambria Math" w:hAnsi="Cambria Math"/>
            </w:rPr>
            <m:t>=</m:t>
          </m:r>
          <m:nary>
            <m:naryPr>
              <m:chr m:val="∑"/>
              <m:limLoc m:val="undOvr"/>
              <m:supHide m:val="1"/>
              <m:ctrlPr>
                <w:rPr>
                  <w:rFonts w:ascii="Cambria Math" w:hAnsi="Cambria Math"/>
                </w:rPr>
              </m:ctrlPr>
            </m:naryPr>
            <m:sub>
              <m:r>
                <m:rPr/>
                <w:rPr>
                  <w:rFonts w:ascii="Cambria Math" w:hAnsi="Cambria Math"/>
                </w:rPr>
                <m:t>k</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ρ</m:t>
              </m:r>
              <m:ctrlPr>
                <w:rPr>
                  <w:rFonts w:ascii="Cambria Math" w:hAnsi="Cambria Math"/>
                </w:rPr>
              </m:ctrlPr>
            </m:e>
            <m:sub>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d>
            <m:dPr>
              <m:ctrlPr>
                <w:rPr>
                  <w:rFonts w:ascii="Cambria Math" w:hAnsi="Cambria Math"/>
                </w:rPr>
              </m:ctrlPr>
            </m:dPr>
            <m:e>
              <m:r>
                <m:rPr/>
                <w:rPr>
                  <w:rFonts w:ascii="Cambria Math" w:hAnsi="Cambria Math"/>
                </w:rPr>
                <m:t>y−</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oMath>
      </m:oMathPara>
    </w:p>
    <w:p w14:paraId="1C8C2A01">
      <w:pPr>
        <w:spacing w:line="240" w:lineRule="auto"/>
        <w:ind w:firstLine="480"/>
        <w:rPr>
          <w:rFonts w:ascii="宋体" w:hAnsi="宋体"/>
        </w:rPr>
      </w:pPr>
      <w:r>
        <w:rPr>
          <w:rFonts w:hint="eastAsia" w:ascii="宋体" w:hAnsi="宋体"/>
        </w:rPr>
        <w:t>三级阈值分别为：62% 业务预警线、67% 可溶盐潮解起始、75% 吸湿与渗透性突变。</w:t>
      </w:r>
    </w:p>
    <w:p w14:paraId="1419ECCF">
      <w:pPr>
        <w:spacing w:line="240" w:lineRule="auto"/>
        <w:ind w:firstLine="480"/>
        <w:rPr>
          <w:rFonts w:hint="eastAsia" w:ascii="宋体" w:hAnsi="宋体"/>
        </w:rPr>
      </w:pPr>
    </w:p>
    <w:p w14:paraId="125C15EF">
      <w:pPr>
        <w:spacing w:line="240" w:lineRule="auto"/>
        <w:ind w:firstLine="0" w:firstLineChars="0"/>
        <w:rPr>
          <w:rFonts w:hint="eastAsia" w:ascii="宋体" w:hAnsi="宋体"/>
          <w:b/>
          <w:bCs/>
        </w:rPr>
      </w:pPr>
      <w:r>
        <w:rPr>
          <w:rFonts w:hint="eastAsia" w:ascii="宋体" w:hAnsi="宋体"/>
          <w:b/>
          <w:bCs/>
        </w:rPr>
        <w:t>（2）本作品曾尝试的改动：权重内生化</w:t>
      </w:r>
    </w:p>
    <w:p w14:paraId="43B5A343">
      <w:pPr>
        <w:spacing w:line="240" w:lineRule="auto"/>
        <w:ind w:firstLine="480"/>
        <w:rPr>
          <w:rFonts w:hint="eastAsia" w:ascii="宋体" w:hAnsi="宋体"/>
        </w:rPr>
      </w:pPr>
      <w:r>
        <w:rPr>
          <w:rFonts w:hint="eastAsia" w:ascii="宋体" w:hAnsi="宋体"/>
        </w:rPr>
        <w:t>标准 twCRPS 的权函数是人工设定的固定阈值。本作品曾让权重成为由输运算子导出的状态相关变量：</w:t>
      </w:r>
    </w:p>
    <w:p w14:paraId="2A450C7F">
      <w:pPr>
        <w:spacing w:line="240" w:lineRule="auto"/>
        <w:ind w:firstLine="480"/>
        <w:rPr>
          <w:rFonts w:hint="eastAsia" w:ascii="宋体" w:hAnsi="宋体"/>
        </w:rPr>
      </w:pPr>
      <m:oMathPara>
        <m:oMath>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=1+γ⋅σ</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ˆ"/>
                          <m:ctrlPr>
                            <w:rPr>
                              <w:rFonts w:ascii="Cambria Math" w:hAnsi="Cambria Math"/>
                            </w:rPr>
                          </m:ctrlPr>
                        </m:accPr>
                        <m:e>
                          <m:r>
                            <m:rPr/>
                            <w:rPr>
                              <w:rFonts w:ascii="Cambria Math" w:hAnsi="Cambria Math"/>
                            </w:rPr>
                            <m:t>f</m:t>
                          </m:r>
                          <m:ctrlPr>
                            <w:rPr>
                              <w:rFonts w:ascii="Cambria Math" w:hAnsi="Cambria Math"/>
                            </w:rPr>
                          </m:ctrlPr>
                        </m:e>
                      </m:acc>
                      <m:ctrlPr>
                        <w:rPr>
                          <w:rFonts w:ascii="Cambria Math" w:hAnsi="Cambria Math"/>
                        </w:rPr>
                      </m:ctrlPr>
                    </m:e>
                    <m:sub>
                      <m:r>
                        <m:rPr/>
                        <w:rPr>
                          <w:rFonts w:ascii="Cambria Math" w:hAnsi="Cambria Math"/>
                        </w:rPr>
                        <m:t>cave</m:t>
                      </m:r>
                      <m:ctrlPr>
                        <w:rPr>
                          <w:rFonts w:ascii="Cambria Math" w:hAnsi="Cambria Math"/>
                        </w:rPr>
                      </m:ctrlPr>
                    </m:sub>
                  </m:sSub>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−r</m:t>
                  </m:r>
                  <m:ctrlPr>
                    <w:rPr>
                      <w:rFonts w:ascii="Cambria Math" w:hAnsi="Cambria Math"/>
                    </w:rPr>
                  </m:ctrlPr>
                </m:num>
                <m:den>
                  <m:r>
                    <m:rPr/>
                    <w:rPr>
                      <w:rFonts w:ascii="Cambria Math" w:hAnsi="Cambria Math"/>
                    </w:rPr>
                    <m:t>s</m:t>
                  </m:r>
                  <m:ctrlPr>
                    <w:rPr>
                      <w:rFonts w:ascii="Cambria Math" w:hAnsi="Cambria Math"/>
                    </w:rPr>
                  </m:ctrlPr>
                </m:den>
              </m:f>
              <m:ctrlPr>
                <w:rPr>
                  <w:rFonts w:ascii="Cambria Math" w:hAnsi="Cambria Math"/>
                </w:rPr>
              </m:ctrlPr>
            </m:e>
          </m:d>
          <m:r>
            <m:rPr/>
            <w:rPr>
              <w:rFonts w:ascii="Cambria Math" w:hAnsi="Cambria Math"/>
            </w:rPr>
            <m:t>⋅</m:t>
          </m:r>
          <m:sSub>
            <m:sSubPr>
              <m:ctrlPr>
                <w:rPr>
                  <w:rFonts w:ascii="Cambria Math" w:hAnsi="Cambria Math"/>
                </w:rPr>
              </m:ctrlPr>
            </m:sSubPr>
            <m:e>
              <m:d>
                <m:dPr>
                  <m:ctrlPr>
                    <w:rPr>
                      <w:rFonts w:ascii="Cambria Math" w:hAnsi="Cambria Math"/>
                    </w:rPr>
                  </m:ctrlPr>
                </m:dPr>
                <m:e>
                  <m:r>
                    <m:rPr/>
                    <w:rPr>
                      <w:rFonts w:ascii="Cambria Math" w:hAnsi="Cambria Math"/>
                    </w:rPr>
                    <m:t>2</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r>
                    <m:rPr/>
                    <w:rPr>
                      <w:rFonts w:ascii="Cambria Math" w:hAnsi="Cambria Math"/>
                    </w:rPr>
                    <m:t>−h/</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eff</m:t>
                      </m:r>
                      <m:ctrlPr>
                        <w:rPr>
                          <w:rFonts w:ascii="Cambria Math" w:hAnsi="Cambria Math"/>
                        </w:rPr>
                      </m:ctrlPr>
                    </m:sub>
                  </m:sSub>
                  <m:ctrlPr>
                    <w:rPr>
                      <w:rFonts w:ascii="Cambria Math" w:hAnsi="Cambria Math"/>
                    </w:rPr>
                  </m:ctrlPr>
                </m:e>
              </m:d>
              <m:ctrlPr>
                <w:rPr>
                  <w:rFonts w:ascii="Cambria Math" w:hAnsi="Cambria Math"/>
                </w:rPr>
              </m:ctrlPr>
            </m:e>
          </m:func>
        </m:oMath>
      </m:oMathPara>
    </w:p>
    <w:p w14:paraId="01857E13">
      <w:pPr>
        <w:spacing w:line="240" w:lineRule="auto"/>
        <w:ind w:firstLine="0" w:firstLineChars="0"/>
        <w:rPr>
          <w:rFonts w:ascii="宋体" w:hAnsi="宋体"/>
        </w:rPr>
      </w:pPr>
      <w:r>
        <w:rPr>
          <w:rFonts w:hint="eastAsia" w:ascii="宋体" w:hAnsi="宋体"/>
        </w:rPr>
        <w:t>其中三项分别对应风险门控、上尾强调、时效衰减。</w:t>
      </w:r>
      <w:r>
        <w:rPr>
          <w:rFonts w:ascii="Cambria Math" w:hAnsi="Cambria Math" w:cs="Cambria Math"/>
        </w:rPr>
        <w:t>𝑓</w:t>
      </w:r>
      <w:r>
        <w:rPr>
          <w:rFonts w:ascii="宋体" w:hAnsi="宋体"/>
        </w:rPr>
        <w:t>^</w:t>
      </w:r>
      <w:r>
        <w:rPr>
          <w:rFonts w:ascii="Cambria Math" w:hAnsi="Cambria Math" w:cs="Cambria Math"/>
          <w:vertAlign w:val="subscript"/>
        </w:rPr>
        <w:t>𝑐𝑎𝑣𝑒</w:t>
      </w:r>
      <w:r>
        <w:rPr>
          <w:rFonts w:hint="eastAsia" w:ascii="宋体" w:hAnsi="宋体"/>
        </w:rPr>
        <w:t>是预报的室外场经冻结输运算子推演得到的室内 RH。</w:t>
      </w:r>
    </w:p>
    <w:p w14:paraId="309AF096">
      <w:pPr>
        <w:spacing w:line="240" w:lineRule="auto"/>
        <w:ind w:firstLine="0" w:firstLineChars="0"/>
        <w:rPr>
          <w:rFonts w:hint="eastAsia" w:ascii="宋体" w:hAnsi="宋体"/>
        </w:rPr>
      </w:pPr>
      <w:r>
        <w:rPr>
          <w:rFonts w:hint="eastAsia" w:ascii="宋体" w:hAnsi="宋体"/>
          <w:highlight w:val="yellow"/>
        </w:rPr>
        <w:t>（4）</w:t>
      </w:r>
      <w:r>
        <w:rPr>
          <w:rFonts w:hint="eastAsia" w:ascii="宋体" w:hAnsi="宋体"/>
        </w:rPr>
        <w:t>双轨读出与工程实现</w:t>
      </w:r>
    </w:p>
    <w:p w14:paraId="45342BEF">
      <w:pPr>
        <w:spacing w:line="240" w:lineRule="auto"/>
        <w:ind w:firstLine="480"/>
        <w:rPr>
          <w:rFonts w:hint="eastAsia" w:ascii="宋体" w:hAnsi="宋体"/>
        </w:rPr>
      </w:pPr>
      <w:r>
        <w:rPr>
          <w:rFonts w:hint="eastAsia" w:ascii="宋体" w:hAnsi="宋体"/>
        </w:rPr>
        <w:t>模型采用双轨读出：非线性梯度提升模型用于提高业务预测精度，线性输运算子用于物理解释和可微计算。针对多步预测，采用直接轨迹式读出，避免逐步滚动造成误差累积。</w:t>
      </w:r>
    </w:p>
    <w:p w14:paraId="75A13AB0">
      <w:pPr>
        <w:spacing w:line="240" w:lineRule="auto"/>
        <w:ind w:firstLine="0" w:firstLineChars="0"/>
        <w:rPr>
          <w:rFonts w:hint="eastAsia" w:ascii="宋体" w:hAnsi="宋体"/>
        </w:rPr>
      </w:pPr>
      <w:r>
        <w:rPr>
          <w:rFonts w:ascii="宋体" w:hAnsi="宋体"/>
          <w:b/>
          <w:bCs/>
        </w:rPr>
        <w:t>最终输出：</w:t>
      </w:r>
    </w:p>
    <w:p w14:paraId="455571B1">
      <w:pPr>
        <w:spacing w:line="240" w:lineRule="auto"/>
        <w:ind w:firstLine="480"/>
        <w:rPr>
          <w:rFonts w:ascii="宋体" w:hAnsi="宋体"/>
        </w:rPr>
      </w:pPr>
      <w:r>
        <w:rPr>
          <w:rFonts w:ascii="宋体" w:hAnsi="宋体"/>
        </w:rPr>
        <w:t>形成未来24–72小时的窟内湿度风险预测、风险等级以及预警提前量，并对应输出正常开放、限流、关闭三级业务决策参考。</w:t>
      </w:r>
    </w:p>
    <w:p w14:paraId="297C8C0F">
      <w:pPr>
        <w:spacing w:line="240" w:lineRule="auto"/>
        <w:ind w:firstLine="0" w:firstLineChars="0"/>
        <w:rPr>
          <w:rFonts w:hint="eastAsia" w:ascii="宋体" w:hAnsi="宋体"/>
        </w:rPr>
      </w:pPr>
    </w:p>
    <w:p w14:paraId="736D5F8E">
      <w:pPr>
        <w:pStyle w:val="2"/>
        <w:ind w:firstLine="643"/>
        <w:rPr>
          <w:rFonts w:hint="eastAsia"/>
        </w:rPr>
      </w:pPr>
      <w:bookmarkStart w:id="12" w:name="_Toc241960375"/>
      <w:r>
        <w:rPr>
          <w:rFonts w:hint="eastAsia"/>
        </w:rPr>
        <w:t>四、项目实施</w:t>
      </w:r>
      <w:bookmarkEnd w:id="12"/>
    </w:p>
    <w:p w14:paraId="45F7B3A3">
      <w:pPr>
        <w:pStyle w:val="3"/>
        <w:ind w:firstLine="562"/>
        <w:rPr>
          <w:rFonts w:hint="eastAsia"/>
        </w:rPr>
      </w:pPr>
      <w:bookmarkStart w:id="13" w:name="_Toc241960376"/>
      <w:r>
        <w:rPr>
          <w:rFonts w:hint="eastAsia"/>
        </w:rPr>
        <w:t>1.总体方案</w:t>
      </w:r>
      <w:bookmarkEnd w:id="13"/>
    </w:p>
    <w:p w14:paraId="4AB3412A">
      <w:pPr>
        <w:spacing w:line="240" w:lineRule="auto"/>
        <w:ind w:firstLine="0" w:firstLineChars="0"/>
        <w:rPr>
          <w:rFonts w:hint="eastAsia" w:ascii="宋体" w:hAnsi="宋体"/>
          <w:b/>
          <w:bCs/>
        </w:rPr>
      </w:pPr>
      <w:r>
        <w:rPr>
          <w:rFonts w:hint="eastAsia" w:ascii="宋体" w:hAnsi="宋体"/>
          <w:b/>
          <w:bCs/>
        </w:rPr>
        <w:t>1.1 总体思路</w:t>
      </w:r>
    </w:p>
    <w:p w14:paraId="59D7D700">
      <w:pPr>
        <w:spacing w:line="240" w:lineRule="auto"/>
        <w:ind w:firstLine="480"/>
        <w:rPr>
          <w:rFonts w:hint="eastAsia" w:ascii="宋体" w:hAnsi="宋体"/>
        </w:rPr>
      </w:pPr>
      <w:r>
        <w:rPr>
          <w:rFonts w:hint="eastAsia" w:ascii="宋体" w:hAnsi="宋体"/>
        </w:rPr>
        <w:t>本作品面向莫高窟壁画保护中的窟内湿度风险提前预判需求，针对窟内长期实测数据难以获取、室外气象与窟内微环境存在复杂滞后关系，以及传统预测方法与文物保护风险判据不完全匹配等问题，构建“室外气象驱动—窟内微环境代理—风险对齐—分级预警”的总体方案。</w:t>
      </w:r>
    </w:p>
    <w:p w14:paraId="486006AC">
      <w:pPr>
        <w:spacing w:line="240" w:lineRule="auto"/>
        <w:ind w:firstLine="480"/>
        <w:rPr>
          <w:rFonts w:hint="eastAsia" w:ascii="宋体" w:hAnsi="宋体"/>
        </w:rPr>
      </w:pPr>
      <w:r>
        <w:rPr>
          <w:rFonts w:hint="eastAsia" w:ascii="宋体" w:hAnsi="宋体"/>
        </w:rPr>
        <w:t>作品不直接将室外相对湿度等同于窟内湿度，而是利用室外气象变化及其历史延迟信息，学习气象条件向窟内微环境传递的动态规律，进一步预测未来24–72小时窟内湿度风险，并根据文物保护中的湿度阈值形成分级预警结果。</w:t>
      </w:r>
    </w:p>
    <w:p w14:paraId="5558EF8A">
      <w:pPr>
        <w:spacing w:line="240" w:lineRule="auto"/>
        <w:ind w:firstLine="480"/>
        <w:rPr>
          <w:rFonts w:ascii="宋体" w:hAnsi="宋体"/>
        </w:rPr>
      </w:pPr>
      <w:r>
        <w:rPr>
          <w:rFonts w:hint="eastAsia" w:ascii="宋体" w:hAnsi="宋体"/>
        </w:rPr>
        <w:t>整体形成从气象数据输入、人工智能预测、风险识别到业务预警输出的完整技术链路。</w:t>
      </w:r>
    </w:p>
    <w:p w14:paraId="473D8AD3">
      <w:pPr>
        <w:keepNext/>
        <w:spacing w:line="240" w:lineRule="auto"/>
        <w:ind w:firstLine="0" w:firstLineChars="0"/>
      </w:pPr>
      <w:r>
        <w:rPr>
          <w:rFonts w:hint="eastAsia" w:ascii="宋体" w:hAnsi="宋体"/>
        </w:rPr>
        <w:drawing>
          <wp:inline distT="0" distB="0" distL="0" distR="0">
            <wp:extent cx="5400040" cy="1701165"/>
            <wp:effectExtent l="0" t="0" r="0" b="0"/>
            <wp:docPr id="18484893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89366"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701165"/>
                    </a:xfrm>
                    <a:prstGeom prst="rect">
                      <a:avLst/>
                    </a:prstGeom>
                  </pic:spPr>
                </pic:pic>
              </a:graphicData>
            </a:graphic>
          </wp:inline>
        </w:drawing>
      </w:r>
    </w:p>
    <w:p w14:paraId="02753C90">
      <w:pPr>
        <w:pStyle w:val="6"/>
        <w:ind w:firstLine="3400" w:firstLineChars="1700"/>
        <w:rPr>
          <w:rFonts w:ascii="宋体" w:hAnsi="宋体"/>
        </w:rPr>
      </w:pPr>
      <w:r>
        <w:rPr>
          <w:rFonts w:hint="eastAsia"/>
        </w:rPr>
        <w:t xml:space="preserve">图表 </w:t>
      </w:r>
      <w:r>
        <w:fldChar w:fldCharType="begin"/>
      </w:r>
      <w:r>
        <w:instrText xml:space="preserve"> </w:instrText>
      </w:r>
      <w:r>
        <w:rPr>
          <w:rFonts w:hint="eastAsia"/>
        </w:rPr>
        <w:instrText xml:space="preserve">SEQ 图表 \* ARABIC</w:instrText>
      </w:r>
      <w:r>
        <w:instrText xml:space="preserve"> </w:instrText>
      </w:r>
      <w:r>
        <w:fldChar w:fldCharType="separate"/>
      </w:r>
      <w:r>
        <w:rPr>
          <w:rFonts w:hint="eastAsia"/>
        </w:rPr>
        <w:t>1</w:t>
      </w:r>
      <w:r>
        <w:fldChar w:fldCharType="end"/>
      </w:r>
      <w:r>
        <w:rPr>
          <w:rFonts w:hint="eastAsia"/>
        </w:rPr>
        <w:t>系统总流程图</w:t>
      </w:r>
    </w:p>
    <w:p w14:paraId="7CE78F4B">
      <w:pPr>
        <w:spacing w:line="240" w:lineRule="auto"/>
        <w:ind w:firstLine="0" w:firstLineChars="0"/>
        <w:rPr>
          <w:rFonts w:hint="eastAsia" w:ascii="宋体" w:hAnsi="宋体"/>
        </w:rPr>
      </w:pPr>
    </w:p>
    <w:p w14:paraId="26873CC7">
      <w:pPr>
        <w:spacing w:line="240" w:lineRule="auto"/>
        <w:ind w:firstLine="0" w:firstLineChars="0"/>
        <w:rPr>
          <w:rFonts w:hint="eastAsia" w:ascii="宋体" w:hAnsi="宋体"/>
          <w:b/>
          <w:bCs/>
        </w:rPr>
      </w:pPr>
      <w:r>
        <w:rPr>
          <w:rFonts w:hint="eastAsia" w:ascii="宋体" w:hAnsi="宋体"/>
          <w:b/>
          <w:bCs/>
        </w:rPr>
        <w:t>1.2 技术路线</w:t>
      </w:r>
    </w:p>
    <w:p w14:paraId="3C93A4B5">
      <w:pPr>
        <w:spacing w:line="240" w:lineRule="auto"/>
        <w:ind w:firstLine="480"/>
        <w:rPr>
          <w:rFonts w:ascii="宋体" w:hAnsi="宋体"/>
        </w:rPr>
      </w:pPr>
      <w:r>
        <w:rPr>
          <w:rFonts w:hint="eastAsia" w:ascii="宋体" w:hAnsi="宋体"/>
        </w:rPr>
        <w:t>系统采用 L1—L2—L3 三级技术架构（算法原理详见：三、气象数据与人工智能技术选择与运用）：</w:t>
      </w:r>
    </w:p>
    <w:p w14:paraId="50094B17">
      <w:pPr>
        <w:spacing w:line="240" w:lineRule="auto"/>
        <w:ind w:left="481" w:leftChars="100" w:hanging="241" w:hangingChars="100"/>
        <w:rPr>
          <w:rFonts w:hint="eastAsia" w:ascii="宋体" w:hAnsi="宋体"/>
        </w:rPr>
      </w:pPr>
      <w:r>
        <w:rPr>
          <w:rFonts w:hint="eastAsia" w:ascii="宋体" w:hAnsi="宋体"/>
          <w:b/>
          <w:bCs/>
        </w:rPr>
        <w:t>L1</w:t>
      </w:r>
      <w:r>
        <w:rPr>
          <w:rFonts w:hint="eastAsia" w:ascii="宋体" w:hAnsi="宋体"/>
        </w:rPr>
        <w:t>多时效外场气象预测：以NASA POWER逐小时再分析资料为唯一室外驱动，输出未来72小时室外分位数轨迹（72h×5要素×Q分位），为后续算子层提供未来外场状态。</w:t>
      </w:r>
    </w:p>
    <w:p w14:paraId="044BEAD5">
      <w:pPr>
        <w:spacing w:line="240" w:lineRule="auto"/>
        <w:ind w:left="481" w:leftChars="100" w:hanging="241" w:hangingChars="100"/>
        <w:rPr>
          <w:rFonts w:hint="eastAsia" w:ascii="宋体" w:hAnsi="宋体"/>
        </w:rPr>
      </w:pPr>
      <w:r>
        <w:rPr>
          <w:rFonts w:hint="eastAsia" w:ascii="宋体" w:hAnsi="宋体"/>
          <w:b/>
          <w:bCs/>
        </w:rPr>
        <w:t>L2</w:t>
      </w:r>
      <w:r>
        <w:rPr>
          <w:rFonts w:hint="eastAsia" w:ascii="宋体" w:hAnsi="宋体"/>
        </w:rPr>
        <w:t>延迟嵌入Koopman/EDMD输运算子：将室外轨迹延迟嵌入为258维严格因果特征，通过岭回归闭式解读出窟内RH分位数代理。算子层冻结、闭式解、可微、可解释，不参与反向传播。</w:t>
      </w:r>
    </w:p>
    <w:p w14:paraId="193CB9DD">
      <w:pPr>
        <w:spacing w:line="240" w:lineRule="auto"/>
        <w:ind w:left="481" w:leftChars="100" w:hanging="241" w:hangingChars="100"/>
        <w:rPr>
          <w:rFonts w:hint="eastAsia" w:ascii="宋体" w:hAnsi="宋体"/>
        </w:rPr>
      </w:pPr>
      <w:r>
        <w:rPr>
          <w:rFonts w:hint="eastAsia" w:ascii="宋体" w:hAnsi="宋体"/>
          <w:b/>
          <w:bCs/>
        </w:rPr>
        <w:t>L3</w:t>
      </w:r>
      <w:r>
        <w:rPr>
          <w:rFonts w:hint="eastAsia" w:ascii="宋体" w:hAnsi="宋体"/>
        </w:rPr>
        <w:t>风险对齐训练：采用已有的twCRPS评分规则，将其从评价指标转化为训练目标，在MSE基础上引入多阈值加权分位数损失，使模型优化目标与“阈值+持续时间”型损伤判据对齐。</w:t>
      </w:r>
    </w:p>
    <w:p w14:paraId="5E770BDA">
      <w:pPr>
        <w:spacing w:line="240" w:lineRule="auto"/>
        <w:ind w:firstLine="480"/>
        <w:rPr>
          <w:rFonts w:ascii="宋体" w:hAnsi="宋体"/>
        </w:rPr>
      </w:pPr>
      <w:r>
        <w:rPr>
          <w:rFonts w:hint="eastAsia" w:ascii="宋体" w:hAnsi="宋体"/>
        </w:rPr>
        <w:t>系统采用“轨迹式读出”方式，直接利用未来对应时刻的外场预测特征进行窟内风险读出，避免逐步滚动预测造成的误差累积。全流程采用岭回归、SVD等闭式求解方法，无需GPU和BPTT，可在普通CPU环境运行。</w:t>
      </w:r>
    </w:p>
    <w:p w14:paraId="1DD41F00">
      <w:pPr>
        <w:spacing w:line="240" w:lineRule="auto"/>
        <w:ind w:firstLine="0" w:firstLineChars="0"/>
        <w:rPr>
          <w:rFonts w:ascii="宋体" w:hAnsi="宋体"/>
          <w:b/>
          <w:bCs/>
        </w:rPr>
      </w:pPr>
      <w:r>
        <w:rPr>
          <w:rFonts w:ascii="宋体" w:hAnsi="宋体"/>
          <w:b/>
          <w:bCs/>
        </w:rPr>
        <w:t>1.</w:t>
      </w:r>
      <w:r>
        <w:rPr>
          <w:rFonts w:hint="eastAsia" w:ascii="宋体" w:hAnsi="宋体"/>
          <w:b/>
          <w:bCs/>
        </w:rPr>
        <w:t>3</w:t>
      </w:r>
      <w:r>
        <w:rPr>
          <w:rFonts w:ascii="宋体" w:hAnsi="宋体"/>
          <w:b/>
          <w:bCs/>
        </w:rPr>
        <w:t xml:space="preserve"> 系统</w:t>
      </w:r>
      <w:r>
        <w:rPr>
          <w:rFonts w:hint="eastAsia" w:ascii="宋体" w:hAnsi="宋体"/>
          <w:b/>
          <w:bCs/>
        </w:rPr>
        <w:t>架构</w:t>
      </w:r>
    </w:p>
    <w:p w14:paraId="1289C5D5">
      <w:pPr>
        <w:spacing w:line="240" w:lineRule="auto"/>
        <w:ind w:firstLine="0" w:firstLineChars="0"/>
        <w:rPr>
          <w:rFonts w:ascii="宋体" w:hAnsi="宋体"/>
        </w:rPr>
      </w:pPr>
      <w:r>
        <w:rPr>
          <w:rFonts w:ascii="宋体" w:hAnsi="宋体"/>
        </w:rPr>
        <w:t>系统采用三层架构：</w:t>
      </w:r>
    </w:p>
    <w:p w14:paraId="584303F0">
      <w:pPr>
        <w:spacing w:line="240" w:lineRule="auto"/>
        <w:ind w:left="480" w:leftChars="100" w:hanging="240" w:hangingChars="100"/>
        <w:rPr>
          <w:rFonts w:ascii="宋体" w:hAnsi="宋体"/>
        </w:rPr>
      </w:pPr>
      <w:r>
        <w:rPr>
          <w:rFonts w:hint="eastAsia" w:ascii="宋体" w:hAnsi="宋体"/>
        </w:rPr>
        <w:t>1.</w:t>
      </w:r>
      <w:r>
        <w:rPr>
          <w:rFonts w:ascii="宋体" w:hAnsi="宋体"/>
        </w:rPr>
        <w:t>应用展示层：Web预测与监控看板（实时预测曲线、误差指标、多模型对比、历史回放）。</w:t>
      </w:r>
    </w:p>
    <w:p w14:paraId="3FCC0D62">
      <w:pPr>
        <w:spacing w:line="240" w:lineRule="auto"/>
        <w:ind w:left="480" w:leftChars="100" w:hanging="240" w:hangingChars="100"/>
        <w:rPr>
          <w:rFonts w:ascii="宋体" w:hAnsi="宋体"/>
        </w:rPr>
      </w:pPr>
      <w:r>
        <w:rPr>
          <w:rFonts w:hint="eastAsia" w:ascii="宋体" w:hAnsi="宋体"/>
        </w:rPr>
        <w:t>2.</w:t>
      </w:r>
      <w:r>
        <w:rPr>
          <w:rFonts w:ascii="宋体" w:hAnsi="宋体"/>
        </w:rPr>
        <w:t>模型训练与服务层：L1预报引擎、L2输运算子、L3风险对齐训练模块、RESTful API（Flask服务）、模型训练管理（实验配置与日志）。</w:t>
      </w:r>
    </w:p>
    <w:p w14:paraId="7C5A62AA">
      <w:pPr>
        <w:spacing w:line="240" w:lineRule="auto"/>
        <w:ind w:left="480" w:leftChars="100" w:hanging="240" w:hangingChars="100"/>
        <w:rPr>
          <w:rFonts w:ascii="宋体" w:hAnsi="宋体"/>
        </w:rPr>
      </w:pPr>
      <w:r>
        <w:rPr>
          <w:rFonts w:hint="eastAsia" w:ascii="宋体" w:hAnsi="宋体"/>
        </w:rPr>
        <w:t>3.</w:t>
      </w:r>
      <w:r>
        <w:rPr>
          <w:rFonts w:ascii="宋体" w:hAnsi="宋体"/>
        </w:rPr>
        <w:t>数据采集与存储层：NASA POWER抓取脚本、DatasetBuilder样本构建脚本、MySQL数据库、CSV/Excel离线数据文件。</w:t>
      </w:r>
    </w:p>
    <w:p w14:paraId="003960CD">
      <w:pPr>
        <w:spacing w:line="240" w:lineRule="auto"/>
        <w:ind w:left="480" w:leftChars="100" w:hanging="240" w:hangingChars="100"/>
        <w:rPr>
          <w:rFonts w:hint="eastAsia" w:ascii="宋体" w:hAnsi="宋体"/>
        </w:rPr>
      </w:pPr>
    </w:p>
    <w:p w14:paraId="7C26EE6F">
      <w:pPr>
        <w:spacing w:line="240" w:lineRule="auto"/>
        <w:ind w:firstLine="480"/>
        <w:rPr>
          <w:rFonts w:hint="eastAsia" w:ascii="宋体" w:hAnsi="宋体"/>
        </w:rPr>
      </w:pPr>
      <w:r>
        <w:rPr>
          <w:rFonts w:ascii="宋体" w:hAnsi="宋体"/>
        </w:rPr>
        <w:t>系统支持在线（数据库就绪）和离线（无数据库或断网）两种运行模式：在线模式通过API周期性更新数据并写入MySQL，前端实时读取；离线模式自动切换至本地文件，直接读取CSV/Excel回放或推理，提高在野外台站或应急指挥车等不稳定环境下的鲁棒性。</w:t>
      </w:r>
    </w:p>
    <w:p w14:paraId="7D19A4B1">
      <w:pPr>
        <w:spacing w:line="240" w:lineRule="auto"/>
        <w:ind w:firstLine="0" w:firstLineChars="0"/>
        <w:rPr>
          <w:rFonts w:hint="eastAsia" w:ascii="宋体" w:hAnsi="宋体"/>
        </w:rPr>
      </w:pPr>
      <w:r>
        <w:rPr>
          <w:rFonts w:ascii="宋体" w:hAnsi="宋体"/>
          <w:b/>
          <w:bCs/>
        </w:rPr>
        <w:t>1.</w:t>
      </w:r>
      <w:r>
        <w:rPr>
          <w:rFonts w:hint="eastAsia" w:ascii="宋体" w:hAnsi="宋体"/>
          <w:b/>
          <w:bCs/>
        </w:rPr>
        <w:t>4</w:t>
      </w:r>
      <w:r>
        <w:rPr>
          <w:rFonts w:ascii="宋体" w:hAnsi="宋体"/>
          <w:b/>
          <w:bCs/>
        </w:rPr>
        <w:t xml:space="preserve"> 总体架构</w:t>
      </w:r>
    </w:p>
    <w:p w14:paraId="7E46FDBB">
      <w:pPr>
        <w:spacing w:line="240" w:lineRule="auto"/>
        <w:ind w:firstLine="0" w:firstLineChars="0"/>
        <w:rPr>
          <w:rFonts w:hint="eastAsia" w:ascii="宋体" w:hAnsi="宋体"/>
        </w:rPr>
      </w:pPr>
      <w:r>
        <w:rPr>
          <w:rFonts w:hint="eastAsia" w:ascii="宋体" w:hAnsi="宋体"/>
        </w:rPr>
        <w:t>根据以上描述，可将总体简化为流程图：</w:t>
      </w:r>
    </w:p>
    <w:p w14:paraId="42667E91">
      <w:pPr>
        <w:keepNext/>
        <w:spacing w:line="240" w:lineRule="auto"/>
        <w:ind w:firstLine="0" w:firstLineChars="0"/>
      </w:pPr>
      <w:r>
        <w:rPr>
          <w:rFonts w:hint="eastAsia" w:ascii="宋体" w:hAnsi="宋体"/>
        </w:rPr>
        <w:drawing>
          <wp:inline distT="0" distB="0" distL="0" distR="0">
            <wp:extent cx="5400040" cy="3012440"/>
            <wp:effectExtent l="0" t="0" r="0" b="0"/>
            <wp:docPr id="293262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2095"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12440"/>
                    </a:xfrm>
                    <a:prstGeom prst="rect">
                      <a:avLst/>
                    </a:prstGeom>
                  </pic:spPr>
                </pic:pic>
              </a:graphicData>
            </a:graphic>
          </wp:inline>
        </w:drawing>
      </w:r>
    </w:p>
    <w:p w14:paraId="6123683D">
      <w:pPr>
        <w:pStyle w:val="6"/>
        <w:ind w:firstLine="3400" w:firstLineChars="1700"/>
        <w:rPr>
          <w:rFonts w:hint="eastAsia" w:ascii="宋体" w:hAnsi="宋体"/>
        </w:rPr>
      </w:pPr>
      <w:r>
        <w:rPr>
          <w:rFonts w:hint="eastAsia"/>
        </w:rPr>
        <w:t xml:space="preserve">图表 </w:t>
      </w:r>
      <w:r>
        <w:fldChar w:fldCharType="begin"/>
      </w:r>
      <w:r>
        <w:instrText xml:space="preserve"> </w:instrText>
      </w:r>
      <w:r>
        <w:rPr>
          <w:rFonts w:hint="eastAsia"/>
        </w:rPr>
        <w:instrText xml:space="preserve">SEQ 图表 \* ARABIC</w:instrText>
      </w:r>
      <w:r>
        <w:instrText xml:space="preserve"> </w:instrText>
      </w:r>
      <w:r>
        <w:fldChar w:fldCharType="separate"/>
      </w:r>
      <w:r>
        <w:rPr>
          <w:rFonts w:hint="eastAsia"/>
        </w:rPr>
        <w:t>2</w:t>
      </w:r>
      <w:r>
        <w:fldChar w:fldCharType="end"/>
      </w:r>
      <w:r>
        <w:rPr>
          <w:rFonts w:hint="eastAsia"/>
        </w:rPr>
        <w:t>总体架构图</w:t>
      </w:r>
    </w:p>
    <w:p w14:paraId="2662DB35">
      <w:pPr>
        <w:spacing w:line="240" w:lineRule="auto"/>
        <w:ind w:firstLine="0" w:firstLineChars="0"/>
        <w:rPr>
          <w:rFonts w:hint="eastAsia" w:ascii="宋体" w:hAnsi="宋体"/>
        </w:rPr>
      </w:pPr>
      <w:r>
        <w:rPr>
          <w:rFonts w:ascii="宋体" w:hAnsi="宋体"/>
        </w:rPr>
        <w:t>通过上述技术路线，将室外公开气象数据、人工智能预测模型和文物保护风险判据连接起来，形成面向石窟微环境风险的完整智能预警方案。</w:t>
      </w:r>
    </w:p>
    <w:p w14:paraId="39803B13">
      <w:pPr>
        <w:spacing w:line="240" w:lineRule="auto"/>
        <w:ind w:firstLine="0" w:firstLineChars="0"/>
        <w:rPr>
          <w:rFonts w:hint="eastAsia" w:ascii="宋体" w:hAnsi="宋体"/>
        </w:rPr>
      </w:pPr>
    </w:p>
    <w:p w14:paraId="076711EF">
      <w:pPr>
        <w:pStyle w:val="3"/>
        <w:ind w:firstLine="562"/>
        <w:rPr>
          <w:rFonts w:hint="eastAsia"/>
        </w:rPr>
      </w:pPr>
      <w:bookmarkStart w:id="14" w:name="_Toc241960377"/>
      <w:r>
        <w:rPr>
          <w:rFonts w:hint="eastAsia"/>
        </w:rPr>
        <w:t>2.实施规划</w:t>
      </w:r>
      <w:bookmarkEnd w:id="14"/>
    </w:p>
    <w:p w14:paraId="364F55F3">
      <w:pPr>
        <w:spacing w:line="240" w:lineRule="auto"/>
        <w:ind w:left="240" w:hanging="240" w:hangingChars="100"/>
        <w:rPr>
          <w:rFonts w:ascii="宋体" w:hAnsi="宋体"/>
        </w:rPr>
      </w:pPr>
      <w:r>
        <w:rPr>
          <w:rFonts w:ascii="宋体" w:hAnsi="宋体"/>
        </w:rPr>
        <w:t>1.阶段一：项目启动与竞赛对标阶段。团队围绕大赛要求和“人工智能+气象”方向开展赛题分析、评分标准研究和方案对标，明确项目整体主要面向算法级优化，针对石窟盐害初步制定“微气候预测与预防性保护系统”。</w:t>
      </w:r>
    </w:p>
    <w:p w14:paraId="1CA1189B">
      <w:pPr>
        <w:spacing w:line="240" w:lineRule="auto"/>
        <w:ind w:left="240" w:hanging="240" w:hangingChars="100"/>
        <w:rPr>
          <w:rFonts w:ascii="宋体" w:hAnsi="宋体"/>
        </w:rPr>
      </w:pPr>
      <w:r>
        <w:rPr>
          <w:rFonts w:ascii="宋体" w:hAnsi="宋体"/>
        </w:rPr>
        <w:t>2.阶段二：问题重构与方案设计阶段。查找并结合相关文献、行业资料和实际应用需求，对原有问题进行重新梳理，将窟内微气候保护需求进一步转化为可计算、可验证的算法问题，并完成总体技术方案和算法路线设计。</w:t>
      </w:r>
    </w:p>
    <w:p w14:paraId="6B39B72A">
      <w:pPr>
        <w:spacing w:line="240" w:lineRule="auto"/>
        <w:ind w:left="240" w:hanging="240" w:hangingChars="100"/>
        <w:rPr>
          <w:rFonts w:ascii="宋体" w:hAnsi="宋体"/>
        </w:rPr>
      </w:pPr>
      <w:r>
        <w:rPr>
          <w:rFonts w:ascii="宋体" w:hAnsi="宋体"/>
        </w:rPr>
        <w:t>3.阶段三：数据与物理代理构建阶段。实现POWER 数据的落盘按完成气象数据获取、清洗和处理，并依据相关文献参数构建窟内微气候物理代理模型，为算法训练和后续验证提供数据基础。形成完整的长期外场气象数据集和可用于实验的窟内微气候模拟数据。</w:t>
      </w:r>
    </w:p>
    <w:p w14:paraId="2034C3B1">
      <w:pPr>
        <w:spacing w:line="240" w:lineRule="auto"/>
        <w:ind w:firstLine="0" w:firstLineChars="0"/>
        <w:rPr>
          <w:rFonts w:ascii="宋体" w:hAnsi="宋体"/>
        </w:rPr>
      </w:pPr>
      <w:r>
        <w:rPr>
          <w:rFonts w:ascii="宋体" w:hAnsi="宋体"/>
        </w:rPr>
        <w:t>4.阶段四：算法开发与实验验证阶段。实现输运算子、twCRPS、消融与对</w:t>
      </w:r>
    </w:p>
    <w:p w14:paraId="2344137A">
      <w:pPr>
        <w:spacing w:line="240" w:lineRule="auto"/>
        <w:ind w:left="240" w:leftChars="100" w:firstLine="0" w:firstLineChars="0"/>
        <w:rPr>
          <w:rFonts w:ascii="宋体" w:hAnsi="宋体"/>
        </w:rPr>
      </w:pPr>
      <w:r>
        <w:rPr>
          <w:rFonts w:ascii="宋体" w:hAnsi="宋体"/>
        </w:rPr>
        <w:t>照矩阵，并开展消融实验、跨窟验证和外部数据验证，对算法效果进行系统检验。完成核心算法和主要实验，形成最终技术方案及实验结果。</w:t>
      </w:r>
    </w:p>
    <w:p w14:paraId="05ABEF50">
      <w:pPr>
        <w:spacing w:line="240" w:lineRule="auto"/>
        <w:ind w:left="240" w:hanging="240" w:hangingChars="100"/>
        <w:rPr>
          <w:rFonts w:ascii="宋体" w:hAnsi="宋体"/>
        </w:rPr>
      </w:pPr>
      <w:r>
        <w:rPr>
          <w:rFonts w:ascii="宋体" w:hAnsi="宋体"/>
        </w:rPr>
        <w:t>5.阶段五：成果制作与完善阶段。团队在技术路线和实验结果基本确定后，集中完成作品方案、答辩PPT、演示视频及相关佐证材料，并对数据来源、实验结果、图表和文字内容进行统一检查。</w:t>
      </w:r>
    </w:p>
    <w:p w14:paraId="3008882F">
      <w:pPr>
        <w:spacing w:line="240" w:lineRule="auto"/>
        <w:ind w:left="240" w:hanging="240" w:hangingChars="100"/>
        <w:rPr>
          <w:rFonts w:ascii="宋体" w:hAnsi="宋体"/>
        </w:rPr>
      </w:pPr>
      <w:r>
        <w:rPr>
          <w:rFonts w:ascii="宋体" w:hAnsi="宋体"/>
        </w:rPr>
        <w:t>6.阶段六：项目提交与收尾阶段。团队按照比赛要求完成报名、材料提交和最终检查，并对代码、实验数据、文档及相关成果进行归档。</w:t>
      </w:r>
    </w:p>
    <w:p w14:paraId="1827C2FC">
      <w:pPr>
        <w:pStyle w:val="3"/>
        <w:ind w:firstLine="562"/>
      </w:pPr>
      <w:bookmarkStart w:id="15" w:name="_Toc241960378"/>
      <w:r>
        <w:rPr>
          <w:rFonts w:hint="eastAsia"/>
        </w:rPr>
        <w:t>3.实施过程</w:t>
      </w:r>
      <w:bookmarkEnd w:id="15"/>
    </w:p>
    <w:p w14:paraId="03F08AFF">
      <w:pPr>
        <w:spacing w:line="240" w:lineRule="auto"/>
        <w:ind w:firstLine="0" w:firstLineChars="0"/>
        <w:rPr>
          <w:rFonts w:hint="eastAsia" w:ascii="宋体" w:hAnsi="宋体"/>
        </w:rPr>
      </w:pPr>
      <w:r>
        <w:rPr>
          <w:rFonts w:hint="eastAsia" w:ascii="宋体" w:hAnsi="宋体"/>
        </w:rPr>
        <w:t>3.1 数据处理</w:t>
      </w:r>
    </w:p>
    <w:p w14:paraId="3E110405">
      <w:pPr>
        <w:spacing w:line="240" w:lineRule="auto"/>
        <w:ind w:firstLine="0" w:firstLineChars="0"/>
        <w:rPr>
          <w:rFonts w:hint="eastAsia" w:ascii="宋体" w:hAnsi="宋体"/>
        </w:rPr>
      </w:pPr>
      <w:r>
        <w:rPr>
          <w:rFonts w:hint="eastAsia" w:ascii="宋体" w:hAnsi="宋体"/>
        </w:rPr>
        <w:t>（1）外场驱动数据：NASA POWER</w:t>
      </w:r>
    </w:p>
    <w:p w14:paraId="1264165F">
      <w:pPr>
        <w:spacing w:line="240" w:lineRule="auto"/>
        <w:ind w:firstLine="480"/>
        <w:rPr>
          <w:rFonts w:hint="eastAsia" w:ascii="宋体" w:hAnsi="宋体"/>
        </w:rPr>
      </w:pPr>
      <w:r>
        <w:rPr>
          <w:rFonts w:hint="eastAsia" w:ascii="宋体" w:hAnsi="宋体"/>
        </w:rPr>
        <w:t>项目以NASA POWER逐小时气象数据作为主要室外气象驱动，通过API脚本化获取2001-01-01至2025-12-31的数据，共219,144行×10列，无缺测。空间位置采用莫高窟本体坐标40.04°N、94.81°E。主要变量包括气温（T2M）、相对湿度（RH2M）、10米风速（WS10M）、订正海平面气压（PSC）、全天空地表短波辐射（ALLSKY_SFC_SW_DWN）和降水（PRECTOTCORR）等。</w:t>
      </w:r>
    </w:p>
    <w:p w14:paraId="757D4264">
      <w:pPr>
        <w:spacing w:line="240" w:lineRule="auto"/>
        <w:ind w:firstLine="0" w:firstLineChars="0"/>
        <w:rPr>
          <w:rFonts w:hint="default" w:ascii="宋体" w:hAnsi="宋体" w:eastAsia="宋体"/>
          <w:b/>
          <w:bCs/>
          <w:lang w:val="en-US" w:eastAsia="zh-CN"/>
        </w:rPr>
      </w:pPr>
      <w:r>
        <w:rPr>
          <w:rFonts w:hint="eastAsia" w:ascii="宋体" w:hAnsi="宋体"/>
          <w:b/>
          <w:bCs/>
        </w:rPr>
        <w:t>处理流程：</w:t>
      </w:r>
      <w:r>
        <w:rPr>
          <w:rFonts w:hint="eastAsia" w:ascii="宋体" w:hAnsi="宋体"/>
          <w:b/>
          <w:bCs/>
          <w:lang w:val="en-US" w:eastAsia="zh-CN"/>
        </w:rPr>
        <w:t xml:space="preserve">                                                                                                                                            </w:t>
      </w:r>
    </w:p>
    <w:p w14:paraId="21AEE1A8">
      <w:pPr>
        <w:spacing w:line="240" w:lineRule="auto"/>
        <w:ind w:firstLine="480"/>
        <w:rPr>
          <w:rFonts w:hint="eastAsia" w:ascii="宋体" w:hAnsi="宋体"/>
        </w:rPr>
      </w:pPr>
      <w:r>
        <w:rPr>
          <w:rFonts w:hint="eastAsia" w:ascii="宋体" w:hAnsi="宋体"/>
        </w:rPr>
        <w:t>1.逐年下载数据，合并为</w:t>
      </w:r>
      <w:r>
        <w:rPr>
          <w:rFonts w:ascii="宋体" w:hAnsi="宋体"/>
        </w:rPr>
        <w:t>莫高窟 2001–2025 逐小时外场驱动数据</w:t>
      </w:r>
    </w:p>
    <w:p w14:paraId="140882AC">
      <w:pPr>
        <w:spacing w:line="240" w:lineRule="auto"/>
        <w:ind w:firstLine="480"/>
        <w:rPr>
          <w:rFonts w:ascii="宋体" w:hAnsi="宋体"/>
        </w:rPr>
      </w:pPr>
      <w:r>
        <w:rPr>
          <w:rFonts w:hint="eastAsia" w:ascii="宋体" w:hAnsi="宋体"/>
        </w:rPr>
        <w:t>2.</w:t>
      </w:r>
      <w:r>
        <w:rPr>
          <w:rFonts w:ascii="宋体" w:hAnsi="宋体"/>
        </w:rPr>
        <w:t>针对POWER数据时间标准可能造成日循环相位偏移的问题，统一采用UTC时间标准</w:t>
      </w:r>
      <w:r>
        <w:rPr>
          <w:rFonts w:hint="eastAsia" w:ascii="宋体" w:hAnsi="宋体"/>
        </w:rPr>
        <w:t>。</w:t>
      </w:r>
    </w:p>
    <w:p w14:paraId="6EE591A7">
      <w:pPr>
        <w:spacing w:line="240" w:lineRule="auto"/>
        <w:ind w:firstLine="480"/>
        <w:rPr>
          <w:rFonts w:hint="eastAsia" w:ascii="宋体" w:hAnsi="宋体"/>
        </w:rPr>
      </w:pPr>
      <w:r>
        <w:rPr>
          <w:rFonts w:hint="eastAsia" w:ascii="宋体" w:hAnsi="宋体"/>
        </w:rPr>
        <w:t>3.</w:t>
      </w:r>
      <w:r>
        <w:rPr>
          <w:rFonts w:ascii="宋体" w:hAnsi="宋体"/>
        </w:rPr>
        <w:t>气压字段的取舍：POWER 返回的格点海拔（1639.24 m）比莫高窟实际海拔高出约 500 m，导致格点气压系统性偏低；</w:t>
      </w:r>
      <w:r>
        <w:rPr>
          <w:rFonts w:hint="eastAsia" w:ascii="宋体" w:hAnsi="宋体"/>
        </w:rPr>
        <w:t>所以</w:t>
      </w:r>
      <w:r>
        <w:rPr>
          <w:rFonts w:ascii="宋体" w:hAnsi="宋体"/>
        </w:rPr>
        <w:t>必须传入 site-elevation = 1140 参数，但它并不修改 PS 字段，而是额外返回一个订正本站气压字段 PSC（全期均值 88.69 kPa，对照 PS 的 83.53 kPa，相差 +5.16 kPa，与标准大气压公式在 1140 m 处给出的 88.36 kPa 吻合），因此建模必须使用 PSC 而非 PS。</w:t>
      </w:r>
    </w:p>
    <w:p w14:paraId="34CCCF35">
      <w:pPr>
        <w:spacing w:line="240" w:lineRule="auto"/>
        <w:ind w:firstLine="480"/>
        <w:rPr>
          <w:rFonts w:ascii="宋体" w:hAnsi="宋体"/>
        </w:rPr>
      </w:pPr>
      <w:r>
        <w:rPr>
          <w:rFonts w:hint="eastAsia" w:ascii="宋体" w:hAnsi="宋体"/>
        </w:rPr>
        <w:t>4.最后构造258维严格因果特征。全部脚本化下载，无人工拷贝、无来源不明数据。</w:t>
      </w:r>
    </w:p>
    <w:p w14:paraId="2935337D">
      <w:pPr>
        <w:spacing w:line="240" w:lineRule="auto"/>
        <w:ind w:firstLine="0" w:firstLineChars="0"/>
        <w:rPr>
          <w:rFonts w:hint="eastAsia" w:ascii="宋体" w:hAnsi="宋体"/>
        </w:rPr>
      </w:pPr>
      <w:r>
        <w:rPr>
          <w:rFonts w:hint="eastAsia" w:ascii="宋体" w:hAnsi="宋体"/>
        </w:rPr>
        <w:t>（2）真实性交叉核对：NOAA ISD敦煌站</w:t>
      </w:r>
    </w:p>
    <w:p w14:paraId="23116A77">
      <w:pPr>
        <w:spacing w:line="240" w:lineRule="auto"/>
        <w:ind w:firstLine="480"/>
        <w:rPr>
          <w:rFonts w:hint="eastAsia" w:ascii="宋体" w:hAnsi="宋体"/>
        </w:rPr>
      </w:pPr>
      <w:r>
        <w:rPr>
          <w:rFonts w:hint="eastAsia" w:ascii="宋体" w:hAnsi="宋体"/>
        </w:rPr>
        <w:t>为检验室外气象数据的真实性，引入NOAA ISD敦煌站52418099999的逐小时地面观测数据，与NASA POWER按UTC对齐后一共23,915对样本。</w:t>
      </w:r>
      <w:r>
        <w:rPr>
          <w:rFonts w:ascii="宋体" w:hAnsi="宋体"/>
        </w:rPr>
        <w:t>温度和气压相关系数分别达到0.955和0.939，表明主要室外气象驱动变量与当地地面观测具有较好一致性；相对湿度相关系数为0.576，RMSE为19.56个百分点，并存在一定系统偏差。该核对仅用于验证已有同期数据的外场一致性</w:t>
      </w:r>
      <w:r>
        <w:rPr>
          <w:rFonts w:hint="eastAsia" w:ascii="宋体" w:hAnsi="宋体"/>
        </w:rPr>
        <w:t>。</w:t>
      </w:r>
    </w:p>
    <w:p w14:paraId="26640186">
      <w:pPr>
        <w:spacing w:line="240" w:lineRule="auto"/>
        <w:ind w:firstLine="0" w:firstLineChars="0"/>
        <w:rPr>
          <w:rFonts w:hint="eastAsia" w:ascii="宋体" w:hAnsi="宋体"/>
        </w:rPr>
      </w:pPr>
      <w:r>
        <w:rPr>
          <w:rFonts w:hint="eastAsia" w:ascii="宋体" w:hAnsi="宋体"/>
          <w:highlight w:val="yellow"/>
        </w:rPr>
        <w:t>（3）</w:t>
      </w:r>
      <w:r>
        <w:rPr>
          <w:rFonts w:hint="eastAsia" w:ascii="宋体" w:hAnsi="宋体"/>
        </w:rPr>
        <w:t>窟内物理代理模型</w:t>
      </w:r>
    </w:p>
    <w:p w14:paraId="659B3DF4">
      <w:pPr>
        <w:spacing w:line="240" w:lineRule="auto"/>
        <w:ind w:firstLine="480"/>
        <w:rPr>
          <w:rFonts w:hint="eastAsia" w:ascii="宋体" w:hAnsi="宋体"/>
        </w:rPr>
      </w:pPr>
      <w:r>
        <w:rPr>
          <w:rFonts w:ascii="宋体" w:hAnsi="宋体"/>
        </w:rPr>
        <w:t>针对公开数据中缺少长期连续窟内微气候实测序列的问题，团队依据已有文献中的实测统计量和参数建立窟内微气候物理代理模型，将室外气象条件映射为窟内温湿度变化，并通过文献统计区间和同期观测进行合理性检验。该过程产生的数据明确作为物理模型生成的合成标签使用，不将其表述为真实洞窟长期实测数据，从而为后续算法训练提供可追溯的数据基础。</w:t>
      </w:r>
    </w:p>
    <w:p w14:paraId="0FA4B666">
      <w:pPr>
        <w:spacing w:line="240" w:lineRule="auto"/>
        <w:ind w:firstLine="0" w:firstLineChars="0"/>
        <w:rPr>
          <w:rFonts w:ascii="宋体" w:hAnsi="宋体"/>
        </w:rPr>
      </w:pPr>
      <w:r>
        <w:rPr>
          <w:rFonts w:hint="eastAsia" w:ascii="宋体" w:hAnsi="宋体"/>
          <w:highlight w:val="yellow"/>
        </w:rPr>
        <w:t>（4）</w:t>
      </w:r>
      <w:r>
        <w:rPr>
          <w:rFonts w:hint="eastAsia" w:ascii="宋体" w:hAnsi="宋体"/>
        </w:rPr>
        <w:t>真实洞穴观测：ICCP</w:t>
      </w:r>
    </w:p>
    <w:p w14:paraId="655B538C">
      <w:pPr>
        <w:spacing w:line="240" w:lineRule="auto"/>
        <w:ind w:firstLine="480"/>
        <w:rPr>
          <w:rFonts w:ascii="宋体" w:hAnsi="宋体"/>
        </w:rPr>
      </w:pPr>
      <w:r>
        <w:rPr>
          <w:rFonts w:ascii="宋体" w:hAnsi="宋体"/>
        </w:rPr>
        <w:t>为避免模型验证完全依赖自身生成的窟内合成标签，项目进一步采用公开的ICCP真实洞穴观测数据开展独立外部验证。</w:t>
      </w:r>
    </w:p>
    <w:p w14:paraId="41246B61">
      <w:pPr>
        <w:spacing w:line="240" w:lineRule="auto"/>
        <w:ind w:firstLine="480"/>
        <w:rPr>
          <w:rFonts w:ascii="宋体" w:hAnsi="宋体"/>
        </w:rPr>
      </w:pPr>
      <w:r>
        <w:rPr>
          <w:rFonts w:ascii="宋体" w:hAnsi="宋体"/>
        </w:rPr>
        <w:t>该数据包含12个洞穴和42台记录仪，本项目根据受光区与深处具有有效配对观测这一条件进行筛选，最终在8个有效洞穴上完成统计分析。</w:t>
      </w:r>
    </w:p>
    <w:p w14:paraId="7C65582B">
      <w:pPr>
        <w:spacing w:line="240" w:lineRule="auto"/>
        <w:ind w:firstLine="480"/>
        <w:rPr>
          <w:rFonts w:hint="eastAsia" w:ascii="宋体" w:hAnsi="宋体"/>
        </w:rPr>
      </w:pPr>
      <w:r>
        <w:rPr>
          <w:rFonts w:ascii="宋体" w:hAnsi="宋体"/>
        </w:rPr>
        <w:t>同时，实验也发现并非所有洞穴均适用，Sela、Murabba'at2和HarSifsof三个洞穴的结果为负。由于ICCP洞穴主要为石灰岩和白云岩，而莫高窟属于砾岩—砂岩环境，且两者气候条件存在明显差异，因此该实验主要用于验证输运算子结构相对于简单一阶传递函数的相对有效性，不据此宣称对莫高窟窟内湿度具有绝对精度。</w:t>
      </w:r>
    </w:p>
    <w:p w14:paraId="34D1BCE3">
      <w:pPr>
        <w:spacing w:line="240" w:lineRule="auto"/>
        <w:ind w:firstLine="0" w:firstLineChars="0"/>
        <w:rPr>
          <w:rFonts w:hint="eastAsia" w:ascii="宋体" w:hAnsi="宋体"/>
          <w:b/>
          <w:bCs/>
          <w:sz w:val="28"/>
          <w:szCs w:val="28"/>
        </w:rPr>
      </w:pPr>
    </w:p>
    <w:p w14:paraId="48700A20">
      <w:pPr>
        <w:pStyle w:val="3"/>
        <w:ind w:firstLine="562"/>
      </w:pPr>
      <w:bookmarkStart w:id="16" w:name="_Toc241960379"/>
      <w:r>
        <w:rPr>
          <w:rFonts w:hint="eastAsia"/>
        </w:rPr>
        <w:t>4.关键环节</w:t>
      </w:r>
      <w:bookmarkEnd w:id="16"/>
    </w:p>
    <w:p w14:paraId="6CE48761">
      <w:pPr>
        <w:spacing w:line="240" w:lineRule="auto"/>
        <w:ind w:firstLine="480"/>
        <w:rPr>
          <w:rFonts w:hint="eastAsia" w:ascii="宋体" w:hAnsi="宋体"/>
        </w:rPr>
      </w:pPr>
      <w:r>
        <w:rPr>
          <w:rFonts w:ascii="宋体" w:hAnsi="宋体"/>
        </w:rPr>
        <w:t>本作品的关键环节集中在四个创新点上，见</w:t>
      </w:r>
      <w:r>
        <w:rPr>
          <w:rFonts w:hint="eastAsia" w:ascii="宋体" w:hAnsi="宋体"/>
        </w:rPr>
        <w:t>下表</w:t>
      </w:r>
      <w:r>
        <w:rPr>
          <w:rFonts w:ascii="宋体" w:hAnsi="宋体"/>
        </w:rPr>
        <w:t>。四项中三项为模型级、一项为系统级；系统级项的算法内核仍是模型级的物理代理设计</w:t>
      </w:r>
      <w:r>
        <w:rPr>
          <w:rFonts w:hint="eastAsia" w:ascii="宋体" w:hAnsi="宋体"/>
        </w:rPr>
        <w:t>。</w:t>
      </w:r>
    </w:p>
    <w:p w14:paraId="5A82846A">
      <w:pPr>
        <w:pStyle w:val="6"/>
        <w:keepNext/>
        <w:ind w:firstLine="3000" w:firstLineChars="1500"/>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3</w:t>
      </w:r>
      <w:r>
        <w:fldChar w:fldCharType="end"/>
      </w:r>
      <w:r>
        <w:rPr>
          <w:rFonts w:hint="eastAsia"/>
        </w:rPr>
        <w:t>关键环节——创新点</w:t>
      </w:r>
    </w:p>
    <w:tbl>
      <w:tblPr>
        <w:tblStyle w:val="16"/>
        <w:tblW w:w="5000" w:type="pct"/>
        <w:tblInd w:w="0" w:type="dxa"/>
        <w:tblLayout w:type="autofit"/>
        <w:tblCellMar>
          <w:top w:w="0" w:type="dxa"/>
          <w:left w:w="108" w:type="dxa"/>
          <w:bottom w:w="0" w:type="dxa"/>
          <w:right w:w="108" w:type="dxa"/>
        </w:tblCellMar>
      </w:tblPr>
      <w:tblGrid>
        <w:gridCol w:w="2122"/>
        <w:gridCol w:w="2138"/>
        <w:gridCol w:w="2122"/>
        <w:gridCol w:w="2122"/>
      </w:tblGrid>
      <w:tr w14:paraId="0B852F15">
        <w:tblPrEx>
          <w:tblCellMar>
            <w:top w:w="0" w:type="dxa"/>
            <w:left w:w="108" w:type="dxa"/>
            <w:bottom w:w="0" w:type="dxa"/>
            <w:right w:w="108" w:type="dxa"/>
          </w:tblCellMar>
        </w:tblPrEx>
        <w:tc>
          <w:tcPr>
            <w:tcW w:w="2118" w:type="dxa"/>
            <w:tcBorders>
              <w:top w:val="single" w:color="E0E0E0" w:sz="6" w:space="0"/>
              <w:left w:val="single" w:color="E0E0E0" w:sz="6" w:space="0"/>
              <w:bottom w:val="single" w:color="E0E0E0" w:sz="6" w:space="0"/>
              <w:right w:val="single" w:color="E0E0E0" w:sz="6" w:space="0"/>
            </w:tcBorders>
            <w:shd w:val="clear" w:color="auto" w:fill="F5F7FA"/>
            <w:tcMar>
              <w:top w:w="120" w:type="dxa"/>
              <w:left w:w="144" w:type="dxa"/>
              <w:bottom w:w="120" w:type="dxa"/>
              <w:right w:w="144" w:type="dxa"/>
            </w:tcMar>
            <w:vAlign w:val="center"/>
          </w:tcPr>
          <w:p w14:paraId="19501BD0">
            <w:pPr>
              <w:spacing w:line="240" w:lineRule="auto"/>
              <w:ind w:firstLine="0" w:firstLineChars="0"/>
              <w:rPr>
                <w:rFonts w:ascii="宋体" w:hAnsi="宋体"/>
              </w:rPr>
            </w:pPr>
            <w:r>
              <w:rPr>
                <w:rFonts w:ascii="宋体" w:hAnsi="宋体"/>
                <w:b/>
              </w:rPr>
              <w:t>序号</w:t>
            </w:r>
          </w:p>
        </w:tc>
        <w:tc>
          <w:tcPr>
            <w:tcW w:w="2134" w:type="dxa"/>
            <w:tcBorders>
              <w:top w:val="single" w:color="E0E0E0" w:sz="6" w:space="0"/>
              <w:left w:val="single" w:color="E0E0E0" w:sz="6" w:space="0"/>
              <w:bottom w:val="single" w:color="E0E0E0" w:sz="6" w:space="0"/>
              <w:right w:val="single" w:color="E0E0E0" w:sz="6" w:space="0"/>
            </w:tcBorders>
            <w:shd w:val="clear" w:color="auto" w:fill="F5F7FA"/>
            <w:tcMar>
              <w:top w:w="120" w:type="dxa"/>
              <w:left w:w="144" w:type="dxa"/>
              <w:bottom w:w="120" w:type="dxa"/>
              <w:right w:w="144" w:type="dxa"/>
            </w:tcMar>
            <w:vAlign w:val="center"/>
          </w:tcPr>
          <w:p w14:paraId="3147BA2E">
            <w:pPr>
              <w:spacing w:line="240" w:lineRule="auto"/>
              <w:ind w:firstLine="0" w:firstLineChars="0"/>
              <w:rPr>
                <w:rFonts w:ascii="宋体" w:hAnsi="宋体"/>
              </w:rPr>
            </w:pPr>
            <w:r>
              <w:rPr>
                <w:rFonts w:ascii="宋体" w:hAnsi="宋体"/>
                <w:b/>
              </w:rPr>
              <w:t>创新点</w:t>
            </w:r>
          </w:p>
        </w:tc>
        <w:tc>
          <w:tcPr>
            <w:tcW w:w="2118" w:type="dxa"/>
            <w:tcBorders>
              <w:top w:val="single" w:color="E0E0E0" w:sz="6" w:space="0"/>
              <w:left w:val="single" w:color="E0E0E0" w:sz="6" w:space="0"/>
              <w:bottom w:val="single" w:color="E0E0E0" w:sz="6" w:space="0"/>
              <w:right w:val="single" w:color="E0E0E0" w:sz="6" w:space="0"/>
            </w:tcBorders>
            <w:shd w:val="clear" w:color="auto" w:fill="F5F7FA"/>
            <w:tcMar>
              <w:top w:w="120" w:type="dxa"/>
              <w:left w:w="144" w:type="dxa"/>
              <w:bottom w:w="120" w:type="dxa"/>
              <w:right w:w="144" w:type="dxa"/>
            </w:tcMar>
            <w:vAlign w:val="center"/>
          </w:tcPr>
          <w:p w14:paraId="27BE495C">
            <w:pPr>
              <w:spacing w:line="240" w:lineRule="auto"/>
              <w:ind w:firstLine="0" w:firstLineChars="0"/>
              <w:rPr>
                <w:rFonts w:ascii="宋体" w:hAnsi="宋体"/>
              </w:rPr>
            </w:pPr>
            <w:r>
              <w:rPr>
                <w:rFonts w:ascii="宋体" w:hAnsi="宋体"/>
                <w:b/>
              </w:rPr>
              <w:t>核心创新层级</w:t>
            </w:r>
          </w:p>
        </w:tc>
        <w:tc>
          <w:tcPr>
            <w:tcW w:w="2118" w:type="dxa"/>
            <w:tcBorders>
              <w:top w:val="single" w:color="E0E0E0" w:sz="6" w:space="0"/>
              <w:left w:val="single" w:color="E0E0E0" w:sz="6" w:space="0"/>
              <w:bottom w:val="single" w:color="E0E0E0" w:sz="6" w:space="0"/>
              <w:right w:val="single" w:color="E0E0E0" w:sz="6" w:space="0"/>
            </w:tcBorders>
            <w:shd w:val="clear" w:color="auto" w:fill="F5F7FA"/>
            <w:tcMar>
              <w:top w:w="120" w:type="dxa"/>
              <w:left w:w="144" w:type="dxa"/>
              <w:bottom w:w="120" w:type="dxa"/>
              <w:right w:w="144" w:type="dxa"/>
            </w:tcMar>
            <w:vAlign w:val="center"/>
          </w:tcPr>
          <w:p w14:paraId="4A110F4F">
            <w:pPr>
              <w:spacing w:line="240" w:lineRule="auto"/>
              <w:ind w:firstLine="0" w:firstLineChars="0"/>
              <w:rPr>
                <w:rFonts w:hint="eastAsia" w:ascii="宋体" w:hAnsi="宋体"/>
                <w:b/>
                <w:bCs/>
              </w:rPr>
            </w:pPr>
            <w:r>
              <w:rPr>
                <w:rFonts w:hint="eastAsia" w:ascii="宋体" w:hAnsi="宋体"/>
                <w:b/>
                <w:bCs/>
              </w:rPr>
              <w:t>解决的问题</w:t>
            </w:r>
          </w:p>
        </w:tc>
      </w:tr>
      <w:tr w14:paraId="0D07735C">
        <w:tblPrEx>
          <w:tblCellMar>
            <w:top w:w="0" w:type="dxa"/>
            <w:left w:w="108" w:type="dxa"/>
            <w:bottom w:w="0" w:type="dxa"/>
            <w:right w:w="108" w:type="dxa"/>
          </w:tblCellMar>
        </w:tblPrEx>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0F6BE2E4">
            <w:pPr>
              <w:spacing w:line="240" w:lineRule="auto"/>
              <w:ind w:firstLine="0" w:firstLineChars="0"/>
              <w:rPr>
                <w:rFonts w:ascii="宋体" w:hAnsi="宋体"/>
              </w:rPr>
            </w:pPr>
            <w:r>
              <w:rPr>
                <w:rFonts w:ascii="宋体" w:hAnsi="宋体"/>
              </w:rPr>
              <w:t>1</w:t>
            </w:r>
          </w:p>
        </w:tc>
        <w:tc>
          <w:tcPr>
            <w:tcW w:w="2134"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38EC0963">
            <w:pPr>
              <w:spacing w:line="240" w:lineRule="auto"/>
              <w:ind w:firstLine="0" w:firstLineChars="0"/>
              <w:rPr>
                <w:rFonts w:ascii="宋体" w:hAnsi="宋体"/>
              </w:rPr>
            </w:pPr>
            <w:r>
              <w:rPr>
                <w:rFonts w:ascii="宋体" w:hAnsi="宋体"/>
              </w:rPr>
              <w:t>面向「阈值加持续时间」型损伤判据的风险对齐训练</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5230FC85">
            <w:pPr>
              <w:spacing w:line="240" w:lineRule="auto"/>
              <w:ind w:firstLine="0" w:firstLineChars="0"/>
              <w:rPr>
                <w:rFonts w:ascii="宋体" w:hAnsi="宋体"/>
              </w:rPr>
            </w:pPr>
            <w:r>
              <w:rPr>
                <w:rFonts w:ascii="宋体" w:hAnsi="宋体"/>
              </w:rPr>
              <w:t>模型级</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3C546730">
            <w:pPr>
              <w:spacing w:line="240" w:lineRule="auto"/>
              <w:ind w:firstLine="0" w:firstLineChars="0"/>
              <w:rPr>
                <w:rFonts w:hint="eastAsia" w:ascii="宋体" w:hAnsi="宋体"/>
              </w:rPr>
            </w:pPr>
            <w:r>
              <w:rPr>
                <w:rFonts w:ascii="宋体" w:hAnsi="宋体"/>
              </w:rPr>
              <w:t>解决预测得准但从不预警</w:t>
            </w:r>
          </w:p>
        </w:tc>
      </w:tr>
      <w:tr w14:paraId="285B3B2B">
        <w:tblPrEx>
          <w:tblCellMar>
            <w:top w:w="0" w:type="dxa"/>
            <w:left w:w="108" w:type="dxa"/>
            <w:bottom w:w="0" w:type="dxa"/>
            <w:right w:w="108" w:type="dxa"/>
          </w:tblCellMar>
        </w:tblPrEx>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71E13881">
            <w:pPr>
              <w:spacing w:line="240" w:lineRule="auto"/>
              <w:ind w:firstLine="0" w:firstLineChars="0"/>
              <w:rPr>
                <w:rFonts w:ascii="宋体" w:hAnsi="宋体"/>
              </w:rPr>
            </w:pPr>
            <w:r>
              <w:rPr>
                <w:rFonts w:ascii="宋体" w:hAnsi="宋体"/>
              </w:rPr>
              <w:t>2</w:t>
            </w:r>
          </w:p>
        </w:tc>
        <w:tc>
          <w:tcPr>
            <w:tcW w:w="2134"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6841B3E2">
            <w:pPr>
              <w:spacing w:line="240" w:lineRule="auto"/>
              <w:ind w:firstLine="0" w:firstLineChars="0"/>
              <w:rPr>
                <w:rFonts w:ascii="宋体" w:hAnsi="宋体"/>
              </w:rPr>
            </w:pPr>
            <w:r>
              <w:rPr>
                <w:rFonts w:ascii="宋体" w:hAnsi="宋体"/>
              </w:rPr>
              <w:t>延迟嵌入  Koopman  输运算子作为可微物理代理</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3B9ECB3B">
            <w:pPr>
              <w:spacing w:line="240" w:lineRule="auto"/>
              <w:ind w:firstLine="0" w:firstLineChars="0"/>
              <w:rPr>
                <w:rFonts w:ascii="宋体" w:hAnsi="宋体"/>
              </w:rPr>
            </w:pPr>
            <w:r>
              <w:rPr>
                <w:rFonts w:ascii="宋体" w:hAnsi="宋体"/>
              </w:rPr>
              <w:t>模型级</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55E76003">
            <w:pPr>
              <w:spacing w:line="240" w:lineRule="auto"/>
              <w:ind w:firstLine="0" w:firstLineChars="0"/>
              <w:rPr>
                <w:rFonts w:hint="eastAsia" w:ascii="宋体" w:hAnsi="宋体"/>
              </w:rPr>
            </w:pPr>
            <w:r>
              <w:rPr>
                <w:rFonts w:ascii="宋体" w:hAnsi="宋体"/>
              </w:rPr>
              <w:t>解决窟内标签不可观测</w:t>
            </w:r>
          </w:p>
        </w:tc>
      </w:tr>
      <w:tr w14:paraId="626CFDA3">
        <w:tblPrEx>
          <w:tblCellMar>
            <w:top w:w="0" w:type="dxa"/>
            <w:left w:w="108" w:type="dxa"/>
            <w:bottom w:w="0" w:type="dxa"/>
            <w:right w:w="108" w:type="dxa"/>
          </w:tblCellMar>
        </w:tblPrEx>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4EF99F8F">
            <w:pPr>
              <w:spacing w:line="240" w:lineRule="auto"/>
              <w:ind w:firstLine="0" w:firstLineChars="0"/>
              <w:rPr>
                <w:rFonts w:ascii="宋体" w:hAnsi="宋体"/>
              </w:rPr>
            </w:pPr>
            <w:r>
              <w:rPr>
                <w:rFonts w:ascii="宋体" w:hAnsi="宋体"/>
              </w:rPr>
              <w:t>3</w:t>
            </w:r>
          </w:p>
        </w:tc>
        <w:tc>
          <w:tcPr>
            <w:tcW w:w="2134"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596B20F7">
            <w:pPr>
              <w:spacing w:line="240" w:lineRule="auto"/>
              <w:ind w:firstLine="0" w:firstLineChars="0"/>
              <w:rPr>
                <w:rFonts w:ascii="宋体" w:hAnsi="宋体"/>
              </w:rPr>
            </w:pPr>
            <w:r>
              <w:rPr>
                <w:rFonts w:ascii="宋体" w:hAnsi="宋体"/>
              </w:rPr>
              <w:t>物理约束可解释、文献实测标定的双状态传递结构</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7DDC92C5">
            <w:pPr>
              <w:spacing w:line="240" w:lineRule="auto"/>
              <w:ind w:firstLine="0" w:firstLineChars="0"/>
              <w:rPr>
                <w:rFonts w:ascii="宋体" w:hAnsi="宋体"/>
              </w:rPr>
            </w:pPr>
            <w:r>
              <w:rPr>
                <w:rFonts w:ascii="宋体" w:hAnsi="宋体"/>
              </w:rPr>
              <w:t>系统级</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11F7971D">
            <w:pPr>
              <w:spacing w:line="240" w:lineRule="auto"/>
              <w:ind w:firstLine="0" w:firstLineChars="0"/>
              <w:rPr>
                <w:rFonts w:hint="eastAsia" w:ascii="宋体" w:hAnsi="宋体"/>
              </w:rPr>
            </w:pPr>
            <w:r>
              <w:rPr>
                <w:rFonts w:ascii="宋体" w:hAnsi="宋体"/>
              </w:rPr>
              <w:t>解决标定参数不可迁移</w:t>
            </w:r>
          </w:p>
        </w:tc>
      </w:tr>
      <w:tr w14:paraId="2580F487">
        <w:tblPrEx>
          <w:tblCellMar>
            <w:top w:w="0" w:type="dxa"/>
            <w:left w:w="108" w:type="dxa"/>
            <w:bottom w:w="0" w:type="dxa"/>
            <w:right w:w="108" w:type="dxa"/>
          </w:tblCellMar>
        </w:tblPrEx>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0A4B48B5">
            <w:pPr>
              <w:spacing w:line="240" w:lineRule="auto"/>
              <w:ind w:firstLine="0" w:firstLineChars="0"/>
              <w:rPr>
                <w:rFonts w:ascii="宋体" w:hAnsi="宋体"/>
              </w:rPr>
            </w:pPr>
            <w:r>
              <w:rPr>
                <w:rFonts w:ascii="宋体" w:hAnsi="宋体"/>
              </w:rPr>
              <w:t>4</w:t>
            </w:r>
          </w:p>
        </w:tc>
        <w:tc>
          <w:tcPr>
            <w:tcW w:w="2134"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05311037">
            <w:pPr>
              <w:spacing w:line="240" w:lineRule="auto"/>
              <w:ind w:firstLine="0" w:firstLineChars="0"/>
              <w:rPr>
                <w:rFonts w:ascii="宋体" w:hAnsi="宋体"/>
              </w:rPr>
            </w:pPr>
            <w:r>
              <w:rPr>
                <w:rFonts w:ascii="宋体" w:hAnsi="宋体"/>
              </w:rPr>
              <w:t>读出层极值压缩的诊断与非线性修正</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4647B3E5">
            <w:pPr>
              <w:spacing w:line="240" w:lineRule="auto"/>
              <w:ind w:firstLine="0" w:firstLineChars="0"/>
              <w:rPr>
                <w:rFonts w:ascii="宋体" w:hAnsi="宋体"/>
              </w:rPr>
            </w:pPr>
            <w:r>
              <w:rPr>
                <w:rFonts w:ascii="宋体" w:hAnsi="宋体"/>
              </w:rPr>
              <w:t>模型级</w:t>
            </w:r>
          </w:p>
        </w:tc>
        <w:tc>
          <w:tcPr>
            <w:tcW w:w="2118" w:type="dxa"/>
            <w:tcBorders>
              <w:top w:val="single" w:color="E0E0E0" w:sz="6" w:space="0"/>
              <w:left w:val="single" w:color="E0E0E0" w:sz="6" w:space="0"/>
              <w:bottom w:val="single" w:color="E0E0E0" w:sz="6" w:space="0"/>
              <w:right w:val="single" w:color="E0E0E0" w:sz="6" w:space="0"/>
            </w:tcBorders>
            <w:tcMar>
              <w:top w:w="120" w:type="dxa"/>
              <w:left w:w="144" w:type="dxa"/>
              <w:bottom w:w="120" w:type="dxa"/>
              <w:right w:w="144" w:type="dxa"/>
            </w:tcMar>
            <w:vAlign w:val="center"/>
          </w:tcPr>
          <w:p w14:paraId="47CD2E95">
            <w:pPr>
              <w:spacing w:line="240" w:lineRule="auto"/>
              <w:ind w:firstLine="0" w:firstLineChars="0"/>
              <w:rPr>
                <w:rFonts w:hint="eastAsia" w:ascii="宋体" w:hAnsi="宋体"/>
              </w:rPr>
            </w:pPr>
            <w:r>
              <w:rPr>
                <w:rFonts w:ascii="宋体" w:hAnsi="宋体"/>
              </w:rPr>
              <w:t>解决风险阈值处的量级失真</w:t>
            </w:r>
          </w:p>
        </w:tc>
      </w:tr>
    </w:tbl>
    <w:p w14:paraId="5EDFDA66">
      <w:pPr>
        <w:spacing w:line="240" w:lineRule="auto"/>
        <w:ind w:firstLine="0" w:firstLineChars="0"/>
        <w:rPr>
          <w:rFonts w:hint="eastAsia" w:ascii="宋体" w:hAnsi="宋体"/>
        </w:rPr>
      </w:pPr>
      <w:r>
        <w:rPr>
          <w:rFonts w:ascii="宋体" w:hAnsi="宋体"/>
        </w:rPr>
        <w:t>关键技术包括三个方面：延迟嵌入（Takens 定理与 HAVOK 思路）与 EDMD 闭式解的结合；用矩阵指数对切换门态的线性时不变子系统做精确离散化；以及阈值加权评分的数值积分与内生权重推导。</w:t>
      </w:r>
    </w:p>
    <w:p w14:paraId="0D413988">
      <w:pPr>
        <w:pStyle w:val="2"/>
        <w:ind w:firstLine="643"/>
      </w:pPr>
      <w:bookmarkStart w:id="17" w:name="_Toc241960380"/>
      <w:r>
        <w:rPr>
          <w:rFonts w:hint="eastAsia"/>
        </w:rPr>
        <w:t>五、应用成效</w:t>
      </w:r>
      <w:bookmarkEnd w:id="17"/>
    </w:p>
    <w:p w14:paraId="1A48C9F6">
      <w:pPr>
        <w:pStyle w:val="3"/>
        <w:ind w:firstLine="562"/>
      </w:pPr>
      <w:bookmarkStart w:id="18" w:name="_Toc241960381"/>
      <w:r>
        <w:rPr>
          <w:rFonts w:hint="eastAsia"/>
        </w:rPr>
        <w:t>1.成果展示</w:t>
      </w:r>
      <w:bookmarkEnd w:id="18"/>
    </w:p>
    <w:p w14:paraId="2397D9E8">
      <w:pPr>
        <w:spacing w:line="240" w:lineRule="auto"/>
        <w:ind w:firstLine="480"/>
        <w:rPr>
          <w:rFonts w:hint="eastAsia" w:ascii="宋体" w:hAnsi="宋体"/>
        </w:rPr>
      </w:pPr>
      <w:r>
        <w:rPr>
          <w:rFonts w:hint="eastAsia" w:ascii="宋体" w:hAnsi="宋体"/>
        </w:rPr>
        <w:t>本作品面向石窟寺壁画盐害防控中的高湿风险提前预警需求，形成了一套可运行、可审计、纯 CPU 部署的窟内微气候风险预报系统。主要成果如下：</w:t>
      </w:r>
    </w:p>
    <w:p w14:paraId="7CCDF125">
      <w:pPr>
        <w:spacing w:line="240" w:lineRule="auto"/>
        <w:ind w:firstLine="0" w:firstLineChars="0"/>
        <w:rPr>
          <w:rFonts w:hint="eastAsia" w:ascii="宋体" w:hAnsi="宋体"/>
        </w:rPr>
      </w:pPr>
      <w:r>
        <w:rPr>
          <w:rFonts w:hint="eastAsia" w:ascii="宋体" w:hAnsi="宋体"/>
        </w:rPr>
        <w:t>（1）主要功能</w:t>
      </w:r>
    </w:p>
    <w:p w14:paraId="066BA2FD">
      <w:pPr>
        <w:spacing w:line="240" w:lineRule="auto"/>
        <w:ind w:firstLine="480"/>
        <w:rPr>
          <w:rFonts w:hint="eastAsia" w:ascii="宋体" w:hAnsi="宋体"/>
        </w:rPr>
      </w:pPr>
      <w:r>
        <w:rPr>
          <w:rFonts w:hint="eastAsia" w:ascii="宋体" w:hAnsi="宋体"/>
        </w:rPr>
        <w:t>1.窟内相对湿度未来 24–72 小时风险预报，支持 62% / 67% / 75% 三级阈值分级输出；</w:t>
      </w:r>
    </w:p>
    <w:p w14:paraId="5FDD37A4">
      <w:pPr>
        <w:spacing w:line="240" w:lineRule="auto"/>
        <w:ind w:firstLine="480"/>
        <w:rPr>
          <w:rFonts w:hint="eastAsia" w:ascii="宋体" w:hAnsi="宋体"/>
        </w:rPr>
      </w:pPr>
      <w:r>
        <w:rPr>
          <w:rFonts w:hint="eastAsia" w:ascii="宋体" w:hAnsi="宋体"/>
        </w:rPr>
        <w:t>2.超阈事件概率排序与预警提前量估计；</w:t>
      </w:r>
    </w:p>
    <w:p w14:paraId="2A1C89C5">
      <w:pPr>
        <w:spacing w:line="240" w:lineRule="auto"/>
        <w:ind w:firstLine="480"/>
        <w:rPr>
          <w:rFonts w:hint="eastAsia" w:ascii="宋体" w:hAnsi="宋体"/>
        </w:rPr>
      </w:pPr>
      <w:r>
        <w:rPr>
          <w:rFonts w:hint="eastAsia" w:ascii="宋体" w:hAnsi="宋体"/>
        </w:rPr>
        <w:t>3.可解释性输出：特征族权重与 Koopman 谱模态（24 h 与年周期模态）；</w:t>
      </w:r>
    </w:p>
    <w:p w14:paraId="44E7B3EA">
      <w:pPr>
        <w:spacing w:line="240" w:lineRule="auto"/>
        <w:ind w:firstLine="480"/>
        <w:rPr>
          <w:rFonts w:ascii="宋体" w:hAnsi="宋体"/>
        </w:rPr>
      </w:pPr>
      <w:r>
        <w:rPr>
          <w:rFonts w:hint="eastAsia" w:ascii="宋体" w:hAnsi="宋体"/>
        </w:rPr>
        <w:t>4.四页面可视化看板：总览 / 对比 / 验证 / 回放，支持离线可运行。</w:t>
      </w:r>
    </w:p>
    <w:p w14:paraId="58BDEFFD">
      <w:pPr>
        <w:spacing w:line="240" w:lineRule="auto"/>
        <w:ind w:firstLine="0" w:firstLineChars="0"/>
        <w:rPr>
          <w:rFonts w:ascii="宋体" w:hAnsi="宋体"/>
        </w:rPr>
      </w:pPr>
      <w:r>
        <w:rPr>
          <w:rFonts w:ascii="宋体" w:hAnsi="宋体"/>
        </w:rPr>
        <w:t>（2）核心技术指标（测试段 2021–2025，24 h 时效，62% 阈值）</w:t>
      </w:r>
    </w:p>
    <w:p w14:paraId="117F25C5">
      <w:pPr>
        <w:spacing w:line="240" w:lineRule="auto"/>
        <w:ind w:firstLine="0" w:firstLineChars="0"/>
        <w:rPr>
          <w:rFonts w:hint="eastAsia" w:ascii="宋体" w:hAnsi="宋体"/>
        </w:rPr>
      </w:pPr>
    </w:p>
    <w:p w14:paraId="32632893">
      <w:pPr>
        <w:pStyle w:val="6"/>
        <w:keepNext/>
        <w:ind w:firstLine="3400" w:firstLineChars="1700"/>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4</w:t>
      </w:r>
      <w:r>
        <w:fldChar w:fldCharType="end"/>
      </w:r>
      <w:r>
        <w:rPr>
          <w:rFonts w:hint="eastAsia"/>
        </w:rPr>
        <w:t>核心技术指标</w:t>
      </w:r>
    </w:p>
    <w:tbl>
      <w:tblPr>
        <w:tblStyle w:val="26"/>
        <w:tblW w:w="0" w:type="auto"/>
        <w:tblInd w:w="0" w:type="dxa"/>
        <w:tblLayout w:type="autofit"/>
        <w:tblCellMar>
          <w:top w:w="0" w:type="dxa"/>
          <w:left w:w="108" w:type="dxa"/>
          <w:bottom w:w="0" w:type="dxa"/>
          <w:right w:w="108" w:type="dxa"/>
        </w:tblCellMar>
      </w:tblPr>
      <w:tblGrid>
        <w:gridCol w:w="4247"/>
        <w:gridCol w:w="4247"/>
      </w:tblGrid>
      <w:tr w14:paraId="68C52E92">
        <w:tc>
          <w:tcPr>
            <w:tcW w:w="4247" w:type="dxa"/>
            <w:tcBorders>
              <w:bottom w:val="single" w:color="7E7E7E" w:themeColor="text1" w:themeTint="80" w:sz="4" w:space="0"/>
              <w:right w:val="nil"/>
              <w:insideH w:val="single" w:sz="4" w:space="0"/>
            </w:tcBorders>
          </w:tcPr>
          <w:p w14:paraId="1125FE9F">
            <w:pPr>
              <w:spacing w:line="240" w:lineRule="auto"/>
              <w:ind w:firstLine="0" w:firstLineChars="0"/>
              <w:rPr>
                <w:rFonts w:hint="eastAsia" w:ascii="宋体" w:hAnsi="宋体"/>
                <w:b/>
                <w:bCs/>
                <w:caps/>
              </w:rPr>
            </w:pPr>
            <w:r>
              <w:rPr>
                <w:rFonts w:hint="eastAsia" w:ascii="宋体" w:hAnsi="宋体"/>
                <w:b/>
                <w:bCs/>
                <w:caps/>
              </w:rPr>
              <w:t>指标</w:t>
            </w:r>
          </w:p>
        </w:tc>
        <w:tc>
          <w:tcPr>
            <w:tcW w:w="4247" w:type="dxa"/>
            <w:tcBorders>
              <w:bottom w:val="single" w:color="7E7E7E" w:themeColor="text1" w:themeTint="80" w:sz="4" w:space="0"/>
              <w:insideH w:val="single" w:sz="4" w:space="0"/>
            </w:tcBorders>
          </w:tcPr>
          <w:p w14:paraId="79A5CD62">
            <w:pPr>
              <w:spacing w:line="240" w:lineRule="auto"/>
              <w:ind w:firstLine="0" w:firstLineChars="0"/>
              <w:rPr>
                <w:rFonts w:hint="eastAsia" w:ascii="宋体" w:hAnsi="宋体"/>
                <w:b/>
                <w:bCs/>
                <w:caps/>
              </w:rPr>
            </w:pPr>
            <w:r>
              <w:rPr>
                <w:rFonts w:hint="eastAsia" w:ascii="宋体" w:hAnsi="宋体"/>
                <w:b/>
                <w:bCs/>
                <w:caps/>
              </w:rPr>
              <w:t>本作品结果</w:t>
            </w:r>
          </w:p>
        </w:tc>
      </w:tr>
      <w:tr w14:paraId="31A61763">
        <w:tblPrEx>
          <w:tblCellMar>
            <w:top w:w="0" w:type="dxa"/>
            <w:left w:w="108" w:type="dxa"/>
            <w:bottom w:w="0" w:type="dxa"/>
            <w:right w:w="108" w:type="dxa"/>
          </w:tblCellMar>
        </w:tblPrEx>
        <w:tc>
          <w:tcPr>
            <w:tcW w:w="4247" w:type="dxa"/>
            <w:tcBorders>
              <w:right w:val="single" w:color="7E7E7E" w:themeColor="text1" w:themeTint="80" w:sz="4" w:space="0"/>
              <w:insideV w:val="single" w:sz="4" w:space="0"/>
            </w:tcBorders>
            <w:shd w:val="clear" w:color="auto" w:fill="F1F1F1" w:themeFill="background1" w:themeFillShade="F2"/>
          </w:tcPr>
          <w:p w14:paraId="6F988E8C">
            <w:pPr>
              <w:spacing w:line="240" w:lineRule="auto"/>
              <w:ind w:firstLine="0" w:firstLineChars="0"/>
              <w:rPr>
                <w:rFonts w:hint="eastAsia" w:ascii="宋体" w:hAnsi="宋体"/>
                <w:b w:val="0"/>
                <w:bCs w:val="0"/>
                <w:caps/>
              </w:rPr>
            </w:pPr>
            <w:r>
              <w:rPr>
                <w:rFonts w:ascii="宋体" w:hAnsi="宋体"/>
                <w:b w:val="0"/>
                <w:bCs w:val="0"/>
                <w:caps/>
              </w:rPr>
              <w:t>超阈 F1（风险对齐训练后）</w:t>
            </w:r>
          </w:p>
        </w:tc>
        <w:tc>
          <w:tcPr>
            <w:tcW w:w="4247" w:type="dxa"/>
            <w:shd w:val="clear" w:color="auto" w:fill="F1F1F1" w:themeFill="background1" w:themeFillShade="F2"/>
          </w:tcPr>
          <w:p w14:paraId="4AA18632">
            <w:pPr>
              <w:spacing w:line="240" w:lineRule="auto"/>
              <w:ind w:firstLine="0" w:firstLineChars="0"/>
              <w:rPr>
                <w:rFonts w:hint="eastAsia" w:ascii="宋体" w:hAnsi="宋体"/>
              </w:rPr>
            </w:pPr>
            <w:r>
              <w:rPr>
                <w:rFonts w:ascii="宋体" w:hAnsi="宋体"/>
              </w:rPr>
              <w:t>0.164</w:t>
            </w:r>
          </w:p>
        </w:tc>
      </w:tr>
      <w:tr w14:paraId="7F17D0A8">
        <w:tblPrEx>
          <w:tblCellMar>
            <w:top w:w="0" w:type="dxa"/>
            <w:left w:w="108" w:type="dxa"/>
            <w:bottom w:w="0" w:type="dxa"/>
            <w:right w:w="108" w:type="dxa"/>
          </w:tblCellMar>
        </w:tblPrEx>
        <w:tc>
          <w:tcPr>
            <w:tcW w:w="4247" w:type="dxa"/>
            <w:tcBorders>
              <w:right w:val="single" w:color="7E7E7E" w:themeColor="text1" w:themeTint="80" w:sz="4" w:space="0"/>
              <w:insideV w:val="single" w:sz="4" w:space="0"/>
            </w:tcBorders>
          </w:tcPr>
          <w:p w14:paraId="4BDC0808">
            <w:pPr>
              <w:spacing w:line="240" w:lineRule="auto"/>
              <w:ind w:firstLine="0" w:firstLineChars="0"/>
              <w:rPr>
                <w:rFonts w:hint="eastAsia" w:ascii="宋体" w:hAnsi="宋体"/>
                <w:b w:val="0"/>
                <w:bCs w:val="0"/>
                <w:caps/>
              </w:rPr>
            </w:pPr>
            <w:r>
              <w:rPr>
                <w:rFonts w:ascii="宋体" w:hAnsi="宋体"/>
                <w:b w:val="0"/>
                <w:bCs w:val="0"/>
                <w:caps/>
              </w:rPr>
              <w:t>超阈 AUC</w:t>
            </w:r>
          </w:p>
        </w:tc>
        <w:tc>
          <w:tcPr>
            <w:tcW w:w="4247" w:type="dxa"/>
          </w:tcPr>
          <w:p w14:paraId="532CF74B">
            <w:pPr>
              <w:spacing w:line="240" w:lineRule="auto"/>
              <w:ind w:firstLine="0" w:firstLineChars="0"/>
              <w:rPr>
                <w:rFonts w:hint="eastAsia" w:ascii="宋体" w:hAnsi="宋体"/>
              </w:rPr>
            </w:pPr>
            <w:r>
              <w:rPr>
                <w:rFonts w:ascii="宋体" w:hAnsi="宋体"/>
              </w:rPr>
              <w:t>0.903</w:t>
            </w:r>
          </w:p>
        </w:tc>
      </w:tr>
      <w:tr w14:paraId="5F40720C">
        <w:tblPrEx>
          <w:tblCellMar>
            <w:top w:w="0" w:type="dxa"/>
            <w:left w:w="108" w:type="dxa"/>
            <w:bottom w:w="0" w:type="dxa"/>
            <w:right w:w="108" w:type="dxa"/>
          </w:tblCellMar>
        </w:tblPrEx>
        <w:tc>
          <w:tcPr>
            <w:tcW w:w="4247" w:type="dxa"/>
            <w:tcBorders>
              <w:right w:val="single" w:color="7E7E7E" w:themeColor="text1" w:themeTint="80" w:sz="4" w:space="0"/>
              <w:insideV w:val="single" w:sz="4" w:space="0"/>
            </w:tcBorders>
            <w:shd w:val="clear" w:color="auto" w:fill="F1F1F1" w:themeFill="background1" w:themeFillShade="F2"/>
          </w:tcPr>
          <w:p w14:paraId="4FACCA1F">
            <w:pPr>
              <w:spacing w:line="240" w:lineRule="auto"/>
              <w:ind w:firstLine="0" w:firstLineChars="0"/>
              <w:rPr>
                <w:rFonts w:hint="eastAsia" w:ascii="宋体" w:hAnsi="宋体"/>
                <w:b w:val="0"/>
                <w:bCs w:val="0"/>
                <w:caps/>
              </w:rPr>
            </w:pPr>
            <w:r>
              <w:rPr>
                <w:rFonts w:ascii="宋体" w:hAnsi="宋体"/>
                <w:b w:val="0"/>
                <w:bCs w:val="0"/>
                <w:caps/>
              </w:rPr>
              <w:t>召回率</w:t>
            </w:r>
          </w:p>
        </w:tc>
        <w:tc>
          <w:tcPr>
            <w:tcW w:w="4247" w:type="dxa"/>
            <w:shd w:val="clear" w:color="auto" w:fill="F1F1F1" w:themeFill="background1" w:themeFillShade="F2"/>
          </w:tcPr>
          <w:p w14:paraId="32D2E24D">
            <w:pPr>
              <w:spacing w:line="240" w:lineRule="auto"/>
              <w:ind w:firstLine="0" w:firstLineChars="0"/>
              <w:rPr>
                <w:rFonts w:hint="eastAsia" w:ascii="宋体" w:hAnsi="宋体"/>
              </w:rPr>
            </w:pPr>
            <w:r>
              <w:rPr>
                <w:rFonts w:ascii="宋体" w:hAnsi="宋体"/>
              </w:rPr>
              <w:t>0.186</w:t>
            </w:r>
          </w:p>
        </w:tc>
      </w:tr>
      <w:tr w14:paraId="015D00D5">
        <w:tblPrEx>
          <w:tblCellMar>
            <w:top w:w="0" w:type="dxa"/>
            <w:left w:w="108" w:type="dxa"/>
            <w:bottom w:w="0" w:type="dxa"/>
            <w:right w:w="108" w:type="dxa"/>
          </w:tblCellMar>
        </w:tblPrEx>
        <w:tc>
          <w:tcPr>
            <w:tcW w:w="4247" w:type="dxa"/>
            <w:tcBorders>
              <w:right w:val="single" w:color="7E7E7E" w:themeColor="text1" w:themeTint="80" w:sz="4" w:space="0"/>
              <w:insideV w:val="single" w:sz="4" w:space="0"/>
            </w:tcBorders>
          </w:tcPr>
          <w:p w14:paraId="46641A8A">
            <w:pPr>
              <w:spacing w:line="240" w:lineRule="auto"/>
              <w:ind w:firstLine="0" w:firstLineChars="0"/>
              <w:rPr>
                <w:rFonts w:hint="eastAsia" w:ascii="宋体" w:hAnsi="宋体"/>
                <w:b w:val="0"/>
                <w:bCs w:val="0"/>
                <w:caps/>
              </w:rPr>
            </w:pPr>
            <w:r>
              <w:rPr>
                <w:rFonts w:hint="eastAsia" w:ascii="宋体" w:hAnsi="宋体"/>
                <w:b w:val="0"/>
                <w:bCs w:val="0"/>
                <w:caps/>
              </w:rPr>
              <w:t xml:space="preserve">点 </w:t>
            </w:r>
            <w:r>
              <w:rPr>
                <w:rFonts w:ascii="Cambria Math" w:hAnsi="Cambria Math" w:cs="Cambria Math"/>
                <w:b w:val="0"/>
                <w:bCs w:val="0"/>
                <w:caps/>
              </w:rPr>
              <w:t>𝑅</w:t>
            </w:r>
            <w:r>
              <w:rPr>
                <w:rFonts w:ascii="宋体" w:hAnsi="宋体"/>
                <w:b w:val="0"/>
                <w:bCs w:val="0"/>
                <w:caps/>
                <w:vertAlign w:val="superscript"/>
              </w:rPr>
              <w:t>2</w:t>
            </w:r>
          </w:p>
        </w:tc>
        <w:tc>
          <w:tcPr>
            <w:tcW w:w="4247" w:type="dxa"/>
          </w:tcPr>
          <w:p w14:paraId="095AF45B">
            <w:pPr>
              <w:spacing w:line="240" w:lineRule="auto"/>
              <w:ind w:firstLine="0" w:firstLineChars="0"/>
              <w:rPr>
                <w:rFonts w:hint="eastAsia" w:ascii="宋体" w:hAnsi="宋体"/>
              </w:rPr>
            </w:pPr>
            <w:r>
              <w:rPr>
                <w:rFonts w:ascii="宋体" w:hAnsi="宋体"/>
              </w:rPr>
              <w:t>0.655</w:t>
            </w:r>
          </w:p>
        </w:tc>
      </w:tr>
      <w:tr w14:paraId="00AE84C7">
        <w:tblPrEx>
          <w:tblCellMar>
            <w:top w:w="0" w:type="dxa"/>
            <w:left w:w="108" w:type="dxa"/>
            <w:bottom w:w="0" w:type="dxa"/>
            <w:right w:w="108" w:type="dxa"/>
          </w:tblCellMar>
        </w:tblPrEx>
        <w:tc>
          <w:tcPr>
            <w:tcW w:w="4247" w:type="dxa"/>
            <w:tcBorders>
              <w:right w:val="single" w:color="7E7E7E" w:themeColor="text1" w:themeTint="80" w:sz="4" w:space="0"/>
              <w:insideV w:val="single" w:sz="4" w:space="0"/>
            </w:tcBorders>
            <w:shd w:val="clear" w:color="auto" w:fill="F1F1F1" w:themeFill="background1" w:themeFillShade="F2"/>
          </w:tcPr>
          <w:p w14:paraId="67F5A093">
            <w:pPr>
              <w:spacing w:line="240" w:lineRule="auto"/>
              <w:ind w:firstLine="0" w:firstLineChars="0"/>
              <w:rPr>
                <w:rFonts w:hint="eastAsia" w:ascii="宋体" w:hAnsi="宋体"/>
                <w:b w:val="0"/>
                <w:bCs w:val="0"/>
                <w:caps/>
              </w:rPr>
            </w:pPr>
            <w:r>
              <w:rPr>
                <w:rFonts w:ascii="宋体" w:hAnsi="宋体"/>
                <w:b w:val="0"/>
                <w:bCs w:val="0"/>
                <w:caps/>
              </w:rPr>
              <w:t>滚动预报检出率</w:t>
            </w:r>
          </w:p>
        </w:tc>
        <w:tc>
          <w:tcPr>
            <w:tcW w:w="4247" w:type="dxa"/>
            <w:shd w:val="clear" w:color="auto" w:fill="F1F1F1" w:themeFill="background1" w:themeFillShade="F2"/>
          </w:tcPr>
          <w:p w14:paraId="551E2642">
            <w:pPr>
              <w:spacing w:line="240" w:lineRule="auto"/>
              <w:ind w:firstLine="0" w:firstLineChars="0"/>
              <w:rPr>
                <w:rFonts w:hint="eastAsia" w:ascii="宋体" w:hAnsi="宋体"/>
              </w:rPr>
            </w:pPr>
            <w:r>
              <w:rPr>
                <w:rFonts w:ascii="宋体" w:hAnsi="宋体"/>
              </w:rPr>
              <w:t>35.1%</w:t>
            </w:r>
          </w:p>
        </w:tc>
      </w:tr>
      <w:tr w14:paraId="0A1968C2">
        <w:tblPrEx>
          <w:tblCellMar>
            <w:top w:w="0" w:type="dxa"/>
            <w:left w:w="108" w:type="dxa"/>
            <w:bottom w:w="0" w:type="dxa"/>
            <w:right w:w="108" w:type="dxa"/>
          </w:tblCellMar>
        </w:tblPrEx>
        <w:tc>
          <w:tcPr>
            <w:tcW w:w="4247" w:type="dxa"/>
            <w:tcBorders>
              <w:right w:val="single" w:color="7E7E7E" w:themeColor="text1" w:themeTint="80" w:sz="4" w:space="0"/>
              <w:insideV w:val="single" w:sz="4" w:space="0"/>
            </w:tcBorders>
          </w:tcPr>
          <w:p w14:paraId="05FBF74C">
            <w:pPr>
              <w:spacing w:line="240" w:lineRule="auto"/>
              <w:ind w:firstLine="0" w:firstLineChars="0"/>
              <w:rPr>
                <w:rFonts w:hint="eastAsia" w:ascii="宋体" w:hAnsi="宋体"/>
                <w:b w:val="0"/>
                <w:bCs w:val="0"/>
                <w:caps/>
              </w:rPr>
            </w:pPr>
            <w:r>
              <w:rPr>
                <w:rFonts w:ascii="宋体" w:hAnsi="宋体"/>
                <w:b w:val="0"/>
                <w:bCs w:val="0"/>
                <w:caps/>
              </w:rPr>
              <w:t>平均预警提前量</w:t>
            </w:r>
          </w:p>
        </w:tc>
        <w:tc>
          <w:tcPr>
            <w:tcW w:w="4247" w:type="dxa"/>
          </w:tcPr>
          <w:p w14:paraId="2E4AE3FF">
            <w:pPr>
              <w:spacing w:line="240" w:lineRule="auto"/>
              <w:ind w:firstLine="0" w:firstLineChars="0"/>
              <w:rPr>
                <w:rFonts w:hint="eastAsia" w:ascii="宋体" w:hAnsi="宋体"/>
              </w:rPr>
            </w:pPr>
            <w:r>
              <w:rPr>
                <w:rFonts w:ascii="宋体" w:hAnsi="宋体"/>
              </w:rPr>
              <w:t>46.3 h</w:t>
            </w:r>
          </w:p>
        </w:tc>
      </w:tr>
    </w:tbl>
    <w:p w14:paraId="72C9C7A2">
      <w:pPr>
        <w:spacing w:line="240" w:lineRule="auto"/>
        <w:ind w:firstLine="480"/>
        <w:rPr>
          <w:rFonts w:ascii="宋体" w:hAnsi="宋体"/>
        </w:rPr>
      </w:pPr>
    </w:p>
    <w:p w14:paraId="7AB8F6C1">
      <w:pPr>
        <w:spacing w:line="240" w:lineRule="auto"/>
        <w:ind w:firstLine="480"/>
        <w:rPr>
          <w:rFonts w:ascii="宋体" w:hAnsi="宋体"/>
        </w:rPr>
      </w:pPr>
      <w:r>
        <w:rPr>
          <w:rFonts w:hint="eastAsia" w:ascii="宋体" w:hAnsi="宋体"/>
        </w:rPr>
        <w:t xml:space="preserve">作为对照，现有 MSE 训练做法在同一测试段上的超阈 F1 为 0.072、召回率 0.047、点 </w:t>
      </w:r>
      <w:r>
        <w:rPr>
          <w:rFonts w:ascii="Cambria Math" w:hAnsi="Cambria Math" w:cs="Cambria Math"/>
        </w:rPr>
        <w:t>𝑅</w:t>
      </w:r>
      <w:r>
        <w:rPr>
          <w:rFonts w:ascii="宋体" w:hAnsi="宋体"/>
          <w:vertAlign w:val="superscript"/>
        </w:rPr>
        <w:t>2</w:t>
      </w:r>
      <w:r>
        <w:rPr>
          <w:rFonts w:hint="eastAsia" w:ascii="宋体" w:hAnsi="宋体"/>
        </w:rPr>
        <w:t>0.585。风险对齐训练后 F1 提升 127%，召回率提升约 4 倍，且点精度不降反升。</w:t>
      </w:r>
    </w:p>
    <w:p w14:paraId="33CBFAE7">
      <w:pPr>
        <w:spacing w:line="240" w:lineRule="auto"/>
        <w:ind w:firstLine="0" w:firstLineChars="0"/>
        <w:rPr>
          <w:rFonts w:hint="eastAsia" w:ascii="宋体" w:hAnsi="宋体"/>
        </w:rPr>
      </w:pPr>
      <w:r>
        <w:rPr>
          <w:rFonts w:hint="eastAsia" w:ascii="宋体" w:hAnsi="宋体"/>
          <w:highlight w:val="yellow"/>
        </w:rPr>
        <w:t>（3）外部效度验证成果</w:t>
      </w:r>
    </w:p>
    <w:p w14:paraId="4BD4B6CD">
      <w:pPr>
        <w:spacing w:line="240" w:lineRule="auto"/>
        <w:ind w:left="480" w:leftChars="200" w:firstLine="480"/>
        <w:rPr>
          <w:rFonts w:hint="eastAsia" w:ascii="宋体" w:hAnsi="宋体"/>
        </w:rPr>
      </w:pPr>
      <w:r>
        <w:rPr>
          <w:rFonts w:hint="eastAsia" w:ascii="宋体" w:hAnsi="宋体"/>
        </w:rPr>
        <w:t>跨窟留一验证：物理模型在第 71 窟标定，在第 87 窟检验。6 项指标中 5 项通过，支持“模型学到的是窟内外传递结构的共性，而非过拟合单一洞窟”。</w:t>
      </w:r>
    </w:p>
    <w:p w14:paraId="7DA75BDD">
      <w:pPr>
        <w:spacing w:line="240" w:lineRule="auto"/>
        <w:ind w:firstLine="480"/>
        <w:rPr>
          <w:rFonts w:ascii="宋体" w:hAnsi="宋体"/>
        </w:rPr>
      </w:pPr>
      <w:r>
        <w:rPr>
          <w:rFonts w:hint="eastAsia" w:ascii="宋体" w:hAnsi="宋体"/>
        </w:rPr>
        <w:t xml:space="preserve">ICCP 真实洞穴观测验证：以受光区逐时观测驱动、深处逐时 RH 为预报目标，8 个有效洞上算子 </w:t>
      </w:r>
      <w:r>
        <w:rPr>
          <w:rFonts w:ascii="Cambria Math" w:hAnsi="Cambria Math" w:cs="Cambria Math"/>
        </w:rPr>
        <w:t>𝑅</w:t>
      </w:r>
      <w:r>
        <w:rPr>
          <w:rFonts w:ascii="宋体" w:hAnsi="宋体"/>
          <w:vertAlign w:val="superscript"/>
        </w:rPr>
        <w:t>2</w:t>
      </w:r>
      <w:r>
        <w:rPr>
          <w:rFonts w:hint="eastAsia" w:ascii="宋体" w:hAnsi="宋体"/>
        </w:rPr>
        <w:t xml:space="preserve">中位数 </w:t>
      </w:r>
      <w:r>
        <w:rPr>
          <w:rFonts w:ascii="宋体" w:hAnsi="宋体"/>
        </w:rPr>
        <w:t>+0.641</w:t>
      </w:r>
      <w:r>
        <w:rPr>
          <w:rFonts w:hint="eastAsia" w:ascii="宋体" w:hAnsi="宋体"/>
        </w:rPr>
        <w:t>，一阶传递函数</w:t>
      </w:r>
      <w:r>
        <w:rPr>
          <w:rFonts w:ascii="Cambria Math" w:hAnsi="Cambria Math" w:cs="Cambria Math"/>
        </w:rPr>
        <w:t>−</w:t>
      </w:r>
      <w:r>
        <w:rPr>
          <w:rFonts w:ascii="宋体" w:hAnsi="宋体"/>
        </w:rPr>
        <w:t>0.255</w:t>
      </w:r>
      <w:r>
        <w:rPr>
          <w:rFonts w:hint="eastAsia" w:ascii="宋体" w:hAnsi="宋体"/>
        </w:rPr>
        <w:t>（</w:t>
      </w:r>
      <w:r>
        <w:rPr>
          <w:rFonts w:ascii="宋体" w:hAnsi="宋体"/>
        </w:rPr>
        <w:t xml:space="preserve">7/8 </w:t>
      </w:r>
      <w:r>
        <w:rPr>
          <w:rFonts w:hint="eastAsia" w:ascii="宋体" w:hAnsi="宋体"/>
        </w:rPr>
        <w:t>洞占优、</w:t>
      </w:r>
      <w:r>
        <w:rPr>
          <w:rFonts w:ascii="宋体" w:hAnsi="宋体"/>
        </w:rPr>
        <w:t xml:space="preserve">RMSE </w:t>
      </w:r>
      <w:r>
        <w:rPr>
          <w:rFonts w:hint="eastAsia" w:ascii="宋体" w:hAnsi="宋体"/>
        </w:rPr>
        <w:t>减半）。</w:t>
      </w:r>
    </w:p>
    <w:p w14:paraId="56464F69">
      <w:pPr>
        <w:spacing w:line="240" w:lineRule="auto"/>
        <w:ind w:firstLine="480"/>
        <w:rPr>
          <w:rFonts w:ascii="宋体" w:hAnsi="宋体"/>
        </w:rPr>
      </w:pPr>
      <w:r>
        <w:rPr>
          <w:rFonts w:hint="eastAsia" w:ascii="宋体" w:hAnsi="宋体"/>
        </w:rPr>
        <w:t>同窟同期实测对照：与 Gong et al. 2025 第 71 窟实测对照，温度统计量从未参与标定，年均气温差 0.45 K、暖端极值差 0.22 K。</w:t>
      </w:r>
    </w:p>
    <w:p w14:paraId="176E85C1">
      <w:pPr>
        <w:spacing w:line="240" w:lineRule="auto"/>
        <w:ind w:firstLine="0" w:firstLineChars="0"/>
        <w:rPr>
          <w:rFonts w:hint="eastAsia" w:ascii="宋体" w:hAnsi="宋体"/>
        </w:rPr>
      </w:pPr>
      <w:r>
        <w:rPr>
          <w:rFonts w:hint="eastAsia" w:ascii="宋体" w:hAnsi="宋体"/>
        </w:rPr>
        <w:t>（4）系统原型与交互效果</w:t>
      </w:r>
      <w:r>
        <w:rPr>
          <w:rFonts w:hint="eastAsia" w:ascii="宋体" w:hAnsi="宋体"/>
          <w:highlight w:val="yellow"/>
        </w:rPr>
        <w:t>（前端页面）</w:t>
      </w:r>
    </w:p>
    <w:p w14:paraId="62DE9F7A">
      <w:pPr>
        <w:spacing w:line="240" w:lineRule="auto"/>
        <w:ind w:firstLine="480"/>
        <w:rPr>
          <w:rFonts w:hint="eastAsia" w:ascii="宋体" w:hAnsi="宋体"/>
        </w:rPr>
      </w:pPr>
      <w:r>
        <w:rPr>
          <w:rFonts w:hint="eastAsia" w:ascii="宋体" w:hAnsi="宋体"/>
        </w:rPr>
        <w:t>系统采用 Flask 3.1.2 + 本地内联 ECharts 构建四页面可视化看板，无 CDN 依赖，支持断网运行。四个页面分别为：</w:t>
      </w:r>
    </w:p>
    <w:p w14:paraId="36A6CD80">
      <w:pPr>
        <w:spacing w:line="240" w:lineRule="auto"/>
        <w:ind w:firstLine="480"/>
        <w:rPr>
          <w:rFonts w:hint="eastAsia" w:ascii="宋体" w:hAnsi="宋体"/>
        </w:rPr>
      </w:pPr>
      <w:r>
        <w:rPr>
          <w:rFonts w:hint="eastAsia" w:ascii="宋体" w:hAnsi="宋体"/>
        </w:rPr>
        <w:t>1.总览页：展示多要素预测曲线、风险仪表盘与运行状态（截图）</w:t>
      </w:r>
    </w:p>
    <w:p w14:paraId="36D56872">
      <w:pPr>
        <w:spacing w:line="240" w:lineRule="auto"/>
        <w:ind w:firstLine="480"/>
        <w:rPr>
          <w:rFonts w:hint="eastAsia" w:ascii="宋体" w:hAnsi="宋体"/>
        </w:rPr>
      </w:pPr>
      <w:r>
        <w:rPr>
          <w:rFonts w:hint="eastAsia" w:ascii="宋体" w:hAnsi="宋体"/>
        </w:rPr>
        <w:t>2.对比页：多模型精度与能效对比（截图）</w:t>
      </w:r>
    </w:p>
    <w:p w14:paraId="166B90F5">
      <w:pPr>
        <w:spacing w:line="240" w:lineRule="auto"/>
        <w:ind w:firstLine="480"/>
        <w:rPr>
          <w:rFonts w:hint="eastAsia" w:ascii="宋体" w:hAnsi="宋体"/>
        </w:rPr>
      </w:pPr>
      <w:r>
        <w:rPr>
          <w:rFonts w:hint="eastAsia" w:ascii="宋体" w:hAnsi="宋体"/>
        </w:rPr>
        <w:t>3.验证页：跨窟留一与 ICCP 验证结果（截图）</w:t>
      </w:r>
    </w:p>
    <w:p w14:paraId="41043F13">
      <w:pPr>
        <w:spacing w:line="240" w:lineRule="auto"/>
        <w:ind w:firstLine="480"/>
        <w:rPr>
          <w:rFonts w:hint="eastAsia" w:ascii="宋体" w:hAnsi="宋体"/>
        </w:rPr>
      </w:pPr>
      <w:r>
        <w:rPr>
          <w:rFonts w:hint="eastAsia" w:ascii="宋体" w:hAnsi="宋体"/>
        </w:rPr>
        <w:t>4.回放页：离线数据回放与自动回退（截图）</w:t>
      </w:r>
    </w:p>
    <w:p w14:paraId="3F4EC423">
      <w:pPr>
        <w:pStyle w:val="3"/>
        <w:ind w:firstLine="562"/>
      </w:pPr>
      <w:bookmarkStart w:id="19" w:name="_Toc241960382"/>
      <w:r>
        <w:rPr>
          <w:rFonts w:hint="eastAsia"/>
        </w:rPr>
        <w:t>2.效果验证</w:t>
      </w:r>
      <w:bookmarkEnd w:id="19"/>
    </w:p>
    <w:p w14:paraId="3987C694">
      <w:pPr>
        <w:spacing w:line="240" w:lineRule="auto"/>
        <w:ind w:firstLine="0" w:firstLineChars="0"/>
        <w:rPr>
          <w:rFonts w:hint="eastAsia" w:ascii="宋体" w:hAnsi="宋体"/>
        </w:rPr>
      </w:pPr>
      <w:r>
        <w:rPr>
          <w:rFonts w:hint="eastAsia" w:ascii="宋体" w:hAnsi="宋体"/>
        </w:rPr>
        <w:t>（1）与 MSE 训练的对比</w:t>
      </w:r>
    </w:p>
    <w:p w14:paraId="67EABE76">
      <w:pPr>
        <w:spacing w:line="240" w:lineRule="auto"/>
        <w:ind w:firstLine="480"/>
        <w:rPr>
          <w:rFonts w:ascii="宋体" w:hAnsi="宋体"/>
        </w:rPr>
      </w:pPr>
      <w:r>
        <w:rPr>
          <w:rFonts w:hint="eastAsia" w:ascii="宋体" w:hAnsi="宋体"/>
        </w:rPr>
        <w:t xml:space="preserve">本作品立论基础是目标函数错配：标准 MSE 训练下，窟内 RH 点 </w:t>
      </w:r>
      <w:r>
        <w:rPr>
          <w:rFonts w:ascii="Cambria Math" w:hAnsi="Cambria Math" w:cs="Cambria Math"/>
        </w:rPr>
        <w:t>𝑅</w:t>
      </w:r>
      <w:r>
        <w:rPr>
          <w:rFonts w:ascii="宋体" w:hAnsi="宋体"/>
          <w:vertAlign w:val="superscript"/>
        </w:rPr>
        <w:t>2</w:t>
      </w:r>
      <w:r>
        <w:rPr>
          <w:rFonts w:ascii="宋体" w:hAnsi="宋体"/>
        </w:rPr>
        <w:t>=0.585</w:t>
      </w:r>
    </w:p>
    <w:p w14:paraId="08E957F7">
      <w:pPr>
        <w:spacing w:line="240" w:lineRule="auto"/>
        <w:ind w:firstLine="0" w:firstLineChars="0"/>
        <w:rPr>
          <w:rFonts w:hint="eastAsia" w:ascii="宋体" w:hAnsi="宋体"/>
        </w:rPr>
      </w:pPr>
      <w:r>
        <w:rPr>
          <w:rFonts w:hint="eastAsia" w:ascii="宋体" w:hAnsi="宋体"/>
        </w:rPr>
        <w:t xml:space="preserve">看似不错，但超阈召回率仅 0.047，漏报 95% 以上，F1 仅 0.072。风险对齐训练后，F1 提升至 0.164（+127%），AUC 由 0.862 提升至 0.903，召回率由 0.047 提升至 0.186，点 </w:t>
      </w:r>
      <w:r>
        <w:rPr>
          <w:rFonts w:ascii="Cambria Math" w:hAnsi="Cambria Math" w:cs="Cambria Math"/>
        </w:rPr>
        <w:t>𝑅</w:t>
      </w:r>
      <w:r>
        <w:rPr>
          <w:rFonts w:ascii="宋体" w:hAnsi="宋体"/>
          <w:vertAlign w:val="superscript"/>
        </w:rPr>
        <w:t>2</w:t>
      </w:r>
      <w:r>
        <w:rPr>
          <w:rFonts w:hint="eastAsia" w:ascii="宋体" w:hAnsi="宋体"/>
        </w:rPr>
        <w:t>由 0.585 提升至 0.655。F1 在验证/测试两段 × 24/48/72 h 六个格子上全部提升；AUC 在 62% 口径下六个格子同样全部为正增益。该对比说明：风险对齐没有牺牲点精度，而是把模型容量从“平均拟合”转向“尾部风险识别”。</w:t>
      </w:r>
    </w:p>
    <w:p w14:paraId="0C9E9755">
      <w:pPr>
        <w:spacing w:line="240" w:lineRule="auto"/>
        <w:ind w:firstLine="0" w:firstLineChars="0"/>
        <w:rPr>
          <w:rFonts w:hint="eastAsia" w:ascii="宋体" w:hAnsi="宋体"/>
        </w:rPr>
      </w:pPr>
      <w:r>
        <w:rPr>
          <w:rFonts w:hint="eastAsia" w:ascii="宋体" w:hAnsi="宋体"/>
        </w:rPr>
        <w:t>（2）消融实验</w:t>
      </w:r>
    </w:p>
    <w:p w14:paraId="114D979B">
      <w:pPr>
        <w:spacing w:line="240" w:lineRule="auto"/>
        <w:ind w:firstLine="480"/>
        <w:rPr>
          <w:rFonts w:hint="eastAsia" w:ascii="宋体" w:hAnsi="宋体"/>
        </w:rPr>
      </w:pPr>
      <w:r>
        <w:rPr>
          <w:rFonts w:hint="eastAsia" w:ascii="宋体" w:hAnsi="宋体"/>
        </w:rPr>
        <w:t xml:space="preserve">逐配置独立选择岭回归系数 </w:t>
      </w:r>
      <w:r>
        <w:rPr>
          <w:rFonts w:ascii="Cambria Math" w:hAnsi="Cambria Math" w:cs="Cambria Math"/>
        </w:rPr>
        <w:t>𝛽</w:t>
      </w:r>
      <w:r>
        <w:rPr>
          <w:rFonts w:hint="eastAsia" w:ascii="宋体" w:hAnsi="宋体"/>
        </w:rPr>
        <w:t xml:space="preserve">后，完整特征配置（快变延迟 + 多尺度慢变 + Magnus 耦合）在点 </w:t>
      </w:r>
      <w:r>
        <w:rPr>
          <w:rFonts w:ascii="Cambria Math" w:hAnsi="Cambria Math" w:cs="Cambria Math"/>
        </w:rPr>
        <w:t>𝑅</w:t>
      </w:r>
      <w:r>
        <w:rPr>
          <w:rFonts w:ascii="宋体" w:hAnsi="宋体"/>
          <w:vertAlign w:val="superscript"/>
        </w:rPr>
        <w:t>2</w:t>
      </w:r>
      <w:r>
        <w:rPr>
          <w:rFonts w:hint="eastAsia" w:ascii="宋体" w:hAnsi="宋体"/>
        </w:rPr>
        <w:t>、AUC、F1 三个指标上同时最优，且首次同时反超 oracle 持续性基线（F1 0.128 vs 0.092、AUC 0.860 vs 0.836）。各消融都不优于它，说明“多尺度慢变项 + Magnus 耦合项”这一物理动机的特征设计确有贡献。</w:t>
      </w:r>
    </w:p>
    <w:p w14:paraId="68BDC3FD">
      <w:pPr>
        <w:spacing w:line="240" w:lineRule="auto"/>
        <w:ind w:firstLine="0" w:firstLineChars="0"/>
        <w:rPr>
          <w:rFonts w:ascii="宋体" w:hAnsi="宋体"/>
        </w:rPr>
      </w:pPr>
    </w:p>
    <w:p w14:paraId="5314A0F8">
      <w:pPr>
        <w:spacing w:line="240" w:lineRule="auto"/>
        <w:ind w:firstLine="0" w:firstLineChars="0"/>
        <w:rPr>
          <w:rFonts w:hint="eastAsia" w:ascii="宋体" w:hAnsi="宋体"/>
        </w:rPr>
      </w:pPr>
      <w:r>
        <w:rPr>
          <w:rFonts w:hint="eastAsia" w:ascii="宋体" w:hAnsi="宋体"/>
          <w:highlight w:val="yellow"/>
        </w:rPr>
        <w:t>（3）真实洞穴验证</w:t>
      </w:r>
    </w:p>
    <w:p w14:paraId="3AF26F97">
      <w:pPr>
        <w:spacing w:line="240" w:lineRule="auto"/>
        <w:ind w:firstLine="480"/>
        <w:rPr>
          <w:rFonts w:ascii="宋体" w:hAnsi="宋体"/>
        </w:rPr>
      </w:pPr>
      <w:r>
        <w:rPr>
          <w:rFonts w:hint="eastAsia" w:ascii="宋体" w:hAnsi="宋体"/>
        </w:rPr>
        <w:t xml:space="preserve">ICCP 12 个真实岩溶洞穴上，算子 </w:t>
      </w:r>
      <w:r>
        <w:rPr>
          <w:rFonts w:ascii="Cambria Math" w:hAnsi="Cambria Math" w:cs="Cambria Math"/>
        </w:rPr>
        <w:t>𝑅</w:t>
      </w:r>
      <w:r>
        <w:rPr>
          <w:rFonts w:ascii="宋体" w:hAnsi="宋体"/>
          <w:vertAlign w:val="superscript"/>
        </w:rPr>
        <w:t>2</w:t>
      </w:r>
      <w:r>
        <w:rPr>
          <w:rFonts w:hint="eastAsia" w:ascii="宋体" w:hAnsi="宋体"/>
        </w:rPr>
        <w:t xml:space="preserve">中位数 </w:t>
      </w:r>
      <w:r>
        <w:rPr>
          <w:rFonts w:ascii="宋体" w:hAnsi="宋体"/>
        </w:rPr>
        <w:t>+0.641</w:t>
      </w:r>
      <w:r>
        <w:rPr>
          <w:rFonts w:hint="eastAsia" w:ascii="宋体" w:hAnsi="宋体"/>
        </w:rPr>
        <w:t xml:space="preserve">vs 一阶传递函数 </w:t>
      </w:r>
      <w:r>
        <w:rPr>
          <w:rFonts w:ascii="Cambria Math" w:hAnsi="Cambria Math" w:cs="Cambria Math"/>
        </w:rPr>
        <w:t>−</w:t>
      </w:r>
      <w:r>
        <w:rPr>
          <w:rFonts w:ascii="宋体" w:hAnsi="宋体"/>
        </w:rPr>
        <w:t>0.255</w:t>
      </w:r>
      <w:r>
        <w:rPr>
          <w:rFonts w:hint="eastAsia" w:ascii="宋体" w:hAnsi="宋体"/>
        </w:rPr>
        <w:t>（</w:t>
      </w:r>
      <w:r>
        <w:rPr>
          <w:rFonts w:ascii="宋体" w:hAnsi="宋体"/>
        </w:rPr>
        <w:t xml:space="preserve">7/8 </w:t>
      </w:r>
      <w:r>
        <w:rPr>
          <w:rFonts w:hint="eastAsia" w:ascii="宋体" w:hAnsi="宋体"/>
        </w:rPr>
        <w:t>洞占优、</w:t>
      </w:r>
      <w:r>
        <w:rPr>
          <w:rFonts w:ascii="宋体" w:hAnsi="宋体"/>
        </w:rPr>
        <w:t xml:space="preserve">RMSE </w:t>
      </w:r>
      <w:r>
        <w:rPr>
          <w:rFonts w:hint="eastAsia" w:ascii="宋体" w:hAnsi="宋体"/>
        </w:rPr>
        <w:t>减半）。（注：该实验只支持“输运算子架构优于一阶传递函数”的相对比较，不支撑绝对精度主张。）</w:t>
      </w:r>
    </w:p>
    <w:p w14:paraId="01AFC887">
      <w:pPr>
        <w:spacing w:line="240" w:lineRule="auto"/>
        <w:ind w:firstLine="0" w:firstLineChars="0"/>
        <w:rPr>
          <w:rFonts w:ascii="宋体" w:hAnsi="宋体"/>
        </w:rPr>
      </w:pPr>
    </w:p>
    <w:p w14:paraId="4FACA042">
      <w:pPr>
        <w:spacing w:line="240" w:lineRule="auto"/>
        <w:ind w:firstLine="0" w:firstLineChars="0"/>
        <w:rPr>
          <w:rFonts w:hint="eastAsia" w:ascii="宋体" w:hAnsi="宋体"/>
        </w:rPr>
      </w:pPr>
      <w:r>
        <w:rPr>
          <w:rFonts w:hint="eastAsia" w:ascii="宋体" w:hAnsi="宋体"/>
        </w:rPr>
        <w:t>（4）边界说明</w:t>
      </w:r>
    </w:p>
    <w:p w14:paraId="7480B43B">
      <w:pPr>
        <w:spacing w:line="240" w:lineRule="auto"/>
        <w:ind w:firstLine="480"/>
        <w:rPr>
          <w:rFonts w:hint="eastAsia" w:ascii="宋体" w:hAnsi="宋体"/>
        </w:rPr>
      </w:pPr>
      <w:r>
        <w:rPr>
          <w:rFonts w:hint="eastAsia" w:ascii="宋体" w:hAnsi="宋体"/>
        </w:rPr>
        <w:t>2024-04-16 高湿事件（真实 72 h 峰值 89.02%）上，本作品读出峰值从 38.44% 提升至 49.11%，但仍未越过标定门限 58.25%，因此看板在该场景未触发报警。这与测试段指标一致——单一起点的 72 h 窗口本就会漏报，看板不为好看而调门限。平稳期场景复现比 1.007，说明误差主要来自极值压缩而非系统偏差。</w:t>
      </w:r>
    </w:p>
    <w:p w14:paraId="2DEB5336">
      <w:pPr>
        <w:pStyle w:val="3"/>
        <w:ind w:firstLine="562"/>
      </w:pPr>
      <w:bookmarkStart w:id="20" w:name="_Toc241960383"/>
      <w:r>
        <w:rPr>
          <w:rFonts w:hint="eastAsia"/>
        </w:rPr>
        <w:t>3.应用价值</w:t>
      </w:r>
      <w:bookmarkEnd w:id="20"/>
    </w:p>
    <w:p w14:paraId="31B451EF">
      <w:pPr>
        <w:spacing w:line="240" w:lineRule="auto"/>
        <w:ind w:firstLine="0" w:firstLineChars="0"/>
        <w:rPr>
          <w:rFonts w:hint="eastAsia" w:ascii="宋体" w:hAnsi="宋体"/>
        </w:rPr>
      </w:pPr>
      <w:r>
        <w:rPr>
          <w:rFonts w:hint="eastAsia" w:ascii="宋体" w:hAnsi="宋体"/>
        </w:rPr>
        <w:t>（1）把“事后处置”变为“提前 46.3 小时排班”</w:t>
      </w:r>
    </w:p>
    <w:p w14:paraId="461B1859">
      <w:pPr>
        <w:spacing w:line="240" w:lineRule="auto"/>
        <w:ind w:firstLine="480"/>
        <w:rPr>
          <w:rFonts w:hint="eastAsia" w:ascii="宋体" w:hAnsi="宋体"/>
        </w:rPr>
      </w:pPr>
      <w:r>
        <w:rPr>
          <w:rFonts w:hint="eastAsia" w:ascii="宋体" w:hAnsi="宋体"/>
        </w:rPr>
        <w:t>对开放洞窟而言，一次可预判的高湿过程意味着可以提前决定调整游客批次或临时闭窟，而这正是不可逆损伤发生前唯一的干预窗口。现有文献方法的有效预报时效不超过 24 h；本作品平均预警提前量 46.3 h，接近两个完整工作日，足以支撑“提前一天关闭洞窟或启动除湿”的管理决策周期。</w:t>
      </w:r>
    </w:p>
    <w:p w14:paraId="1881F98F">
      <w:pPr>
        <w:spacing w:line="240" w:lineRule="auto"/>
        <w:ind w:firstLine="0" w:firstLineChars="0"/>
        <w:rPr>
          <w:rFonts w:ascii="宋体" w:hAnsi="宋体"/>
        </w:rPr>
      </w:pPr>
    </w:p>
    <w:p w14:paraId="4D4F93A7">
      <w:pPr>
        <w:spacing w:line="240" w:lineRule="auto"/>
        <w:ind w:firstLine="0" w:firstLineChars="0"/>
        <w:rPr>
          <w:rFonts w:hint="eastAsia" w:ascii="宋体" w:hAnsi="宋体"/>
        </w:rPr>
      </w:pPr>
      <w:r>
        <w:rPr>
          <w:rFonts w:hint="eastAsia" w:ascii="宋体" w:hAnsi="宋体"/>
        </w:rPr>
        <w:t>（2）降低文保信息化门槛</w:t>
      </w:r>
    </w:p>
    <w:p w14:paraId="3785D381">
      <w:pPr>
        <w:spacing w:line="240" w:lineRule="auto"/>
        <w:ind w:firstLine="480"/>
        <w:rPr>
          <w:rFonts w:hint="eastAsia" w:ascii="宋体" w:hAnsi="宋体"/>
        </w:rPr>
      </w:pPr>
      <w:r>
        <w:rPr>
          <w:rFonts w:hint="eastAsia" w:ascii="宋体" w:hAnsi="宋体"/>
        </w:rPr>
        <w:t>本方案仅需公开气象数据 + 普通 CPU，即可为缺乏窟内监测设备的中小型石窟提供风险预警能力。我国石窟寺分布广、监测条件差异大，本方案不依赖专用硬件，可直接部署在景区边缘设备或研究机构的普通工作站上。</w:t>
      </w:r>
    </w:p>
    <w:p w14:paraId="0AB4E380">
      <w:pPr>
        <w:spacing w:line="240" w:lineRule="auto"/>
        <w:ind w:firstLine="0" w:firstLineChars="0"/>
        <w:rPr>
          <w:rFonts w:hint="eastAsia" w:ascii="宋体" w:hAnsi="宋体"/>
        </w:rPr>
      </w:pPr>
      <w:r>
        <w:rPr>
          <w:rFonts w:hint="eastAsia" w:ascii="宋体" w:hAnsi="宋体"/>
        </w:rPr>
        <w:t>（3）可推广至其他文化遗产场景</w:t>
      </w:r>
    </w:p>
    <w:p w14:paraId="0387CC73">
      <w:pPr>
        <w:spacing w:line="240" w:lineRule="auto"/>
        <w:ind w:firstLine="480"/>
        <w:rPr>
          <w:rFonts w:hint="eastAsia" w:ascii="宋体" w:hAnsi="宋体"/>
        </w:rPr>
      </w:pPr>
      <w:r>
        <w:rPr>
          <w:rFonts w:hint="eastAsia" w:ascii="宋体" w:hAnsi="宋体"/>
        </w:rPr>
        <w:t>系统的核心是一个“外场驱动 → 窟内代理 → 风险对齐”的通用范式，不依赖莫高窟的特有参数。换气量以体积流量 Q（m³/h）而非换气次数 ACH 表达——后者强依赖洞窟体积，Q 才是可迁移量。已通过跨窟留一验证（第 71 窟标定到第 87 窟检验，5/6 通过）证明其传递结构的可迁移性。可推广至云冈、龙门、大足等石窟寺，以及博物馆展陈微环境、岩画与土遗址保护。</w:t>
      </w:r>
    </w:p>
    <w:p w14:paraId="239CD7EA">
      <w:pPr>
        <w:spacing w:line="240" w:lineRule="auto"/>
        <w:ind w:firstLine="0" w:firstLineChars="0"/>
        <w:rPr>
          <w:rFonts w:hint="eastAsia" w:ascii="宋体" w:hAnsi="宋体"/>
        </w:rPr>
      </w:pPr>
      <w:r>
        <w:rPr>
          <w:rFonts w:hint="eastAsia" w:ascii="宋体" w:hAnsi="宋体"/>
        </w:rPr>
        <w:t>（4）科学研究价值</w:t>
      </w:r>
    </w:p>
    <w:p w14:paraId="3866E6CA">
      <w:pPr>
        <w:spacing w:line="240" w:lineRule="auto"/>
        <w:ind w:firstLine="480"/>
        <w:rPr>
          <w:rFonts w:hint="eastAsia" w:ascii="宋体" w:hAnsi="宋体"/>
        </w:rPr>
      </w:pPr>
      <w:r>
        <w:rPr>
          <w:rFonts w:hint="eastAsia" w:ascii="宋体" w:hAnsi="宋体"/>
        </w:rPr>
        <w:t>将 twCRPS 从评价指标转化为训练目标，验证了“风险对齐训练”在阈值+持续时间型损伤判据下的有效性；在窟内实测标签不可得的条件下，构建了“公开外场数据 + 文献参数化物理代理 + 两条独立外部效度链路”的研究范式，为同类“目标不可观测”场景提供了可借鉴的解决方案。</w:t>
      </w:r>
    </w:p>
    <w:p w14:paraId="37E40D5E">
      <w:pPr>
        <w:pStyle w:val="2"/>
        <w:ind w:firstLine="643"/>
      </w:pPr>
      <w:bookmarkStart w:id="21" w:name="_Toc241960384"/>
      <w:r>
        <w:rPr>
          <w:rFonts w:hint="eastAsia"/>
        </w:rPr>
        <w:t>六、总结与展望</w:t>
      </w:r>
      <w:bookmarkEnd w:id="21"/>
    </w:p>
    <w:p w14:paraId="42E1A551">
      <w:pPr>
        <w:pStyle w:val="3"/>
        <w:ind w:firstLine="562"/>
      </w:pPr>
      <w:bookmarkStart w:id="22" w:name="_Toc241960385"/>
      <w:r>
        <w:rPr>
          <w:rFonts w:hint="eastAsia"/>
        </w:rPr>
        <w:t>1.经验总结</w:t>
      </w:r>
      <w:bookmarkEnd w:id="22"/>
    </w:p>
    <w:p w14:paraId="01B2244B">
      <w:pPr>
        <w:spacing w:line="240" w:lineRule="auto"/>
        <w:ind w:firstLine="240" w:firstLineChars="100"/>
        <w:rPr>
          <w:rFonts w:hint="eastAsia" w:ascii="宋体" w:hAnsi="宋体"/>
        </w:rPr>
      </w:pPr>
      <w:r>
        <w:rPr>
          <w:rFonts w:hint="eastAsia" w:ascii="宋体" w:hAnsi="宋体"/>
        </w:rPr>
        <w:t>1.完成问题重构。</w:t>
      </w:r>
    </w:p>
    <w:p w14:paraId="2A270792">
      <w:pPr>
        <w:spacing w:line="240" w:lineRule="auto"/>
        <w:ind w:left="480" w:leftChars="200" w:firstLine="0" w:firstLineChars="0"/>
        <w:rPr>
          <w:rFonts w:hint="eastAsia" w:ascii="宋体" w:hAnsi="宋体"/>
        </w:rPr>
      </w:pPr>
      <w:r>
        <w:rPr>
          <w:rFonts w:hint="eastAsia" w:ascii="宋体" w:hAnsi="宋体"/>
        </w:rPr>
        <w:t>针对石窟窟内长期实测数据难以获取、传统监测以实时告警为主的问题，将“窟内湿度超阈风险”转化为可预测的人工智能问题，重点解决窟内目标不可直接获取、室外气象与窟内响应存在时滞以及预测目标与风险阈值不一致等问题。</w:t>
      </w:r>
    </w:p>
    <w:p w14:paraId="365A39F8">
      <w:pPr>
        <w:spacing w:line="240" w:lineRule="auto"/>
        <w:ind w:firstLine="240" w:firstLineChars="100"/>
        <w:rPr>
          <w:rFonts w:hint="eastAsia" w:ascii="宋体" w:hAnsi="宋体"/>
        </w:rPr>
      </w:pPr>
      <w:r>
        <w:rPr>
          <w:rFonts w:hint="eastAsia" w:ascii="宋体" w:hAnsi="宋体"/>
        </w:rPr>
        <w:t>2.形成风险导向的技术路线。</w:t>
      </w:r>
    </w:p>
    <w:p w14:paraId="3E6EA5FA">
      <w:pPr>
        <w:spacing w:line="240" w:lineRule="auto"/>
        <w:ind w:left="480" w:leftChars="200" w:firstLine="0" w:firstLineChars="0"/>
        <w:rPr>
          <w:rFonts w:hint="eastAsia" w:ascii="宋体" w:hAnsi="宋体"/>
        </w:rPr>
      </w:pPr>
      <w:r>
        <w:rPr>
          <w:rFonts w:hint="eastAsia" w:ascii="宋体" w:hAnsi="宋体"/>
        </w:rPr>
        <w:t>构建“室外气象驱动—窟内微环境代理—风险对齐”的整体方法，将延迟嵌入、可微输运算子、多尺度物理特征与阈值风险训练相结合，使模型不仅关注平均预测误差，也重点关注高湿风险事件的识别与提前预警。</w:t>
      </w:r>
    </w:p>
    <w:p w14:paraId="35E23B37">
      <w:pPr>
        <w:spacing w:line="240" w:lineRule="auto"/>
        <w:ind w:firstLine="240" w:firstLineChars="100"/>
        <w:rPr>
          <w:rFonts w:hint="eastAsia" w:ascii="宋体" w:hAnsi="宋体"/>
        </w:rPr>
      </w:pPr>
      <w:r>
        <w:rPr>
          <w:rFonts w:hint="eastAsia" w:ascii="宋体" w:hAnsi="宋体"/>
        </w:rPr>
        <w:t>3.建立多层次验证机制。</w:t>
      </w:r>
    </w:p>
    <w:p w14:paraId="43068D30">
      <w:pPr>
        <w:spacing w:line="240" w:lineRule="auto"/>
        <w:ind w:left="480" w:leftChars="200" w:firstLine="0" w:firstLineChars="0"/>
        <w:rPr>
          <w:rFonts w:hint="eastAsia" w:ascii="宋体" w:hAnsi="宋体"/>
        </w:rPr>
      </w:pPr>
      <w:r>
        <w:rPr>
          <w:rFonts w:hint="eastAsia" w:ascii="宋体" w:hAnsi="宋体"/>
        </w:rPr>
        <w:t>通过基准实验、消融实验、跨窟留一验证、同窟同步验证以及真实洞穴数据验证，对模型的预测能力、泛化能力和方法有效性进行多角度检验。同时保留实验中被否定的方案和模型局限，避免仅展示有效结果。</w:t>
      </w:r>
    </w:p>
    <w:p w14:paraId="6D634CF7">
      <w:pPr>
        <w:spacing w:line="240" w:lineRule="auto"/>
        <w:ind w:firstLine="240" w:firstLineChars="100"/>
        <w:rPr>
          <w:rFonts w:hint="eastAsia" w:ascii="宋体" w:hAnsi="宋体"/>
        </w:rPr>
      </w:pPr>
      <w:r>
        <w:rPr>
          <w:rFonts w:hint="eastAsia" w:ascii="宋体" w:hAnsi="宋体"/>
        </w:rPr>
        <w:t>4.实现可运行的应用原型。</w:t>
      </w:r>
    </w:p>
    <w:p w14:paraId="158C9A77">
      <w:pPr>
        <w:spacing w:line="240" w:lineRule="auto"/>
        <w:ind w:left="480" w:leftChars="200" w:firstLine="0" w:firstLineChars="0"/>
        <w:rPr>
          <w:rFonts w:hint="eastAsia" w:ascii="宋体" w:hAnsi="宋体"/>
        </w:rPr>
      </w:pPr>
      <w:r>
        <w:rPr>
          <w:rFonts w:hint="eastAsia" w:ascii="宋体" w:hAnsi="宋体"/>
        </w:rPr>
        <w:t>完成24–72小时窟内湿度风险预测、风险分级、预警信息展示和历史回放等功能，形成从数据处理、模型计算到结果展示的完整应用链路。系统采用CPU即可运行，为后续实际部署提供基础。</w:t>
      </w:r>
    </w:p>
    <w:p w14:paraId="4E0E8F16">
      <w:pPr>
        <w:spacing w:line="240" w:lineRule="auto"/>
        <w:ind w:firstLine="240" w:firstLineChars="100"/>
        <w:rPr>
          <w:rFonts w:hint="eastAsia" w:ascii="宋体" w:hAnsi="宋体"/>
        </w:rPr>
      </w:pPr>
      <w:r>
        <w:rPr>
          <w:rFonts w:hint="eastAsia" w:ascii="宋体" w:hAnsi="宋体"/>
        </w:rPr>
        <w:t>5.明确模型应用边界。</w:t>
      </w:r>
    </w:p>
    <w:p w14:paraId="5B1F2918">
      <w:pPr>
        <w:spacing w:line="240" w:lineRule="auto"/>
        <w:ind w:left="480" w:leftChars="200" w:firstLine="0" w:firstLineChars="0"/>
        <w:rPr>
          <w:rFonts w:hint="eastAsia" w:ascii="宋体" w:hAnsi="宋体"/>
        </w:rPr>
      </w:pPr>
      <w:r>
        <w:rPr>
          <w:rFonts w:hint="eastAsia" w:ascii="宋体" w:hAnsi="宋体"/>
        </w:rPr>
        <w:t>当前主体窟内序列仍主要来自文献参数化物理模型生成的合成标签，真实洞窟数据主要用于外部验证。因此，本项目验证的是“室外气象驱动窟内风险预测”这一方法链条的可行性，不能将合成数据结果等同于真实部署效果。</w:t>
      </w:r>
    </w:p>
    <w:p w14:paraId="658FE9EB">
      <w:pPr>
        <w:pStyle w:val="3"/>
        <w:ind w:firstLine="562"/>
      </w:pPr>
      <w:bookmarkStart w:id="23" w:name="_Toc241960386"/>
      <w:r>
        <w:rPr>
          <w:rFonts w:hint="eastAsia"/>
        </w:rPr>
        <w:t>2.未来规划</w:t>
      </w:r>
      <w:bookmarkEnd w:id="23"/>
    </w:p>
    <w:p w14:paraId="76D95C38">
      <w:pPr>
        <w:spacing w:line="240" w:lineRule="auto"/>
        <w:ind w:firstLine="240" w:firstLineChars="100"/>
        <w:rPr>
          <w:rFonts w:hint="eastAsia" w:ascii="宋体" w:hAnsi="宋体"/>
        </w:rPr>
      </w:pPr>
      <w:r>
        <w:rPr>
          <w:rFonts w:hint="eastAsia" w:ascii="宋体" w:hAnsi="宋体"/>
        </w:rPr>
        <w:t>1.加强真实数据接入。</w:t>
      </w:r>
    </w:p>
    <w:p w14:paraId="0BB3C54F">
      <w:pPr>
        <w:spacing w:line="240" w:lineRule="auto"/>
        <w:ind w:left="480" w:leftChars="200" w:firstLine="0" w:firstLineChars="0"/>
        <w:rPr>
          <w:rFonts w:hint="eastAsia" w:ascii="宋体" w:hAnsi="宋体"/>
        </w:rPr>
      </w:pPr>
      <w:r>
        <w:rPr>
          <w:rFonts w:hint="eastAsia" w:ascii="宋体" w:hAnsi="宋体"/>
        </w:rPr>
        <w:t>后续结合石窟监测平台获取连续窟内温湿度数据，用于物理代理模型校准、模型训练和独立测试，逐步减少对合成标签的依赖。</w:t>
      </w:r>
    </w:p>
    <w:p w14:paraId="0AA53002">
      <w:pPr>
        <w:spacing w:line="240" w:lineRule="auto"/>
        <w:ind w:firstLine="240" w:firstLineChars="100"/>
        <w:rPr>
          <w:rFonts w:hint="eastAsia" w:ascii="宋体" w:hAnsi="宋体"/>
        </w:rPr>
      </w:pPr>
      <w:r>
        <w:rPr>
          <w:rFonts w:hint="eastAsia" w:ascii="宋体" w:hAnsi="宋体"/>
        </w:rPr>
        <w:t>2.完善窟内物理代理模型。</w:t>
      </w:r>
    </w:p>
    <w:p w14:paraId="7E2F7B10">
      <w:pPr>
        <w:spacing w:line="240" w:lineRule="auto"/>
        <w:ind w:left="480" w:leftChars="200" w:firstLine="0" w:firstLineChars="0"/>
        <w:rPr>
          <w:rFonts w:hint="eastAsia" w:ascii="宋体" w:hAnsi="宋体"/>
        </w:rPr>
      </w:pPr>
      <w:r>
        <w:rPr>
          <w:rFonts w:hint="eastAsia" w:ascii="宋体" w:hAnsi="宋体"/>
        </w:rPr>
        <w:t>在现有模型基础上进一步考虑围岩热惰性、夜间长波辐射降温、洞窟通风状态以及游客活动等因素，提高对极端温湿度变化和季节性响应的刻画能力。</w:t>
      </w:r>
    </w:p>
    <w:p w14:paraId="7E9119CF">
      <w:pPr>
        <w:spacing w:line="240" w:lineRule="auto"/>
        <w:ind w:firstLine="240" w:firstLineChars="100"/>
        <w:rPr>
          <w:rFonts w:hint="eastAsia" w:ascii="宋体" w:hAnsi="宋体"/>
        </w:rPr>
      </w:pPr>
      <w:r>
        <w:rPr>
          <w:rFonts w:hint="eastAsia" w:ascii="宋体" w:hAnsi="宋体"/>
        </w:rPr>
        <w:t>3.提升风险预警能力。</w:t>
      </w:r>
    </w:p>
    <w:p w14:paraId="1F9803ED">
      <w:pPr>
        <w:spacing w:line="240" w:lineRule="auto"/>
        <w:ind w:left="480" w:leftChars="200" w:firstLine="0" w:firstLineChars="0"/>
        <w:rPr>
          <w:rFonts w:hint="eastAsia" w:ascii="宋体" w:hAnsi="宋体"/>
        </w:rPr>
      </w:pPr>
      <w:r>
        <w:rPr>
          <w:rFonts w:hint="eastAsia" w:ascii="宋体" w:hAnsi="宋体"/>
        </w:rPr>
        <w:t>围绕24–72小时预测窗口继续优化高湿风险识别、提前量和极端湿度捕捉能力，使模型更加贴近实际保护场景中的预防性干预需求。</w:t>
      </w:r>
    </w:p>
    <w:p w14:paraId="25DB59F7">
      <w:pPr>
        <w:spacing w:line="240" w:lineRule="auto"/>
        <w:ind w:firstLine="240" w:firstLineChars="100"/>
        <w:rPr>
          <w:rFonts w:hint="eastAsia" w:ascii="宋体" w:hAnsi="宋体"/>
        </w:rPr>
      </w:pPr>
      <w:r>
        <w:rPr>
          <w:rFonts w:hint="eastAsia" w:ascii="宋体" w:hAnsi="宋体"/>
        </w:rPr>
        <w:t>4.推动与现有监测平台衔接。</w:t>
      </w:r>
    </w:p>
    <w:p w14:paraId="6B171B6A">
      <w:pPr>
        <w:spacing w:line="240" w:lineRule="auto"/>
        <w:ind w:left="480" w:leftChars="200" w:firstLine="0" w:firstLineChars="0"/>
        <w:rPr>
          <w:rFonts w:hint="eastAsia" w:ascii="宋体" w:hAnsi="宋体"/>
        </w:rPr>
      </w:pPr>
      <w:r>
        <w:rPr>
          <w:rFonts w:hint="eastAsia" w:ascii="宋体" w:hAnsi="宋体"/>
        </w:rPr>
        <w:t>在真实数据验证基础上，将预测模型与现有石窟监测和预警系统结合，逐步形成“实时监测—风险预测—分级预警—辅助决策”的业务闭环。</w:t>
      </w:r>
    </w:p>
    <w:p w14:paraId="7083A4AC">
      <w:pPr>
        <w:spacing w:line="240" w:lineRule="auto"/>
        <w:ind w:firstLine="240" w:firstLineChars="100"/>
        <w:rPr>
          <w:rFonts w:hint="eastAsia" w:ascii="宋体" w:hAnsi="宋体"/>
        </w:rPr>
      </w:pPr>
      <w:r>
        <w:rPr>
          <w:rFonts w:hint="eastAsia" w:ascii="宋体" w:hAnsi="宋体"/>
        </w:rPr>
        <w:t>5.拓展应用场景。</w:t>
      </w:r>
    </w:p>
    <w:p w14:paraId="20CF9A9F">
      <w:pPr>
        <w:spacing w:line="240" w:lineRule="auto"/>
        <w:ind w:left="480" w:leftChars="200" w:firstLine="0" w:firstLineChars="0"/>
        <w:rPr>
          <w:rFonts w:hint="eastAsia" w:ascii="宋体" w:hAnsi="宋体"/>
        </w:rPr>
      </w:pPr>
      <w:r>
        <w:rPr>
          <w:rFonts w:hint="eastAsia" w:ascii="宋体" w:hAnsi="宋体"/>
        </w:rPr>
        <w:t>在完成莫高窟场景验证后，进一步探索模型向其他石窟寺、博物馆展陈环境、岩画及土遗址等封闭或半封闭文化遗产环境迁移的可行性。</w:t>
      </w:r>
    </w:p>
    <w:p w14:paraId="5D0DBFE0">
      <w:pPr>
        <w:pStyle w:val="2"/>
        <w:ind w:firstLine="643"/>
      </w:pPr>
      <w:bookmarkStart w:id="24" w:name="_Toc241960387"/>
      <w:r>
        <w:t>七、附录</w:t>
      </w:r>
      <w:bookmarkEnd w:id="24"/>
    </w:p>
    <w:p w14:paraId="29789FDF">
      <w:pPr>
        <w:pStyle w:val="3"/>
        <w:ind w:firstLine="562"/>
      </w:pPr>
      <w:bookmarkStart w:id="25" w:name="_Toc241960388"/>
      <w:r>
        <w:rPr>
          <w:rFonts w:hint="eastAsia"/>
        </w:rPr>
        <w:t>1.数据资料</w:t>
      </w:r>
      <w:bookmarkEnd w:id="25"/>
    </w:p>
    <w:p w14:paraId="4A116101">
      <w:pPr>
        <w:spacing w:line="240" w:lineRule="auto"/>
        <w:ind w:firstLine="0" w:firstLineChars="0"/>
        <w:rPr>
          <w:rFonts w:hint="eastAsia" w:ascii="宋体" w:hAnsi="宋体"/>
          <w:b/>
          <w:bCs/>
          <w:sz w:val="28"/>
          <w:szCs w:val="28"/>
        </w:rPr>
      </w:pPr>
      <w:r>
        <w:rPr>
          <w:rFonts w:hint="eastAsia" w:ascii="宋体" w:hAnsi="宋体"/>
          <w:b/>
          <w:bCs/>
        </w:rPr>
        <w:t>（1）原始数据</w:t>
      </w:r>
    </w:p>
    <w:p w14:paraId="17C33916">
      <w:pPr>
        <w:spacing w:line="240" w:lineRule="auto"/>
        <w:ind w:left="720" w:leftChars="200" w:hanging="240" w:hangingChars="100"/>
        <w:rPr>
          <w:rFonts w:hint="eastAsia" w:ascii="宋体" w:hAnsi="宋体"/>
        </w:rPr>
      </w:pPr>
      <w:r>
        <w:rPr>
          <w:rFonts w:hint="eastAsia" w:ascii="宋体" w:hAnsi="宋体"/>
        </w:rPr>
        <w:t>1. NASA POWER 逐小时气象再分析数据：空间坐标为莫高窟本体 40.04°N / 94.81°E，时间范围 2001-01-01 至 2025-12-31，共 219,144 行 × 10 列，缺测 0。来源为 NASA POWER API v2.10.2，公开数据。</w:t>
      </w:r>
    </w:p>
    <w:p w14:paraId="3771ACAD">
      <w:pPr>
        <w:spacing w:line="240" w:lineRule="auto"/>
        <w:ind w:left="720" w:leftChars="200" w:hanging="240" w:hangingChars="100"/>
        <w:rPr>
          <w:rFonts w:hint="eastAsia" w:ascii="宋体" w:hAnsi="宋体"/>
        </w:rPr>
      </w:pPr>
      <w:r>
        <w:rPr>
          <w:rFonts w:hint="eastAsia" w:ascii="宋体" w:hAnsi="宋体"/>
        </w:rPr>
        <w:t>2. NOAA ISD 敦煌站 52418099999 逐小时地面观测数据：时间范围 2015–2023，该站 2023-04-28 后停报。来源为 ncei.noaa.gov 全球逐时库，公开数据。</w:t>
      </w:r>
    </w:p>
    <w:p w14:paraId="1EFA3EB8">
      <w:pPr>
        <w:spacing w:line="240" w:lineRule="auto"/>
        <w:ind w:left="720" w:leftChars="200" w:hanging="240" w:hangingChars="100"/>
        <w:rPr>
          <w:rFonts w:hint="eastAsia" w:ascii="宋体" w:hAnsi="宋体"/>
        </w:rPr>
      </w:pPr>
      <w:r>
        <w:rPr>
          <w:rFonts w:hint="eastAsia" w:ascii="宋体" w:hAnsi="宋体"/>
        </w:rPr>
        <w:t>3. ICCP 洞穴观测数据：12 个岩溶洞穴、42 台记录仪，2019-09-19 至 2021-07-04 逐小时气温与相对湿度。来源为 Zenodo 10.5281/zenodo.17505739，许可 CC-BY-4.0。</w:t>
      </w:r>
    </w:p>
    <w:p w14:paraId="0144D278">
      <w:pPr>
        <w:spacing w:line="240" w:lineRule="auto"/>
        <w:ind w:left="720" w:leftChars="200" w:hanging="240" w:hangingChars="100"/>
        <w:rPr>
          <w:rFonts w:hint="eastAsia" w:ascii="宋体" w:hAnsi="宋体"/>
        </w:rPr>
      </w:pPr>
      <w:r>
        <w:rPr>
          <w:rFonts w:hint="eastAsia" w:ascii="宋体" w:hAnsi="宋体"/>
        </w:rPr>
        <w:t>4. 文献实测数据：Gong et al. 2025 第 71 窟实测统计量、Zhang &amp; Wang 2023 第 87 窟实测统计量，用于物理模型标定与同窟同期对照。</w:t>
      </w:r>
    </w:p>
    <w:p w14:paraId="7D6D6E4A">
      <w:pPr>
        <w:spacing w:line="240" w:lineRule="auto"/>
        <w:ind w:firstLine="0" w:firstLineChars="0"/>
        <w:rPr>
          <w:rFonts w:hint="eastAsia" w:ascii="宋体" w:hAnsi="宋体"/>
          <w:b/>
          <w:bCs/>
        </w:rPr>
      </w:pPr>
      <w:r>
        <w:rPr>
          <w:rFonts w:hint="eastAsia" w:ascii="宋体" w:hAnsi="宋体"/>
          <w:b/>
          <w:bCs/>
        </w:rPr>
        <w:t>（2）处理后的数据</w:t>
      </w:r>
    </w:p>
    <w:p w14:paraId="5C30E430">
      <w:pPr>
        <w:spacing w:line="240" w:lineRule="auto"/>
        <w:ind w:left="720" w:leftChars="200" w:hanging="240" w:hangingChars="100"/>
        <w:rPr>
          <w:rFonts w:hint="eastAsia" w:ascii="宋体" w:hAnsi="宋体"/>
        </w:rPr>
      </w:pPr>
      <w:r>
        <w:rPr>
          <w:rFonts w:hint="eastAsia" w:ascii="宋体" w:hAnsi="宋体"/>
        </w:rPr>
        <w:t>1. `code/data/interim/power_hourly_mogao_2001_2025.csv`：合并后的外场驱动序列，219,144 行 × 10 列，已统一为 UTC 时间标准，气压取 PSC。</w:t>
      </w:r>
    </w:p>
    <w:p w14:paraId="5AAEEC63">
      <w:pPr>
        <w:spacing w:line="240" w:lineRule="auto"/>
        <w:ind w:firstLine="480"/>
        <w:rPr>
          <w:rFonts w:hint="eastAsia" w:ascii="宋体" w:hAnsi="宋体"/>
        </w:rPr>
      </w:pPr>
      <w:r>
        <w:rPr>
          <w:rFonts w:hint="eastAsia" w:ascii="宋体" w:hAnsi="宋体"/>
        </w:rPr>
        <w:t>2. `code/data/raw/power/`：逐年缓存 25 个原始 CSV 文件。</w:t>
      </w:r>
    </w:p>
    <w:p w14:paraId="03AF81D6">
      <w:pPr>
        <w:spacing w:line="240" w:lineRule="auto"/>
        <w:ind w:left="720" w:leftChars="200" w:hanging="240" w:hangingChars="100"/>
        <w:rPr>
          <w:rFonts w:hint="eastAsia" w:ascii="宋体" w:hAnsi="宋体"/>
        </w:rPr>
      </w:pPr>
      <w:r>
        <w:rPr>
          <w:rFonts w:hint="eastAsia" w:ascii="宋体" w:hAnsi="宋体"/>
        </w:rPr>
        <w:t>3. `code/results/`：全部实验的落盘结果，包含 25+ 个 CSV/JSON 文件，可逐项回溯。</w:t>
      </w:r>
    </w:p>
    <w:p w14:paraId="56B6E378">
      <w:pPr>
        <w:spacing w:line="240" w:lineRule="auto"/>
        <w:ind w:firstLine="0" w:firstLineChars="0"/>
        <w:rPr>
          <w:rFonts w:hint="eastAsia" w:ascii="宋体" w:hAnsi="宋体"/>
          <w:b/>
          <w:bCs/>
        </w:rPr>
      </w:pPr>
      <w:r>
        <w:rPr>
          <w:rFonts w:hint="eastAsia" w:ascii="宋体" w:hAnsi="宋体"/>
          <w:b/>
          <w:bCs/>
        </w:rPr>
        <w:t>（3）数据来源说明</w:t>
      </w:r>
    </w:p>
    <w:p w14:paraId="04656A3D">
      <w:pPr>
        <w:spacing w:line="240" w:lineRule="auto"/>
        <w:ind w:firstLine="480"/>
        <w:rPr>
          <w:rFonts w:hint="eastAsia" w:ascii="宋体" w:hAnsi="宋体"/>
        </w:rPr>
      </w:pPr>
      <w:r>
        <w:rPr>
          <w:rFonts w:hint="eastAsia" w:ascii="宋体" w:hAnsi="宋体"/>
        </w:rPr>
        <w:t>1. 完整数据来源与处理说明见 `docs/02_数据集方案.md`。</w:t>
      </w:r>
    </w:p>
    <w:p w14:paraId="41A94B1A">
      <w:pPr>
        <w:spacing w:line="240" w:lineRule="auto"/>
        <w:ind w:firstLine="480"/>
        <w:rPr>
          <w:rFonts w:hint="eastAsia" w:ascii="宋体" w:hAnsi="宋体"/>
        </w:rPr>
      </w:pPr>
      <w:r>
        <w:rPr>
          <w:rFonts w:hint="eastAsia" w:ascii="宋体" w:hAnsi="宋体"/>
        </w:rPr>
        <w:t>2. 物理参数与文献 DOI 的逐条对照见 `docs/06_佐证材料.md` 第三节。</w:t>
      </w:r>
    </w:p>
    <w:p w14:paraId="16B2ECFB">
      <w:pPr>
        <w:spacing w:line="240" w:lineRule="auto"/>
        <w:ind w:left="720" w:leftChars="200" w:hanging="240" w:hangingChars="100"/>
        <w:rPr>
          <w:rFonts w:hint="eastAsia" w:ascii="宋体" w:hAnsi="宋体"/>
        </w:rPr>
      </w:pPr>
      <w:r>
        <w:rPr>
          <w:rFonts w:hint="eastAsia" w:ascii="宋体" w:hAnsi="宋体"/>
        </w:rPr>
        <w:t>3. 窟内温湿度不存在公开实测数据集，本作品的窟内标签由文献参数化物理模型生成（physics-derived synthetic），不是实测值。完整声明见附录4。</w:t>
      </w:r>
    </w:p>
    <w:p w14:paraId="693A0610">
      <w:pPr>
        <w:spacing w:line="240" w:lineRule="auto"/>
        <w:ind w:firstLine="0" w:firstLineChars="0"/>
        <w:rPr>
          <w:rFonts w:ascii="宋体" w:hAnsi="宋体"/>
        </w:rPr>
      </w:pPr>
    </w:p>
    <w:p w14:paraId="72078C72">
      <w:pPr>
        <w:pStyle w:val="3"/>
        <w:ind w:firstLine="562"/>
        <w:rPr>
          <w:rFonts w:hint="eastAsia"/>
        </w:rPr>
      </w:pPr>
      <w:bookmarkStart w:id="26" w:name="_Toc241960389"/>
      <w:r>
        <w:t>2.代码与模型</w:t>
      </w:r>
      <w:bookmarkEnd w:id="26"/>
    </w:p>
    <w:p w14:paraId="7742F121">
      <w:pPr>
        <w:spacing w:line="240" w:lineRule="auto"/>
        <w:ind w:firstLine="0" w:firstLineChars="0"/>
        <w:rPr>
          <w:rFonts w:hint="eastAsia" w:ascii="宋体" w:hAnsi="宋体"/>
        </w:rPr>
      </w:pPr>
      <w:r>
        <w:rPr>
          <w:rFonts w:hint="eastAsia" w:ascii="宋体" w:hAnsi="宋体"/>
        </w:rPr>
        <w:t>（1）公开仓库</w:t>
      </w:r>
    </w:p>
    <w:p w14:paraId="78633395">
      <w:pPr>
        <w:spacing w:line="240" w:lineRule="auto"/>
        <w:ind w:left="720" w:leftChars="200" w:hanging="240" w:hangingChars="100"/>
        <w:rPr>
          <w:rFonts w:hint="eastAsia" w:ascii="宋体" w:hAnsi="宋体"/>
        </w:rPr>
      </w:pPr>
      <w:r>
        <w:rPr>
          <w:rFonts w:hint="eastAsia" w:ascii="宋体" w:hAnsi="宋体"/>
        </w:rPr>
        <w:t>1. 仓库地址：https://github.com/Fulitau/cave-microclimate-forecast（Public，浏览器直接可访问）。</w:t>
      </w:r>
    </w:p>
    <w:p w14:paraId="0458C48F">
      <w:pPr>
        <w:spacing w:line="240" w:lineRule="auto"/>
        <w:ind w:firstLine="0" w:firstLineChars="0"/>
        <w:rPr>
          <w:rFonts w:hint="eastAsia" w:ascii="宋体" w:hAnsi="宋体"/>
        </w:rPr>
      </w:pPr>
      <w:r>
        <w:rPr>
          <w:rFonts w:hint="eastAsia" w:ascii="宋体" w:hAnsi="宋体"/>
        </w:rPr>
        <w:t>（2）核心模块</w:t>
      </w:r>
    </w:p>
    <w:p w14:paraId="3611254C">
      <w:pPr>
        <w:spacing w:line="240" w:lineRule="auto"/>
        <w:ind w:left="720" w:leftChars="200" w:hanging="240" w:hangingChars="100"/>
        <w:rPr>
          <w:rFonts w:hint="eastAsia" w:ascii="宋体" w:hAnsi="宋体"/>
        </w:rPr>
      </w:pPr>
      <w:r>
        <w:rPr>
          <w:rFonts w:hint="eastAsia" w:ascii="宋体" w:hAnsi="宋体"/>
        </w:rPr>
        <w:t>1. code/src/physics/cave_model.py`：窟内热湿耦合物理代理（岩体导热 + 通风平流，`scipy.linalg.expm` 矩阵指数精确离散化）；全部参数标注文献 DOI。</w:t>
      </w:r>
    </w:p>
    <w:p w14:paraId="4AD09BF1">
      <w:pPr>
        <w:spacing w:line="240" w:lineRule="auto"/>
        <w:ind w:left="720" w:leftChars="200" w:hanging="240" w:hangingChars="100"/>
        <w:rPr>
          <w:rFonts w:hint="eastAsia" w:ascii="宋体" w:hAnsi="宋体"/>
        </w:rPr>
      </w:pPr>
      <w:r>
        <w:rPr>
          <w:rFonts w:hint="eastAsia" w:ascii="宋体" w:hAnsi="宋体"/>
        </w:rPr>
        <w:t>2. code/src/operator/transport.py`：延迟嵌入 Koopman/EDMD 输运算子，258 维因果特征 + 岭回归闭式解 + 分位数 IRLS 读出。</w:t>
      </w:r>
    </w:p>
    <w:p w14:paraId="3FFB4365">
      <w:pPr>
        <w:spacing w:line="240" w:lineRule="auto"/>
        <w:ind w:left="720" w:leftChars="200" w:hanging="240" w:hangingChars="100"/>
        <w:rPr>
          <w:rFonts w:hint="eastAsia" w:ascii="宋体" w:hAnsi="宋体"/>
        </w:rPr>
      </w:pPr>
      <w:r>
        <w:rPr>
          <w:rFonts w:hint="eastAsia" w:ascii="宋体" w:hAnsi="宋体"/>
        </w:rPr>
        <w:t>3. code/src/losses/twcrps.py`：阈值加权评分规则 twCRPS 与三级阈值决策。</w:t>
      </w:r>
    </w:p>
    <w:p w14:paraId="2555412D">
      <w:pPr>
        <w:spacing w:line="240" w:lineRule="auto"/>
        <w:ind w:firstLine="480"/>
        <w:rPr>
          <w:rFonts w:hint="eastAsia" w:ascii="宋体" w:hAnsi="宋体"/>
        </w:rPr>
      </w:pPr>
      <w:r>
        <w:rPr>
          <w:rFonts w:hint="eastAsia" w:ascii="宋体" w:hAnsi="宋体"/>
        </w:rPr>
        <w:t>4. code/src/data/power.py`：POWER 数据获取与清洗。</w:t>
      </w:r>
    </w:p>
    <w:p w14:paraId="52B219C3">
      <w:pPr>
        <w:spacing w:line="240" w:lineRule="auto"/>
        <w:ind w:left="720" w:leftChars="200" w:hanging="240" w:hangingChars="100"/>
        <w:rPr>
          <w:rFonts w:hint="eastAsia" w:ascii="宋体" w:hAnsi="宋体"/>
        </w:rPr>
      </w:pPr>
      <w:r>
        <w:rPr>
          <w:rFonts w:hint="eastAsia" w:ascii="宋体" w:hAnsi="宋体"/>
        </w:rPr>
        <w:t>5. code/src/web/app.py`：Flask 本地看板（ECharts 本地内联，支持断网）。</w:t>
      </w:r>
    </w:p>
    <w:p w14:paraId="15933372">
      <w:pPr>
        <w:spacing w:line="240" w:lineRule="auto"/>
        <w:ind w:firstLine="480"/>
        <w:rPr>
          <w:rFonts w:hint="eastAsia" w:ascii="宋体" w:hAnsi="宋体"/>
        </w:rPr>
      </w:pPr>
      <w:r>
        <w:rPr>
          <w:rFonts w:hint="eastAsia" w:ascii="宋体" w:hAnsi="宋体"/>
        </w:rPr>
        <w:t>6. code/smoke_cave.py`：物理模型断言式自检。</w:t>
      </w:r>
    </w:p>
    <w:p w14:paraId="3B513B6E">
      <w:pPr>
        <w:spacing w:line="240" w:lineRule="auto"/>
        <w:ind w:firstLine="0" w:firstLineChars="0"/>
        <w:rPr>
          <w:rFonts w:ascii="宋体" w:hAnsi="宋体"/>
        </w:rPr>
      </w:pPr>
    </w:p>
    <w:p w14:paraId="1B4421D6">
      <w:pPr>
        <w:spacing w:line="240" w:lineRule="auto"/>
        <w:ind w:firstLine="0" w:firstLineChars="0"/>
        <w:rPr>
          <w:rFonts w:hint="eastAsia" w:ascii="宋体" w:hAnsi="宋体"/>
        </w:rPr>
      </w:pPr>
      <w:r>
        <w:rPr>
          <w:rFonts w:hint="eastAsia" w:ascii="宋体" w:hAnsi="宋体"/>
        </w:rPr>
        <w:t>（3）一键复现</w:t>
      </w:r>
    </w:p>
    <w:p w14:paraId="1FD2CAB0">
      <w:pPr>
        <w:spacing w:line="240" w:lineRule="auto"/>
        <w:ind w:firstLine="480"/>
        <w:rPr>
          <w:rFonts w:hint="eastAsia" w:ascii="宋体" w:hAnsi="宋体"/>
        </w:rPr>
      </w:pPr>
      <w:r>
        <w:rPr>
          <w:rFonts w:hint="eastAsia" w:ascii="宋体" w:hAnsi="宋体"/>
        </w:rPr>
        <w:t>1. pip install -r code/requirements.txt`（需要 Python &gt;= 3.12）。</w:t>
      </w:r>
    </w:p>
    <w:p w14:paraId="74B68166">
      <w:pPr>
        <w:spacing w:line="240" w:lineRule="auto"/>
        <w:ind w:firstLine="480"/>
        <w:rPr>
          <w:rFonts w:hint="eastAsia" w:ascii="宋体" w:hAnsi="宋体"/>
        </w:rPr>
      </w:pPr>
      <w:r>
        <w:rPr>
          <w:rFonts w:hint="eastAsia" w:ascii="宋体" w:hAnsi="宋体"/>
        </w:rPr>
        <w:t>2. python code/smoke_cave.py`：物理模型断言式自检。</w:t>
      </w:r>
    </w:p>
    <w:p w14:paraId="188F207E">
      <w:pPr>
        <w:spacing w:line="240" w:lineRule="auto"/>
        <w:ind w:left="720" w:leftChars="200" w:hanging="240" w:hangingChars="100"/>
        <w:rPr>
          <w:rFonts w:hint="eastAsia" w:ascii="宋体" w:hAnsi="宋体"/>
        </w:rPr>
      </w:pPr>
      <w:r>
        <w:rPr>
          <w:rFonts w:hint="eastAsia" w:ascii="宋体" w:hAnsi="宋体"/>
        </w:rPr>
        <w:t>3. python code/experiments/calib_cave_params.py`：用文献实测传递比标定物理模型。</w:t>
      </w:r>
    </w:p>
    <w:p w14:paraId="45DE2DC2">
      <w:pPr>
        <w:spacing w:line="240" w:lineRule="auto"/>
        <w:ind w:left="720" w:leftChars="200" w:hanging="240" w:hangingChars="100"/>
        <w:rPr>
          <w:rFonts w:hint="eastAsia" w:ascii="宋体" w:hAnsi="宋体"/>
        </w:rPr>
      </w:pPr>
      <w:r>
        <w:rPr>
          <w:rFonts w:hint="eastAsia" w:ascii="宋体" w:hAnsi="宋体"/>
        </w:rPr>
        <w:t>4. python code/experiments/derisk_02_multihorizon.py`：主结果，多时效基线与消融。</w:t>
      </w:r>
    </w:p>
    <w:p w14:paraId="778E36DA">
      <w:pPr>
        <w:spacing w:line="240" w:lineRule="auto"/>
        <w:ind w:left="720" w:leftChars="200" w:hanging="240" w:hangingChars="100"/>
        <w:rPr>
          <w:rFonts w:hint="eastAsia" w:ascii="宋体" w:hAnsi="宋体"/>
        </w:rPr>
      </w:pPr>
      <w:r>
        <w:rPr>
          <w:rFonts w:hint="eastAsia" w:ascii="宋体" w:hAnsi="宋体"/>
        </w:rPr>
        <w:t>5. python code/experiments/exp03_risk_aligned.py`：风险对齐 A/B/C 对照。</w:t>
      </w:r>
    </w:p>
    <w:p w14:paraId="25DB3F0F">
      <w:pPr>
        <w:spacing w:line="240" w:lineRule="auto"/>
        <w:ind w:left="720" w:leftChars="200" w:hanging="240" w:hangingChars="100"/>
        <w:rPr>
          <w:rFonts w:hint="eastAsia" w:ascii="宋体" w:hAnsi="宋体"/>
        </w:rPr>
      </w:pPr>
      <w:r>
        <w:rPr>
          <w:rFonts w:hint="eastAsia" w:ascii="宋体" w:hAnsi="宋体"/>
        </w:rPr>
        <w:t>6. python code/experiments/validate_iccp.py`：真实洞穴外部效度验证。</w:t>
      </w:r>
    </w:p>
    <w:p w14:paraId="670EF1A5">
      <w:pPr>
        <w:spacing w:line="240" w:lineRule="auto"/>
        <w:ind w:firstLine="0" w:firstLineChars="0"/>
        <w:rPr>
          <w:rFonts w:ascii="宋体" w:hAnsi="宋体"/>
        </w:rPr>
      </w:pPr>
    </w:p>
    <w:p w14:paraId="435946EB">
      <w:pPr>
        <w:spacing w:line="240" w:lineRule="auto"/>
        <w:ind w:firstLine="0" w:firstLineChars="0"/>
        <w:rPr>
          <w:rFonts w:hint="eastAsia" w:ascii="宋体" w:hAnsi="宋体"/>
        </w:rPr>
      </w:pPr>
      <w:r>
        <w:rPr>
          <w:rFonts w:hint="eastAsia" w:ascii="宋体" w:hAnsi="宋体"/>
        </w:rPr>
        <w:t>（4）脚本与结果对应关系</w:t>
      </w:r>
    </w:p>
    <w:p w14:paraId="233B7C41">
      <w:pPr>
        <w:spacing w:line="240" w:lineRule="auto"/>
        <w:ind w:firstLine="240" w:firstLineChars="100"/>
        <w:rPr>
          <w:rFonts w:hint="eastAsia" w:ascii="宋体" w:hAnsi="宋体"/>
        </w:rPr>
      </w:pPr>
      <w:r>
        <w:rPr>
          <w:rFonts w:hint="eastAsia" w:ascii="宋体" w:hAnsi="宋体"/>
        </w:rPr>
        <w:t>1. 完整对应关系见 `code/README.md` 与 `docs/06_佐证材料.md` 第四节。</w:t>
      </w:r>
    </w:p>
    <w:p w14:paraId="3C1A96B7">
      <w:pPr>
        <w:spacing w:line="240" w:lineRule="auto"/>
        <w:ind w:firstLine="0" w:firstLineChars="0"/>
        <w:rPr>
          <w:rFonts w:ascii="宋体" w:hAnsi="宋体"/>
        </w:rPr>
      </w:pPr>
    </w:p>
    <w:p w14:paraId="6314C0CC">
      <w:pPr>
        <w:pStyle w:val="3"/>
        <w:ind w:firstLine="562"/>
        <w:rPr>
          <w:rFonts w:hint="eastAsia"/>
        </w:rPr>
      </w:pPr>
      <w:bookmarkStart w:id="27" w:name="_Toc241960390"/>
      <w:r>
        <w:rPr>
          <w:rFonts w:hint="eastAsia"/>
        </w:rPr>
        <w:t>3.参考文献</w:t>
      </w:r>
      <w:bookmarkEnd w:id="27"/>
    </w:p>
    <w:p w14:paraId="4A53CA65">
      <w:pPr>
        <w:spacing w:line="240" w:lineRule="auto"/>
        <w:ind w:left="480" w:hanging="480" w:hangingChars="200"/>
        <w:rPr>
          <w:rFonts w:ascii="宋体" w:hAnsi="宋体"/>
        </w:rPr>
      </w:pPr>
      <w:r>
        <w:rPr>
          <w:rFonts w:hint="eastAsia" w:ascii="宋体" w:hAnsi="宋体"/>
        </w:rPr>
        <w:t>[</w:t>
      </w:r>
      <w:r>
        <w:rPr>
          <w:rFonts w:ascii="宋体" w:hAnsi="宋体"/>
        </w:rPr>
        <w:t>1</w:t>
      </w:r>
      <w:r>
        <w:rPr>
          <w:rFonts w:hint="eastAsia" w:ascii="宋体" w:hAnsi="宋体"/>
        </w:rPr>
        <w:t>]</w:t>
      </w:r>
      <w:r>
        <w:rPr>
          <w:rFonts w:ascii="宋体" w:hAnsi="宋体"/>
        </w:rPr>
        <w:t xml:space="preserve"> Gneiting, T. &amp; Ranjan, R. (2011). Comparing density forecasts using threshold- and quantile-weighted scoring rules. JBES. DOI 10.1198/jbes.2010.08110</w:t>
      </w:r>
    </w:p>
    <w:p w14:paraId="0B8867AD">
      <w:pPr>
        <w:spacing w:line="240" w:lineRule="auto"/>
        <w:ind w:left="480" w:hanging="480" w:hangingChars="200"/>
        <w:rPr>
          <w:rFonts w:ascii="宋体" w:hAnsi="宋体"/>
        </w:rPr>
      </w:pPr>
      <w:r>
        <w:rPr>
          <w:rFonts w:hint="eastAsia" w:ascii="宋体" w:hAnsi="宋体"/>
        </w:rPr>
        <w:t>[</w:t>
      </w:r>
      <w:r>
        <w:rPr>
          <w:rFonts w:ascii="宋体" w:hAnsi="宋体"/>
        </w:rPr>
        <w:t>2</w:t>
      </w:r>
      <w:r>
        <w:rPr>
          <w:rFonts w:hint="eastAsia" w:ascii="宋体" w:hAnsi="宋体"/>
        </w:rPr>
        <w:t>]</w:t>
      </w:r>
      <w:r>
        <w:rPr>
          <w:rFonts w:ascii="宋体" w:hAnsi="宋体"/>
        </w:rPr>
        <w:t xml:space="preserve"> Brunton, S. L., Brunton, B. W., Proctor, J. L. &amp; Kutz, J. N. (2017). Chaos as an intermittently forced linear system. Nature Communications 8. DOI 10.1038/s41467-017-00030-8</w:t>
      </w:r>
    </w:p>
    <w:p w14:paraId="0AFE094E">
      <w:pPr>
        <w:spacing w:line="240" w:lineRule="auto"/>
        <w:ind w:left="480" w:hanging="480" w:hangingChars="200"/>
        <w:rPr>
          <w:rFonts w:ascii="宋体" w:hAnsi="宋体"/>
        </w:rPr>
      </w:pPr>
      <w:r>
        <w:rPr>
          <w:rFonts w:hint="eastAsia" w:ascii="宋体" w:hAnsi="宋体"/>
        </w:rPr>
        <w:t>[</w:t>
      </w:r>
      <w:r>
        <w:rPr>
          <w:rFonts w:ascii="宋体" w:hAnsi="宋体"/>
        </w:rPr>
        <w:t>3</w:t>
      </w:r>
      <w:r>
        <w:rPr>
          <w:rFonts w:hint="eastAsia" w:ascii="宋体" w:hAnsi="宋体"/>
        </w:rPr>
        <w:t>]</w:t>
      </w:r>
      <w:r>
        <w:rPr>
          <w:rFonts w:ascii="宋体" w:hAnsi="宋体"/>
        </w:rPr>
        <w:t xml:space="preserve"> Gong et al. (2025). Impact of open visits on the indoor climate of Mogao Caves. npj Heritage Science 13:173. DOI 10.1038/s40494-025-01740-9</w:t>
      </w:r>
    </w:p>
    <w:p w14:paraId="4EB7A451">
      <w:pPr>
        <w:spacing w:line="240" w:lineRule="auto"/>
        <w:ind w:left="480" w:hanging="480" w:hangingChars="200"/>
        <w:rPr>
          <w:rFonts w:ascii="宋体" w:hAnsi="宋体"/>
        </w:rPr>
      </w:pPr>
      <w:r>
        <w:rPr>
          <w:rFonts w:hint="eastAsia" w:ascii="宋体" w:hAnsi="宋体"/>
        </w:rPr>
        <w:t>[</w:t>
      </w:r>
      <w:r>
        <w:rPr>
          <w:rFonts w:ascii="宋体" w:hAnsi="宋体"/>
        </w:rPr>
        <w:t>4</w:t>
      </w:r>
      <w:r>
        <w:rPr>
          <w:rFonts w:hint="eastAsia" w:ascii="宋体" w:hAnsi="宋体"/>
        </w:rPr>
        <w:t>]</w:t>
      </w:r>
      <w:r>
        <w:rPr>
          <w:rFonts w:ascii="宋体" w:hAnsi="宋体"/>
        </w:rPr>
        <w:t xml:space="preserve"> Zhao et al. (2026). Single-sided natural ventilation in deep caves. npj Heritage Science. DOI 10.1038/s40494-026-02955-0</w:t>
      </w:r>
    </w:p>
    <w:p w14:paraId="6658D6BF">
      <w:pPr>
        <w:spacing w:line="240" w:lineRule="auto"/>
        <w:ind w:left="480" w:hanging="480" w:hangingChars="200"/>
        <w:rPr>
          <w:rFonts w:hint="default" w:ascii="宋体" w:hAnsi="宋体" w:eastAsia="宋体"/>
          <w:lang w:val="en-US" w:eastAsia="zh-CN"/>
        </w:rPr>
      </w:pPr>
      <w:r>
        <w:rPr>
          <w:rFonts w:hint="eastAsia" w:ascii="宋体" w:hAnsi="宋体"/>
        </w:rPr>
        <w:t>[</w:t>
      </w:r>
      <w:r>
        <w:rPr>
          <w:rFonts w:ascii="宋体" w:hAnsi="宋体"/>
        </w:rPr>
        <w:t>5</w:t>
      </w:r>
      <w:r>
        <w:rPr>
          <w:rFonts w:hint="eastAsia" w:ascii="宋体" w:hAnsi="宋体"/>
        </w:rPr>
        <w:t>]</w:t>
      </w:r>
      <w:r>
        <w:rPr>
          <w:rFonts w:ascii="宋体" w:hAnsi="宋体"/>
        </w:rPr>
        <w:t xml:space="preserve"> Zhang, Y. &amp; Wang, J. (2023). Maintenance schedule optimization ... Cave 87. Heritage Science 11:158. DOI 10.1038/s40494-023-01005-3</w:t>
      </w:r>
      <w:bookmarkStart w:id="28" w:name="_GoBack"/>
      <w:bookmarkEnd w:id="28"/>
    </w:p>
    <w:p w14:paraId="79333B92">
      <w:pPr>
        <w:spacing w:line="240" w:lineRule="auto"/>
        <w:ind w:left="480" w:hanging="480" w:hangingChars="200"/>
        <w:rPr>
          <w:rFonts w:ascii="宋体" w:hAnsi="宋体"/>
        </w:rPr>
      </w:pPr>
      <w:r>
        <w:rPr>
          <w:rFonts w:hint="eastAsia" w:ascii="宋体" w:hAnsi="宋体"/>
        </w:rPr>
        <w:t>[</w:t>
      </w:r>
      <w:r>
        <w:rPr>
          <w:rFonts w:ascii="宋体" w:hAnsi="宋体"/>
        </w:rPr>
        <w:t>7</w:t>
      </w:r>
      <w:r>
        <w:rPr>
          <w:rFonts w:hint="eastAsia" w:ascii="宋体" w:hAnsi="宋体"/>
        </w:rPr>
        <w:t>]</w:t>
      </w:r>
      <w:r>
        <w:rPr>
          <w:rFonts w:ascii="宋体" w:hAnsi="宋体"/>
        </w:rPr>
        <w:t xml:space="preserve"> (2022). Predicting indoor relative humidity exceedance ... Heritage Science. DOI 10.1186/s40494-022-00805-3</w:t>
      </w:r>
    </w:p>
    <w:p w14:paraId="3D81363E">
      <w:pPr>
        <w:spacing w:line="240" w:lineRule="auto"/>
        <w:ind w:left="480" w:hanging="480" w:hangingChars="200"/>
        <w:rPr>
          <w:rFonts w:hint="eastAsia" w:ascii="宋体" w:hAnsi="宋体"/>
        </w:rPr>
      </w:pPr>
      <w:r>
        <w:rPr>
          <w:rFonts w:hint="eastAsia" w:ascii="宋体" w:hAnsi="宋体"/>
        </w:rPr>
        <w:t>[8] (2025). 吸湿与渗透性突变阈值建议 maintained below 75%. npj Heritage Science. DOI 10.1038/s40494-025-01756-1</w:t>
      </w:r>
    </w:p>
    <w:p w14:paraId="210AB913">
      <w:pPr>
        <w:spacing w:line="240" w:lineRule="auto"/>
        <w:ind w:left="480" w:hanging="480" w:hangingChars="200"/>
        <w:rPr>
          <w:rFonts w:ascii="宋体" w:hAnsi="宋体"/>
        </w:rPr>
      </w:pPr>
      <w:r>
        <w:rPr>
          <w:rFonts w:hint="eastAsia" w:ascii="宋体" w:hAnsi="宋体"/>
        </w:rPr>
        <w:t>[</w:t>
      </w:r>
      <w:r>
        <w:rPr>
          <w:rFonts w:ascii="宋体" w:hAnsi="宋体"/>
        </w:rPr>
        <w:t>9</w:t>
      </w:r>
      <w:r>
        <w:rPr>
          <w:rFonts w:hint="eastAsia" w:ascii="宋体" w:hAnsi="宋体"/>
        </w:rPr>
        <w:t>]</w:t>
      </w:r>
      <w:r>
        <w:rPr>
          <w:rFonts w:ascii="宋体" w:hAnsi="宋体"/>
        </w:rPr>
        <w:t xml:space="preserve"> Domínguez-Villar et al. (2023). Thermal properties of carbonate rocks. International Journal of Thermal Sciences 189:108282</w:t>
      </w:r>
    </w:p>
    <w:p w14:paraId="336ACB7F">
      <w:pPr>
        <w:spacing w:line="240" w:lineRule="auto"/>
        <w:ind w:left="480" w:hanging="480" w:hangingChars="200"/>
        <w:rPr>
          <w:rFonts w:hint="eastAsia" w:ascii="宋体" w:hAnsi="宋体"/>
        </w:rPr>
      </w:pPr>
      <w:r>
        <w:rPr>
          <w:rFonts w:hint="eastAsia" w:ascii="宋体" w:hAnsi="宋体"/>
        </w:rPr>
        <w:t>[10]周启友等 (2018). 莫高窟第 108 窟窟内空气温度、湿度与气压的时空变化. 文物保护与考古科学 30(3):51-60</w:t>
      </w:r>
    </w:p>
    <w:p w14:paraId="230D8674">
      <w:pPr>
        <w:spacing w:line="240" w:lineRule="auto"/>
        <w:ind w:left="480" w:hanging="480" w:hangingChars="200"/>
        <w:rPr>
          <w:rFonts w:ascii="宋体" w:hAnsi="宋体"/>
        </w:rPr>
      </w:pPr>
      <w:r>
        <w:rPr>
          <w:rFonts w:hint="eastAsia" w:ascii="宋体" w:hAnsi="宋体"/>
        </w:rPr>
        <w:t>[</w:t>
      </w:r>
      <w:r>
        <w:rPr>
          <w:rFonts w:ascii="宋体" w:hAnsi="宋体"/>
        </w:rPr>
        <w:t>11</w:t>
      </w:r>
      <w:r>
        <w:rPr>
          <w:rFonts w:hint="eastAsia" w:ascii="宋体" w:hAnsi="宋体"/>
        </w:rPr>
        <w:t>]敦煌研究院官方业务阈值</w:t>
      </w:r>
      <w:r>
        <w:rPr>
          <w:rFonts w:ascii="宋体" w:hAnsi="宋体"/>
        </w:rPr>
        <w:t xml:space="preserve"> 62% RH / 1500 ppm CO</w:t>
      </w:r>
      <w:r>
        <w:rPr>
          <w:rFonts w:ascii="Cambria Math" w:hAnsi="Cambria Math" w:cs="Cambria Math"/>
        </w:rPr>
        <w:t>₂</w:t>
      </w:r>
      <w:r>
        <w:rPr>
          <w:rFonts w:hint="eastAsia" w:ascii="宋体" w:hAnsi="宋体"/>
        </w:rPr>
        <w:t>（樊锦诗</w:t>
      </w:r>
      <w:r>
        <w:rPr>
          <w:rFonts w:ascii="宋体" w:hAnsi="宋体"/>
        </w:rPr>
        <w:t xml:space="preserve"> 2013</w:t>
      </w:r>
      <w:r>
        <w:rPr>
          <w:rFonts w:hint="eastAsia" w:ascii="宋体" w:hAnsi="宋体"/>
        </w:rPr>
        <w:t>、郭青林</w:t>
      </w:r>
      <w:r>
        <w:rPr>
          <w:rFonts w:ascii="宋体" w:hAnsi="宋体"/>
        </w:rPr>
        <w:t xml:space="preserve"> 2026</w:t>
      </w:r>
      <w:r>
        <w:rPr>
          <w:rFonts w:hint="eastAsia" w:ascii="宋体" w:hAnsi="宋体"/>
        </w:rPr>
        <w:t>、汪万福公开表述）</w:t>
      </w:r>
    </w:p>
    <w:p w14:paraId="58EBD646">
      <w:pPr>
        <w:spacing w:line="240" w:lineRule="auto"/>
        <w:ind w:left="480" w:hanging="480" w:hangingChars="200"/>
        <w:rPr>
          <w:rFonts w:hint="eastAsia" w:ascii="宋体" w:hAnsi="宋体"/>
        </w:rPr>
      </w:pPr>
      <w:r>
        <w:rPr>
          <w:rFonts w:hint="eastAsia" w:ascii="宋体" w:hAnsi="宋体"/>
        </w:rPr>
        <w:t>[12]中国气象局《中国气象报》：「河西走廊里的气象步态」（记者倪永强、张宏伟，2019-10-24 二版）。https://www.cma.gov.cn/kppd/kppdqyr/kppdjsqx/202111/t20211103_4165145.html</w:t>
      </w:r>
    </w:p>
    <w:p w14:paraId="6A8815DE">
      <w:pPr>
        <w:spacing w:line="240" w:lineRule="auto"/>
        <w:ind w:left="480" w:hanging="480" w:hangingChars="200"/>
        <w:rPr>
          <w:rFonts w:hint="eastAsia" w:ascii="宋体" w:hAnsi="宋体"/>
        </w:rPr>
      </w:pPr>
      <w:r>
        <w:rPr>
          <w:rFonts w:hint="eastAsia" w:ascii="宋体" w:hAnsi="宋体"/>
        </w:rPr>
        <w:t>[13]中国新闻网（2025-06-12）：文物保护气象服务联盟在敦煌成立。https://backend.chinanews.com/cul/2025/06-12/10430980.shtml</w:t>
      </w:r>
    </w:p>
    <w:p w14:paraId="01BBC8B5">
      <w:pPr>
        <w:spacing w:line="240" w:lineRule="auto"/>
        <w:ind w:left="480" w:hanging="480" w:hangingChars="200"/>
        <w:rPr>
          <w:rFonts w:hint="eastAsia" w:ascii="宋体" w:hAnsi="宋体"/>
        </w:rPr>
      </w:pPr>
      <w:r>
        <w:rPr>
          <w:rFonts w:hint="eastAsia" w:ascii="宋体" w:hAnsi="宋体"/>
        </w:rPr>
        <w:t>[14]敦煌研究院石窟监测中心：省级平台统一接入院属 6 处石窟，莫高窟监测 115 个洞窟。https://m.newsduan.com/static/content/TW/2023-08-22/114348326154617451.html</w:t>
      </w:r>
    </w:p>
    <w:p w14:paraId="1C0F802D">
      <w:pPr>
        <w:spacing w:line="240" w:lineRule="auto"/>
        <w:ind w:left="480" w:hanging="480" w:hangingChars="200"/>
        <w:rPr>
          <w:rFonts w:hint="eastAsia" w:ascii="宋体" w:hAnsi="宋体"/>
        </w:rPr>
      </w:pPr>
      <w:r>
        <w:rPr>
          <w:rFonts w:hint="eastAsia" w:ascii="宋体" w:hAnsi="宋体"/>
        </w:rPr>
        <w:t>[15]甘肃省文物局（2025-09-22）：https://www.gswbj.gov.cn/a/2025/09/22/26066.html</w:t>
      </w:r>
    </w:p>
    <w:p w14:paraId="19B50F93">
      <w:pPr>
        <w:spacing w:line="240" w:lineRule="auto"/>
        <w:ind w:left="480" w:hanging="480" w:hangingChars="200"/>
        <w:rPr>
          <w:rFonts w:hint="eastAsia" w:ascii="宋体" w:hAnsi="宋体"/>
        </w:rPr>
      </w:pPr>
      <w:r>
        <w:rPr>
          <w:rFonts w:hint="eastAsia" w:ascii="宋体" w:hAnsi="宋体"/>
        </w:rPr>
        <w:t>[16]甘肃省人民政府办公厅《甘政办发〔2025〕21号》：「甘肃省石窟寺监测预警平台」列为重点建设项目。https://www.gansu.gov.cn/gszif/c100055/202503/174099075/files/fc134425fca24840ac32ffe6c8e1efc.pdf</w:t>
      </w:r>
    </w:p>
    <w:p w14:paraId="522340FC">
      <w:pPr>
        <w:spacing w:line="240" w:lineRule="auto"/>
        <w:ind w:left="480" w:hanging="480" w:hangingChars="200"/>
        <w:rPr>
          <w:rFonts w:hint="eastAsia" w:ascii="宋体" w:hAnsi="宋体"/>
        </w:rPr>
      </w:pPr>
      <w:r>
        <w:rPr>
          <w:rFonts w:hint="eastAsia" w:ascii="宋体" w:hAnsi="宋体"/>
        </w:rPr>
        <w:t>[17]林波等（2013). 莫高窟第108窟岩体内温度与湿度的实测研究（页码 P89-91）。</w:t>
      </w:r>
    </w:p>
    <w:p w14:paraId="2D80E16F">
      <w:pPr>
        <w:spacing w:line="240" w:lineRule="auto"/>
        <w:ind w:left="480" w:hanging="480" w:hangingChars="200"/>
        <w:rPr>
          <w:rFonts w:hint="eastAsia" w:ascii="宋体" w:hAnsi="宋体"/>
        </w:rPr>
      </w:pPr>
      <w:r>
        <w:rPr>
          <w:rFonts w:hint="eastAsia" w:ascii="宋体" w:hAnsi="宋体"/>
        </w:rPr>
        <w:t>[18]陈海玲等. 莫高窟开放/关闭洞窟相对湿度监测研究（第25/26/29/35窟，2007-2009；第465窟，2018-2019）。</w:t>
      </w:r>
    </w:p>
    <w:p w14:paraId="122BCCB4">
      <w:pPr>
        <w:spacing w:line="240" w:lineRule="auto"/>
        <w:ind w:firstLine="0" w:firstLineChars="0"/>
        <w:rPr>
          <w:rFonts w:hint="eastAsia" w:ascii="宋体" w:hAnsi="宋体"/>
          <w:b/>
          <w:bCs/>
          <w:sz w:val="28"/>
          <w:szCs w:val="28"/>
        </w:rPr>
      </w:pPr>
      <w:r>
        <w:rPr>
          <w:rFonts w:hint="eastAsia" w:ascii="宋体" w:hAnsi="宋体"/>
          <w:b/>
          <w:bCs/>
          <w:sz w:val="28"/>
          <w:szCs w:val="28"/>
          <w:highlight w:val="yellow"/>
        </w:rPr>
        <w:t>4.其他材料</w:t>
      </w:r>
    </w:p>
    <w:p w14:paraId="2B694F73">
      <w:pPr>
        <w:spacing w:line="240" w:lineRule="auto"/>
        <w:ind w:firstLine="0" w:firstLineChars="0"/>
        <w:rPr>
          <w:rFonts w:hint="eastAsia" w:ascii="宋体" w:hAnsi="宋体"/>
        </w:rPr>
      </w:pPr>
      <w:r>
        <w:rPr>
          <w:rFonts w:hint="eastAsia" w:ascii="宋体" w:hAnsi="宋体"/>
        </w:rPr>
        <w:t>（1）数据真实性声明</w:t>
      </w:r>
    </w:p>
    <w:p w14:paraId="30189F41">
      <w:pPr>
        <w:spacing w:line="240" w:lineRule="auto"/>
        <w:ind w:left="480" w:hanging="480" w:hangingChars="200"/>
        <w:rPr>
          <w:rFonts w:hint="eastAsia" w:ascii="宋体" w:hAnsi="宋体"/>
        </w:rPr>
      </w:pPr>
      <w:r>
        <w:rPr>
          <w:rFonts w:hint="eastAsia" w:ascii="宋体" w:hAnsi="宋体"/>
        </w:rPr>
        <w:t>1.  本作品的室内温湿度序列为基于文献参数化物理模型生成的合成标签（physics-derived synthetic labels），不是实测数据。原因是莫高窟及中国石窟的窟内温湿度无公开实测数据集。</w:t>
      </w:r>
    </w:p>
    <w:p w14:paraId="3BA25D61">
      <w:pPr>
        <w:spacing w:line="240" w:lineRule="auto"/>
        <w:ind w:left="480" w:hanging="480" w:hangingChars="200"/>
        <w:rPr>
          <w:rFonts w:hint="eastAsia" w:ascii="宋体" w:hAnsi="宋体"/>
        </w:rPr>
      </w:pPr>
      <w:r>
        <w:rPr>
          <w:rFonts w:hint="eastAsia" w:ascii="宋体" w:hAnsi="宋体"/>
        </w:rPr>
        <w:t>2.  外场驱动数据为 NASA POWER 再分析资料（MERRA-2 及偏差订正），不是站点观测。敦煌国家气象站（ISD 52418）2023-04-28 之后停止上报。</w:t>
      </w:r>
    </w:p>
    <w:p w14:paraId="5EE517C5">
      <w:pPr>
        <w:spacing w:line="240" w:lineRule="auto"/>
        <w:ind w:left="480" w:hanging="480" w:hangingChars="200"/>
        <w:rPr>
          <w:rFonts w:hint="eastAsia" w:ascii="宋体" w:hAnsi="宋体"/>
        </w:rPr>
      </w:pPr>
      <w:r>
        <w:rPr>
          <w:rFonts w:hint="eastAsia" w:ascii="宋体" w:hAnsi="宋体"/>
        </w:rPr>
        <w:t>3.  合成标签闭环仅用于算法开发；泛化性由跨窟留一验证（5/6 通过）与 ICCP 真实洞穴数据验证两条独立链路检验。</w:t>
      </w:r>
    </w:p>
    <w:p w14:paraId="15CDCFFD">
      <w:pPr>
        <w:spacing w:line="240" w:lineRule="auto"/>
        <w:ind w:left="480" w:hanging="480" w:hangingChars="200"/>
        <w:rPr>
          <w:rFonts w:hint="eastAsia" w:ascii="宋体" w:hAnsi="宋体"/>
        </w:rPr>
      </w:pPr>
      <w:r>
        <w:rPr>
          <w:rFonts w:hint="eastAsia" w:ascii="宋体" w:hAnsi="宋体"/>
        </w:rPr>
        <w:t>4.  所有物理参数均标注文献出处与 DOI（见 `docs/06_佐证材料.md` 第三节参数出处表与附录3）。</w:t>
      </w:r>
    </w:p>
    <w:p w14:paraId="01C9D10C">
      <w:pPr>
        <w:spacing w:line="240" w:lineRule="auto"/>
        <w:ind w:firstLine="0" w:firstLineChars="0"/>
        <w:rPr>
          <w:rFonts w:hint="eastAsia" w:ascii="宋体" w:hAnsi="宋体"/>
        </w:rPr>
      </w:pPr>
      <w:r>
        <w:rPr>
          <w:rFonts w:hint="eastAsia" w:ascii="宋体" w:hAnsi="宋体"/>
        </w:rPr>
        <w:t>（2）可复现性说明</w:t>
      </w:r>
    </w:p>
    <w:p w14:paraId="693B9FE0">
      <w:pPr>
        <w:spacing w:line="240" w:lineRule="auto"/>
        <w:ind w:left="480" w:hanging="480" w:hangingChars="200"/>
        <w:rPr>
          <w:rFonts w:hint="eastAsia" w:ascii="宋体" w:hAnsi="宋体"/>
        </w:rPr>
      </w:pPr>
      <w:r>
        <w:rPr>
          <w:rFonts w:hint="eastAsia" w:ascii="宋体" w:hAnsi="宋体"/>
        </w:rPr>
        <w:t>1.  ICCP 一行的「12 洞 / 42 台记录仪」来自 Zenodo 记录页元数据，无法在仓内逐条复算；仓内可复算的是 `code/results/iccp_transfer.csv`：9 个洞穴、n_test 列求和 = 16,944 个逐小时配对时次。</w:t>
      </w:r>
    </w:p>
    <w:p w14:paraId="2F714358">
      <w:pPr>
        <w:spacing w:line="240" w:lineRule="auto"/>
        <w:ind w:left="480" w:hanging="480" w:hangingChars="200"/>
        <w:rPr>
          <w:rFonts w:hint="eastAsia" w:ascii="宋体" w:hAnsi="宋体"/>
        </w:rPr>
      </w:pPr>
      <w:r>
        <w:rPr>
          <w:rFonts w:hint="eastAsia" w:ascii="宋体" w:hAnsi="宋体"/>
        </w:rPr>
        <w:t>2.  早期材料曾写「15,700 时次」，该数字在仓内无任何落盘来源，已废弃。若被质疑，请以 16,944 与 18 条序列应答。</w:t>
      </w:r>
    </w:p>
    <w:p w14:paraId="2731612F">
      <w:pPr>
        <w:spacing w:line="240" w:lineRule="auto"/>
        <w:ind w:left="480" w:hanging="480" w:hangingChars="200"/>
        <w:rPr>
          <w:rFonts w:hint="eastAsia" w:ascii="宋体" w:hAnsi="宋体"/>
        </w:rPr>
      </w:pPr>
      <w:r>
        <w:rPr>
          <w:rFonts w:hint="eastAsia" w:ascii="宋体" w:hAnsi="宋体"/>
        </w:rPr>
        <w:t>3.  脚本与结果的完整对应关系见 `code/README.md` 与 `docs/06_佐证材料.md` 第四节。</w:t>
      </w:r>
    </w:p>
    <w:p w14:paraId="7CE373DA">
      <w:pPr>
        <w:spacing w:line="240" w:lineRule="auto"/>
        <w:ind w:firstLine="0" w:firstLineChars="0"/>
        <w:rPr>
          <w:rFonts w:hint="eastAsia" w:ascii="宋体" w:hAnsi="宋体"/>
        </w:rPr>
      </w:pPr>
      <w:r>
        <w:rPr>
          <w:rFonts w:hint="eastAsia" w:ascii="宋体" w:hAnsi="宋体"/>
        </w:rPr>
        <w:t>（3）其他成果</w:t>
      </w:r>
    </w:p>
    <w:p w14:paraId="081BD59E">
      <w:pPr>
        <w:spacing w:line="240" w:lineRule="auto"/>
        <w:ind w:left="480" w:hanging="480" w:hangingChars="200"/>
        <w:rPr>
          <w:rFonts w:hint="eastAsia" w:ascii="宋体" w:hAnsi="宋体"/>
        </w:rPr>
      </w:pPr>
      <w:r>
        <w:rPr>
          <w:rFonts w:hint="eastAsia" w:ascii="宋体" w:hAnsi="宋体"/>
        </w:rPr>
        <w:t>1.  本作品未使用第三方大模型或智能体作为算法组件。AI 部分全部为自行实现与训练的机器学习算法（Koopman/EDMD 输运算子、岭回归与分位数回归、梯度提升读出、阈值加权评分规则）。</w:t>
      </w:r>
    </w:p>
    <w:p w14:paraId="3FCA3E1E">
      <w:pPr>
        <w:spacing w:line="240" w:lineRule="auto"/>
        <w:ind w:left="480" w:hanging="480" w:hangingChars="200"/>
        <w:rPr>
          <w:rFonts w:ascii="宋体" w:hAnsi="宋体"/>
        </w:rPr>
      </w:pPr>
      <w:r>
        <w:rPr>
          <w:rFonts w:hint="eastAsia" w:ascii="宋体" w:hAnsi="宋体"/>
        </w:rPr>
        <w:t>2.  大语言模型仅用于工程辅助（文档整理、代码审阅），不参与任何数值结果的产生。</w:t>
      </w:r>
    </w:p>
    <w:sectPr>
      <w:pgSz w:w="11906" w:h="16838"/>
      <w:pgMar w:top="1418" w:right="1701" w:bottom="1418" w:left="1701" w:header="851" w:footer="851" w:gutter="0"/>
      <w:cols w:space="72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3EBF3">
    <w:pPr>
      <w:tabs>
        <w:tab w:val="center" w:pos="4153"/>
        <w:tab w:val="right" w:pos="8306"/>
      </w:tabs>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E5F01">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0A904">
    <w:pPr>
      <w:tabs>
        <w:tab w:val="center" w:pos="4153"/>
        <w:tab w:val="right" w:pos="8306"/>
      </w:tabs>
      <w:ind w:firstLine="480"/>
      <w:rPr>
        <w:color w:val="0000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6E416">
    <w:pPr>
      <w:tabs>
        <w:tab w:val="center" w:pos="4153"/>
        <w:tab w:val="right" w:pos="8306"/>
      </w:tabs>
      <w:ind w:firstLine="480"/>
      <w:jc w:val="cente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CDD27">
    <w:pPr>
      <w:tabs>
        <w:tab w:val="center" w:pos="4153"/>
        <w:tab w:val="right" w:pos="8306"/>
      </w:tabs>
      <w:ind w:firstLine="480"/>
      <w:jc w:val="center"/>
    </w:pPr>
    <w:r>
      <w:fldChar w:fldCharType="begin"/>
    </w:r>
    <w:r>
      <w:instrText xml:space="preserve">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75BE3">
    <w:pPr>
      <w:pBdr>
        <w:bottom w:val="single" w:color="auto" w:sz="4" w:space="0"/>
      </w:pBdr>
      <w:tabs>
        <w:tab w:val="center" w:pos="4153"/>
        <w:tab w:val="right" w:pos="8306"/>
      </w:tabs>
      <w:spacing w:line="240" w:lineRule="auto"/>
      <w:ind w:firstLine="0" w:firstLineChars="0"/>
    </w:pPr>
    <w:r>
      <w:rPr>
        <w:rFonts w:hint="eastAsia"/>
      </w:rPr>
      <w:drawing>
        <wp:inline distT="0" distB="0" distL="0" distR="0">
          <wp:extent cx="402590" cy="189865"/>
          <wp:effectExtent l="0" t="0" r="0" b="0"/>
          <wp:docPr id="758970100" name="图片 291" descr="AIC方形logo@1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100" name="图片 291" descr="AIC方形logo@16x"/>
                  <pic:cNvPicPr>
                    <a:picLocks noChangeAspect="1" noChangeArrowheads="1"/>
                  </pic:cNvPicPr>
                </pic:nvPicPr>
                <pic:blipFill>
                  <a:blip r:embed="rId1">
                    <a:extLst>
                      <a:ext uri="{28A0092B-C50C-407E-A947-70E740481C1C}">
                        <a14:useLocalDpi xmlns:a14="http://schemas.microsoft.com/office/drawing/2010/main" val="0"/>
                      </a:ext>
                    </a:extLst>
                  </a:blip>
                  <a:srcRect b="26582"/>
                  <a:stretch>
                    <a:fillRect/>
                  </a:stretch>
                </pic:blipFill>
                <pic:spPr>
                  <a:xfrm>
                    <a:off x="0" y="0"/>
                    <a:ext cx="402590" cy="189865"/>
                  </a:xfrm>
                  <a:prstGeom prst="rect">
                    <a:avLst/>
                  </a:prstGeom>
                  <a:noFill/>
                  <a:ln>
                    <a:noFill/>
                  </a:ln>
                </pic:spPr>
              </pic:pic>
            </a:graphicData>
          </a:graphic>
        </wp:inline>
      </w:drawing>
    </w:r>
    <w:r>
      <w:rPr>
        <w:rFonts w:hint="eastAsia"/>
      </w:rPr>
      <w:t xml:space="preserve">                               </w:t>
    </w:r>
    <w:r>
      <w:rPr>
        <w:rFonts w:hint="eastAsia"/>
        <w:sz w:val="21"/>
        <w:szCs w:val="21"/>
      </w:rPr>
      <w:t>2026第八届全球校园人工智能算法精英大赛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22AE9">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ED335">
    <w:pPr>
      <w:tabs>
        <w:tab w:val="center" w:pos="4153"/>
        <w:tab w:val="right" w:pos="8306"/>
      </w:tabs>
      <w:spacing w:line="240" w:lineRule="auto"/>
      <w:ind w:firstLine="0" w:firstLineChars="0"/>
    </w:pPr>
    <w:r>
      <w:rPr>
        <w:rFonts w:hint="eastAsia"/>
      </w:rPr>
      <w:drawing>
        <wp:inline distT="0" distB="0" distL="0" distR="0">
          <wp:extent cx="402590" cy="189865"/>
          <wp:effectExtent l="0" t="0" r="0" b="0"/>
          <wp:docPr id="570529123" name="图片 289" descr="AIC方形logo@1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9123" name="图片 289" descr="AIC方形logo@16x"/>
                  <pic:cNvPicPr>
                    <a:picLocks noChangeAspect="1" noChangeArrowheads="1"/>
                  </pic:cNvPicPr>
                </pic:nvPicPr>
                <pic:blipFill>
                  <a:blip r:embed="rId1">
                    <a:extLst>
                      <a:ext uri="{28A0092B-C50C-407E-A947-70E740481C1C}">
                        <a14:useLocalDpi xmlns:a14="http://schemas.microsoft.com/office/drawing/2010/main" val="0"/>
                      </a:ext>
                    </a:extLst>
                  </a:blip>
                  <a:srcRect b="26582"/>
                  <a:stretch>
                    <a:fillRect/>
                  </a:stretch>
                </pic:blipFill>
                <pic:spPr>
                  <a:xfrm>
                    <a:off x="0" y="0"/>
                    <a:ext cx="402590" cy="189865"/>
                  </a:xfrm>
                  <a:prstGeom prst="rect">
                    <a:avLst/>
                  </a:prstGeom>
                  <a:noFill/>
                  <a:ln>
                    <a:noFill/>
                  </a:ln>
                </pic:spPr>
              </pic:pic>
            </a:graphicData>
          </a:graphic>
        </wp:inline>
      </w:drawing>
    </w:r>
    <w:r>
      <w:rPr>
        <w:rFonts w:hint="eastAsia"/>
      </w:rPr>
      <w:t xml:space="preserve">                                    2026第八届全球校园人工智能算法精英大赛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840"/>
  <w:drawingGridHorizontalSpacing w:val="240"/>
  <w:drawingGridVerticalSpacing w:val="167"/>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28B"/>
    <w:rsid w:val="00014B0C"/>
    <w:rsid w:val="00035AF2"/>
    <w:rsid w:val="00037874"/>
    <w:rsid w:val="00041A91"/>
    <w:rsid w:val="00041B21"/>
    <w:rsid w:val="00045C18"/>
    <w:rsid w:val="000463B1"/>
    <w:rsid w:val="00080816"/>
    <w:rsid w:val="00090AA8"/>
    <w:rsid w:val="000C5039"/>
    <w:rsid w:val="000E43C5"/>
    <w:rsid w:val="00121118"/>
    <w:rsid w:val="00122726"/>
    <w:rsid w:val="00127E3F"/>
    <w:rsid w:val="00141DF5"/>
    <w:rsid w:val="00164C7F"/>
    <w:rsid w:val="0019033D"/>
    <w:rsid w:val="001926D3"/>
    <w:rsid w:val="001976CF"/>
    <w:rsid w:val="001C565A"/>
    <w:rsid w:val="001E5AAF"/>
    <w:rsid w:val="0024228B"/>
    <w:rsid w:val="002434F2"/>
    <w:rsid w:val="002770D9"/>
    <w:rsid w:val="00296B0E"/>
    <w:rsid w:val="002B0B47"/>
    <w:rsid w:val="002B2444"/>
    <w:rsid w:val="00301D53"/>
    <w:rsid w:val="00317FE1"/>
    <w:rsid w:val="00327030"/>
    <w:rsid w:val="00357554"/>
    <w:rsid w:val="00362576"/>
    <w:rsid w:val="00364800"/>
    <w:rsid w:val="0037059B"/>
    <w:rsid w:val="003835C0"/>
    <w:rsid w:val="003C013A"/>
    <w:rsid w:val="003C61A5"/>
    <w:rsid w:val="00403E7F"/>
    <w:rsid w:val="00412076"/>
    <w:rsid w:val="004123DD"/>
    <w:rsid w:val="0042576F"/>
    <w:rsid w:val="00487CBF"/>
    <w:rsid w:val="00496E5E"/>
    <w:rsid w:val="004D1672"/>
    <w:rsid w:val="0050700F"/>
    <w:rsid w:val="0051368C"/>
    <w:rsid w:val="00513D4C"/>
    <w:rsid w:val="005507FF"/>
    <w:rsid w:val="00570821"/>
    <w:rsid w:val="00592C1F"/>
    <w:rsid w:val="005A006A"/>
    <w:rsid w:val="005A1E38"/>
    <w:rsid w:val="005C401C"/>
    <w:rsid w:val="005F682C"/>
    <w:rsid w:val="00614470"/>
    <w:rsid w:val="00663212"/>
    <w:rsid w:val="006633FC"/>
    <w:rsid w:val="006755D8"/>
    <w:rsid w:val="006761CE"/>
    <w:rsid w:val="00677A7D"/>
    <w:rsid w:val="00684649"/>
    <w:rsid w:val="006968B3"/>
    <w:rsid w:val="00697D5F"/>
    <w:rsid w:val="006C29A9"/>
    <w:rsid w:val="007236E9"/>
    <w:rsid w:val="00727A0D"/>
    <w:rsid w:val="00732656"/>
    <w:rsid w:val="007362CB"/>
    <w:rsid w:val="00747DCB"/>
    <w:rsid w:val="00750933"/>
    <w:rsid w:val="00761E5A"/>
    <w:rsid w:val="00761F90"/>
    <w:rsid w:val="00766C57"/>
    <w:rsid w:val="007963C9"/>
    <w:rsid w:val="007D759D"/>
    <w:rsid w:val="00802FF5"/>
    <w:rsid w:val="00812CB0"/>
    <w:rsid w:val="00825A26"/>
    <w:rsid w:val="0083435C"/>
    <w:rsid w:val="00852946"/>
    <w:rsid w:val="008D4207"/>
    <w:rsid w:val="00901E32"/>
    <w:rsid w:val="00905E14"/>
    <w:rsid w:val="00914A37"/>
    <w:rsid w:val="009324D2"/>
    <w:rsid w:val="009359FF"/>
    <w:rsid w:val="00944B5D"/>
    <w:rsid w:val="00956643"/>
    <w:rsid w:val="009709BF"/>
    <w:rsid w:val="009723C2"/>
    <w:rsid w:val="00977387"/>
    <w:rsid w:val="00980BE7"/>
    <w:rsid w:val="009831F0"/>
    <w:rsid w:val="009A71F7"/>
    <w:rsid w:val="009C2FEA"/>
    <w:rsid w:val="009D2FEB"/>
    <w:rsid w:val="009E29C7"/>
    <w:rsid w:val="009E2E41"/>
    <w:rsid w:val="00A02697"/>
    <w:rsid w:val="00A05D0B"/>
    <w:rsid w:val="00A165AC"/>
    <w:rsid w:val="00A25E0A"/>
    <w:rsid w:val="00A315E5"/>
    <w:rsid w:val="00A332F2"/>
    <w:rsid w:val="00A33A05"/>
    <w:rsid w:val="00A653CA"/>
    <w:rsid w:val="00A87C2D"/>
    <w:rsid w:val="00AC4F92"/>
    <w:rsid w:val="00AF3A15"/>
    <w:rsid w:val="00B05EF7"/>
    <w:rsid w:val="00B168B4"/>
    <w:rsid w:val="00B43E77"/>
    <w:rsid w:val="00B65B0C"/>
    <w:rsid w:val="00B73F4E"/>
    <w:rsid w:val="00B7406A"/>
    <w:rsid w:val="00B74202"/>
    <w:rsid w:val="00BB37DD"/>
    <w:rsid w:val="00BD1120"/>
    <w:rsid w:val="00C062CF"/>
    <w:rsid w:val="00C12685"/>
    <w:rsid w:val="00C642A8"/>
    <w:rsid w:val="00CA2171"/>
    <w:rsid w:val="00CC1AA3"/>
    <w:rsid w:val="00CE23EA"/>
    <w:rsid w:val="00CF4C2C"/>
    <w:rsid w:val="00D36E57"/>
    <w:rsid w:val="00D611D7"/>
    <w:rsid w:val="00D611FE"/>
    <w:rsid w:val="00D62BA4"/>
    <w:rsid w:val="00D776BD"/>
    <w:rsid w:val="00D96FA1"/>
    <w:rsid w:val="00DA5722"/>
    <w:rsid w:val="00DF4714"/>
    <w:rsid w:val="00E01A0B"/>
    <w:rsid w:val="00E37E56"/>
    <w:rsid w:val="00E42131"/>
    <w:rsid w:val="00E432EA"/>
    <w:rsid w:val="00E76B60"/>
    <w:rsid w:val="00E8153C"/>
    <w:rsid w:val="00E9350E"/>
    <w:rsid w:val="00E96CE8"/>
    <w:rsid w:val="00EB27F2"/>
    <w:rsid w:val="00EC4308"/>
    <w:rsid w:val="00F05181"/>
    <w:rsid w:val="00F06878"/>
    <w:rsid w:val="00F13ED5"/>
    <w:rsid w:val="00F3236C"/>
    <w:rsid w:val="00F347BD"/>
    <w:rsid w:val="00F52BBF"/>
    <w:rsid w:val="00F57D00"/>
    <w:rsid w:val="00FB2BD1"/>
    <w:rsid w:val="00FC183E"/>
    <w:rsid w:val="00FE154E"/>
    <w:rsid w:val="0221260B"/>
    <w:rsid w:val="03C74374"/>
    <w:rsid w:val="066F3645"/>
    <w:rsid w:val="0870581B"/>
    <w:rsid w:val="08CC5F7D"/>
    <w:rsid w:val="0A8551CF"/>
    <w:rsid w:val="12955E7E"/>
    <w:rsid w:val="134E1905"/>
    <w:rsid w:val="14DD3B69"/>
    <w:rsid w:val="1B330838"/>
    <w:rsid w:val="1BAD3947"/>
    <w:rsid w:val="1C20323A"/>
    <w:rsid w:val="1F1E6B1C"/>
    <w:rsid w:val="29F36C5E"/>
    <w:rsid w:val="2D8828F9"/>
    <w:rsid w:val="311B7830"/>
    <w:rsid w:val="31786C7B"/>
    <w:rsid w:val="34421F20"/>
    <w:rsid w:val="353739F2"/>
    <w:rsid w:val="38A81BB8"/>
    <w:rsid w:val="3C062FB8"/>
    <w:rsid w:val="46107152"/>
    <w:rsid w:val="475278BE"/>
    <w:rsid w:val="4A631F37"/>
    <w:rsid w:val="4D10183F"/>
    <w:rsid w:val="534D0334"/>
    <w:rsid w:val="53755FB2"/>
    <w:rsid w:val="5723151E"/>
    <w:rsid w:val="5BD742B5"/>
    <w:rsid w:val="5BEF1FE7"/>
    <w:rsid w:val="732A50AC"/>
    <w:rsid w:val="74DF584C"/>
    <w:rsid w:val="758E6242"/>
    <w:rsid w:val="798F6B00"/>
    <w:rsid w:val="7F1A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10" w:after="10" w:line="240" w:lineRule="auto"/>
      <w:ind w:firstLine="880"/>
      <w:outlineLvl w:val="0"/>
    </w:pPr>
    <w:rPr>
      <w:b/>
      <w:kern w:val="44"/>
      <w:sz w:val="32"/>
    </w:rPr>
  </w:style>
  <w:style w:type="paragraph" w:styleId="3">
    <w:name w:val="heading 2"/>
    <w:basedOn w:val="1"/>
    <w:next w:val="1"/>
    <w:qFormat/>
    <w:uiPriority w:val="9"/>
    <w:pPr>
      <w:keepNext/>
      <w:keepLines/>
      <w:spacing w:line="240" w:lineRule="auto"/>
      <w:outlineLvl w:val="1"/>
    </w:pPr>
    <w:rPr>
      <w:rFonts w:ascii="Arial" w:hAnsi="Arial"/>
      <w:b/>
      <w:sz w:val="28"/>
    </w:rPr>
  </w:style>
  <w:style w:type="paragraph" w:styleId="4">
    <w:name w:val="heading 3"/>
    <w:basedOn w:val="1"/>
    <w:next w:val="1"/>
    <w:link w:val="20"/>
    <w:qFormat/>
    <w:uiPriority w:val="9"/>
    <w:pPr>
      <w:keepNext/>
      <w:keepLines/>
      <w:spacing w:line="240" w:lineRule="auto"/>
      <w:ind w:firstLine="880"/>
      <w:outlineLvl w:val="2"/>
    </w:pPr>
    <w:rPr>
      <w:b/>
    </w:rPr>
  </w:style>
  <w:style w:type="paragraph" w:styleId="5">
    <w:name w:val="heading 4"/>
    <w:basedOn w:val="1"/>
    <w:next w:val="1"/>
    <w:qFormat/>
    <w:uiPriority w:val="9"/>
    <w:pPr>
      <w:keepNext/>
      <w:keepLines/>
      <w:ind w:firstLine="0" w:firstLineChars="0"/>
      <w:outlineLvl w:val="3"/>
    </w:pPr>
    <w:rPr>
      <w:rFonts w:ascii="Arial" w:hAnsi="Arial"/>
      <w:sz w:val="21"/>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toc 3"/>
    <w:basedOn w:val="1"/>
    <w:next w:val="1"/>
    <w:qFormat/>
    <w:uiPriority w:val="0"/>
    <w:pPr>
      <w:ind w:left="840" w:leftChars="400"/>
    </w:pPr>
  </w:style>
  <w:style w:type="paragraph" w:styleId="8">
    <w:name w:val="Balloon Text"/>
    <w:basedOn w:val="1"/>
    <w:link w:val="21"/>
    <w:unhideWhenUsed/>
    <w:qFormat/>
    <w:uiPriority w:val="99"/>
    <w:rPr>
      <w:sz w:val="18"/>
      <w:szCs w:val="18"/>
    </w:rPr>
  </w:style>
  <w:style w:type="paragraph" w:styleId="9">
    <w:name w:val="footer"/>
    <w:basedOn w:val="1"/>
    <w:uiPriority w:val="0"/>
    <w:pPr>
      <w:tabs>
        <w:tab w:val="center" w:pos="4153"/>
        <w:tab w:val="right" w:pos="8306"/>
      </w:tabs>
      <w:snapToGrid w:val="0"/>
    </w:pPr>
    <w:rPr>
      <w:sz w:val="18"/>
    </w:rPr>
  </w:style>
  <w:style w:type="paragraph" w:styleId="10">
    <w:name w:val="header"/>
    <w:basedOn w:val="1"/>
    <w:link w:val="24"/>
    <w:uiPriority w:val="0"/>
    <w:pPr>
      <w:tabs>
        <w:tab w:val="center" w:pos="4153"/>
        <w:tab w:val="right" w:pos="8306"/>
      </w:tabs>
      <w:snapToGrid w:val="0"/>
      <w:spacing w:line="240" w:lineRule="auto"/>
      <w:jc w:val="center"/>
    </w:pPr>
    <w:rPr>
      <w:sz w:val="18"/>
      <w:szCs w:val="18"/>
    </w:rPr>
  </w:style>
  <w:style w:type="paragraph" w:styleId="11">
    <w:name w:val="toc 1"/>
    <w:basedOn w:val="1"/>
    <w:next w:val="1"/>
    <w:qFormat/>
    <w:uiPriority w:val="39"/>
    <w:pPr>
      <w:tabs>
        <w:tab w:val="right" w:leader="dot" w:pos="8296"/>
      </w:tabs>
      <w:ind w:firstLine="0" w:firstLineChars="0"/>
    </w:pPr>
    <w:rPr>
      <w:rFonts w:eastAsia="黑体"/>
    </w:rPr>
  </w:style>
  <w:style w:type="paragraph" w:styleId="12">
    <w:name w:val="Subtitle"/>
    <w:basedOn w:val="1"/>
    <w:next w:val="1"/>
    <w:link w:val="22"/>
    <w:qFormat/>
    <w:uiPriority w:val="11"/>
    <w:pPr>
      <w:spacing w:before="240" w:after="60" w:line="312" w:lineRule="auto"/>
      <w:jc w:val="center"/>
      <w:outlineLvl w:val="1"/>
    </w:pPr>
    <w:rPr>
      <w:rFonts w:ascii="等线 Light" w:hAnsi="等线 Light"/>
      <w:b/>
      <w:bCs/>
      <w:kern w:val="28"/>
      <w:sz w:val="32"/>
      <w:szCs w:val="32"/>
    </w:rPr>
  </w:style>
  <w:style w:type="paragraph" w:styleId="13">
    <w:name w:val="toc 2"/>
    <w:basedOn w:val="1"/>
    <w:next w:val="1"/>
    <w:unhideWhenUsed/>
    <w:uiPriority w:val="39"/>
    <w:pPr>
      <w:tabs>
        <w:tab w:val="right" w:leader="dot" w:pos="7927"/>
      </w:tabs>
      <w:ind w:firstLine="880"/>
      <w:jc w:val="right"/>
    </w:pPr>
  </w:style>
  <w:style w:type="paragraph" w:styleId="14">
    <w:name w:val="Normal (Web)"/>
    <w:basedOn w:val="1"/>
    <w:unhideWhenUsed/>
    <w:uiPriority w:val="99"/>
    <w:pPr>
      <w:widowControl/>
      <w:spacing w:beforeAutospacing="1" w:afterAutospacing="1"/>
    </w:pPr>
    <w:rPr>
      <w:rFonts w:ascii="宋体" w:hAnsi="宋体"/>
      <w:kern w:val="0"/>
    </w:rPr>
  </w:style>
  <w:style w:type="paragraph" w:styleId="15">
    <w:name w:val="Title"/>
    <w:basedOn w:val="1"/>
    <w:next w:val="1"/>
    <w:link w:val="23"/>
    <w:qFormat/>
    <w:uiPriority w:val="10"/>
    <w:pPr>
      <w:spacing w:before="240" w:after="60"/>
      <w:jc w:val="center"/>
      <w:outlineLvl w:val="0"/>
    </w:pPr>
    <w:rPr>
      <w:rFonts w:ascii="等线 Light" w:hAnsi="等线 Light"/>
      <w:b/>
      <w:bCs/>
      <w:sz w:val="44"/>
      <w:szCs w:val="32"/>
    </w:rPr>
  </w:style>
  <w:style w:type="table" w:styleId="17">
    <w:name w:val="Table Grid"/>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unhideWhenUsed/>
    <w:uiPriority w:val="99"/>
    <w:rPr>
      <w:color w:val="0563C1"/>
      <w:u w:val="single"/>
    </w:rPr>
  </w:style>
  <w:style w:type="character" w:customStyle="1" w:styleId="20">
    <w:name w:val="标题 3 字符"/>
    <w:link w:val="4"/>
    <w:qFormat/>
    <w:uiPriority w:val="9"/>
    <w:rPr>
      <w:b/>
    </w:rPr>
  </w:style>
  <w:style w:type="character" w:customStyle="1" w:styleId="21">
    <w:name w:val="批注框文本 字符"/>
    <w:link w:val="8"/>
    <w:semiHidden/>
    <w:qFormat/>
    <w:uiPriority w:val="99"/>
    <w:rPr>
      <w:sz w:val="18"/>
      <w:szCs w:val="18"/>
    </w:rPr>
  </w:style>
  <w:style w:type="character" w:customStyle="1" w:styleId="22">
    <w:name w:val="副标题 字符"/>
    <w:link w:val="12"/>
    <w:uiPriority w:val="11"/>
    <w:rPr>
      <w:rFonts w:ascii="等线 Light" w:hAnsi="等线 Light" w:cs="Times New Roman"/>
      <w:b/>
      <w:bCs/>
      <w:kern w:val="28"/>
      <w:sz w:val="32"/>
      <w:szCs w:val="32"/>
    </w:rPr>
  </w:style>
  <w:style w:type="character" w:customStyle="1" w:styleId="23">
    <w:name w:val="标题 字符"/>
    <w:link w:val="15"/>
    <w:uiPriority w:val="10"/>
    <w:rPr>
      <w:rFonts w:ascii="等线 Light" w:hAnsi="等线 Light" w:eastAsia="宋体" w:cs="Times New Roman"/>
      <w:b/>
      <w:bCs/>
      <w:kern w:val="2"/>
      <w:sz w:val="44"/>
      <w:szCs w:val="32"/>
    </w:rPr>
  </w:style>
  <w:style w:type="character" w:customStyle="1" w:styleId="24">
    <w:name w:val="页眉 字符"/>
    <w:link w:val="10"/>
    <w:uiPriority w:val="0"/>
    <w:rPr>
      <w:kern w:val="2"/>
      <w:sz w:val="18"/>
      <w:szCs w:val="18"/>
    </w:rPr>
  </w:style>
  <w:style w:type="character" w:styleId="25">
    <w:name w:val="Placeholder Text"/>
    <w:basedOn w:val="18"/>
    <w:unhideWhenUsed/>
    <w:uiPriority w:val="99"/>
    <w:rPr>
      <w:color w:val="666666"/>
    </w:rPr>
  </w:style>
  <w:style w:type="table" w:customStyle="1" w:styleId="26">
    <w:name w:val="Plain Table 3"/>
    <w:basedOn w:val="16"/>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7">
    <w:name w:val="Grid Table Light"/>
    <w:basedOn w:val="16"/>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8">
    <w:name w:val="Plain Table 2"/>
    <w:basedOn w:val="16"/>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35F60-A409-486F-8BA1-967559BDD4FF}">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21</Pages>
  <Words>5183</Words>
  <Characters>5743</Characters>
  <Lines>461</Lines>
  <Paragraphs>405</Paragraphs>
  <TotalTime>1216</TotalTime>
  <ScaleCrop>false</ScaleCrop>
  <LinksUpToDate>false</LinksUpToDate>
  <CharactersWithSpaces>5934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2026-10-02T12:03:00Z</dcterms:created>
  <dc:creator>Windows User</dc:creator>
  <cp:lastModifiedBy>siesta</cp:lastModifiedBy>
  <dcterms:modified xsi:type="dcterms:W3CDTF">2026-10-09T16:04:52Z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eyJoZGlkIjoiNGUwNzEzZTA2NWI4NWJjMDM3ZWUwZTcyYTJjZWE0MGIiLCJ1c2VySWQiOiIxMzYwNTAzOTU4In0=</vt:lpwstr>
  </property>
  <property fmtid="{D5CDD505-2E9C-101B-9397-08002B2CF9AE}" pid="3" name="KSOProductBuildVer">
    <vt:lpwstr>2052-12.1.0.28505</vt:lpwstr>
  </property>
  <property fmtid="{D5CDD505-2E9C-101B-9397-08002B2CF9AE}" pid="4" name="ICV">
    <vt:lpwstr>DACA659879734AFCB988ED74E26BFAA7_13</vt:lpwstr>
  </property>
</Properties>
</file>