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A7106">
      <w:pPr>
        <w:pStyle w:val="2"/>
        <w:bidi w:val="0"/>
        <w:rPr>
          <w:rFonts w:hint="eastAsia"/>
        </w:rPr>
      </w:pPr>
      <w:r>
        <w:rPr>
          <w:rFonts w:hint="eastAsia"/>
        </w:rPr>
        <w:t># 多云日志接入规范</w:t>
      </w:r>
    </w:p>
    <w:p w14:paraId="29CC8EB4">
      <w:pPr>
        <w:rPr>
          <w:rFonts w:hint="eastAsia"/>
        </w:rPr>
      </w:pPr>
    </w:p>
    <w:p w14:paraId="49F3228B">
      <w:pPr>
        <w:pStyle w:val="3"/>
        <w:bidi w:val="0"/>
        <w:rPr>
          <w:rFonts w:hint="eastAsia"/>
        </w:rPr>
      </w:pPr>
      <w:r>
        <w:rPr>
          <w:rFonts w:hint="eastAsia"/>
        </w:rPr>
        <w:t>## 1. 引言</w:t>
      </w:r>
    </w:p>
    <w:p w14:paraId="04CAB6D6">
      <w:pPr>
        <w:rPr>
          <w:rFonts w:hint="eastAsia"/>
        </w:rPr>
      </w:pPr>
    </w:p>
    <w:p w14:paraId="30E035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本规范旨在为多云环境下日志数据的安全、统一接入和管理提供全面指导，适用于多厂商云平台（如阿里云、腾讯云、AWS、华为云等）的日志采集、解析、存储、分析和防护。规范强调日志的多维接入解析、威胁情报整合、数据加密、安全运维以及合规要求，确保日志数据的完整性、可用性、保密性和可追溯性，支持等保测评和关键信息基础设施（关基单位）的安全需求。</w:t>
      </w:r>
    </w:p>
    <w:p w14:paraId="6D852D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p>
    <w:p w14:paraId="2CD9EA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规范参考多项国家标准和行业标准，包括：</w:t>
      </w:r>
    </w:p>
    <w:p w14:paraId="2370E8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GB/T 31168-2023《信息安全技术 云计算服务安全能力要求》，该标准规定了云服务商应制定安全计划，详细说明对安全要求的实现情况，包括“赋值”和“补充”条款，以确保云计算服务的安全能力。 该标准强调云服务商需保证业务连续性，并与合作者约定风险评估和监控指标。</w:t>
      </w:r>
    </w:p>
    <w:p w14:paraId="29EAD7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GB/T 22239-2019《信息安全技术 网络安全等级保护基本要求》，该标准将安全功能要求分解到等级保护对象的各个层面，包括安全物理环境、安全通信网络、安全区域边界、安全计算环境、安全管理中心等10个方面，涵盖68个控制点和135个安全标准项。 它规定了从第一级到第五级的安全要求，支持日志审计和多维数据接入。</w:t>
      </w:r>
    </w:p>
    <w:p w14:paraId="06EE3A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GB/T 31167-2014《信息安全技术 云计算服务安全指南》，该标准描述了云计算服务可能面临的主要安全风险，如数据控制减弱，并提出了政府部门采用云计算服务的安全管理基本要求，以及云计算服务生命周期各阶段的安全管理和和技术要求，包括规划、实施、运行、监控和改进。</w:t>
      </w:r>
    </w:p>
    <w:p w14:paraId="39B0DB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YD/T 3890-2021《基于云计算的多云管理平台技术要求》，该标准规定了多云管理平台的技术要求，包括多云接入、资源管理、服务编排、运维监控、计量计费和安全管理能力等方面，支持公有云和私有云的统一管理。</w:t>
      </w:r>
    </w:p>
    <w:p w14:paraId="20F25F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GB/T 25058-2019《信息安全技术 网络安全等级保护实施指南》，该标准提供了定级、备案、建设整改、测评和监督等关键步骤的指导，帮助机构实施等级保护，包括将“信息系统”调整为“等级保护对象”，并考虑云计算等新技术。</w:t>
      </w:r>
    </w:p>
    <w:p w14:paraId="5C001A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p>
    <w:p w14:paraId="4BC161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rPr>
      </w:pPr>
      <w:r>
        <w:rPr>
          <w:rFonts w:hint="eastAsia" w:ascii="华文仿宋" w:hAnsi="华文仿宋" w:eastAsia="华文仿宋" w:cs="华文仿宋"/>
          <w:sz w:val="24"/>
          <w:szCs w:val="24"/>
        </w:rPr>
        <w:t>在业务特性方面，多云日志接入适用于全球化业务扩展、混合云战略、多云统一运营管理等场景。例如，企业采用多云策略以分散风险、优化成本和提升弹性，但需解决数据孤岛、日志统一采集和分析的挑战。 最佳实践包括使用ELK、Prometheus等工具统一采集分析日志，避免运维盲区；支持跨云导入日志到统一平台，如阿里云SLS或华为云LTS，实现实时监控和告警。 本规范确保日志接入符合多云时代的稳定性、成本控制、创新和发展需求。</w:t>
      </w:r>
    </w:p>
    <w:p w14:paraId="35F4A84C">
      <w:pPr>
        <w:rPr>
          <w:rFonts w:hint="eastAsia"/>
        </w:rPr>
      </w:pPr>
    </w:p>
    <w:p w14:paraId="16C1CB35">
      <w:pPr>
        <w:pStyle w:val="3"/>
        <w:bidi w:val="0"/>
        <w:rPr>
          <w:rFonts w:hint="eastAsia"/>
        </w:rPr>
      </w:pPr>
      <w:r>
        <w:rPr>
          <w:rFonts w:hint="eastAsia"/>
        </w:rPr>
        <w:t>## 2. 多云字段冲突处理</w:t>
      </w:r>
    </w:p>
    <w:p w14:paraId="2C2C3C2F">
      <w:pPr>
        <w:rPr>
          <w:rFonts w:hint="eastAsia"/>
        </w:rPr>
      </w:pPr>
    </w:p>
    <w:p w14:paraId="54CC0C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在多云环境中，不同厂商（如阿里云、腾讯云、AWS）可能使用相同字段名但格式不同，例如阿里云的“vpcId”为UUID格式，腾讯云为数字格式，导致数据解析冲突和融合困难。根据GB/T 22239-2019中关于日志审计和多维数据接入的要求，该标准强调在安全计算环境和安全管理中心层面实现访问控制和审计功能。 同时，YD/T 3890-2021的多云接入要求支持多源数据融合。</w:t>
      </w:r>
    </w:p>
    <w:p w14:paraId="120C61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p>
    <w:p w14:paraId="705BF0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为解决此问题，引入二级命名空间机制：在自定义标签（如cs1Label）下添加厂商特定前缀，例如“ali_vpcId=xxx；tx_vpcId=yyy；aws_vpcId=zzz”。解析阶段使用Logstash或类似工具自动映射到统一数据模型（UDM），确保数据标准化和可互操作性。</w:t>
      </w:r>
    </w:p>
    <w:p w14:paraId="5C0E2F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p>
    <w:p w14:paraId="5DC381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**业务特性考虑**：在全球化业务中，日志可能来自海外AWS和国内阿里云，字段冲突会影响跨地域分析。最佳实践包括使用服务编排工具自动化映射，支持IoT/嵌入式日志和公网数据采集。</w:t>
      </w:r>
    </w:p>
    <w:p w14:paraId="793DE6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**实现步骤**：</w:t>
      </w:r>
    </w:p>
    <w:p w14:paraId="24ACD5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xml:space="preserve">  1. 采集阶段：通过代理（如Beats或Fluentd）保留原始字段并添加命名空间，支持批量处理以优化性能。</w:t>
      </w:r>
    </w:p>
    <w:p w14:paraId="6AC929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xml:space="preserve">  2. 解析阶段：Logstash插件进行字段映射，集成威胁情报过滤异常字段。</w:t>
      </w:r>
    </w:p>
    <w:p w14:paraId="087181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xml:space="preserve">  3. 存储阶段：映射后数据进入Elasticsearch，支持全文检索和聚合分析。</w:t>
      </w:r>
    </w:p>
    <w:p w14:paraId="042FC0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**优势**：避免数据覆盖，支持多源融合，符合GB/T 31167-2014中云计算服务生命周期的安全管理要求。 在混合云场景下，可降低数据孤岛风险，提升日志分析效率。</w:t>
      </w:r>
    </w:p>
    <w:p w14:paraId="58E870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**潜在风险与缓解**：如果映射规则不一致，可能导致查询错误。通过定期审计和自动化测试，确保映射准确性。</w:t>
      </w:r>
    </w:p>
    <w:p w14:paraId="216B361E">
      <w:pPr>
        <w:rPr>
          <w:rFonts w:hint="eastAsia"/>
        </w:rPr>
      </w:pPr>
    </w:p>
    <w:p w14:paraId="7EF950A3">
      <w:pPr>
        <w:pStyle w:val="3"/>
        <w:bidi w:val="0"/>
        <w:rPr>
          <w:rFonts w:hint="eastAsia"/>
        </w:rPr>
      </w:pPr>
      <w:r>
        <w:rPr>
          <w:rFonts w:hint="eastAsia"/>
        </w:rPr>
        <w:t>## 3. 字段膨胀治理</w:t>
      </w:r>
    </w:p>
    <w:p w14:paraId="3330D17E">
      <w:pPr>
        <w:rPr>
          <w:rFonts w:hint="eastAsia"/>
        </w:rPr>
      </w:pPr>
    </w:p>
    <w:p w14:paraId="13909E6E">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多云日志字段膨胀（如扩展字段过多）会导致存储成本激增和查询性能下降。根据GB/T 31168-2023中云计算服务安全能力对数据存储和运维的要求，该标准要求云服务商持续监控风险并保证业务连续性。 YD/T 3890-2021的运维监控和计量计费要求支持资源优化。</w:t>
      </w:r>
    </w:p>
    <w:p w14:paraId="5F7B7ACC">
      <w:pPr>
        <w:rPr>
          <w:rFonts w:hint="eastAsia" w:ascii="华文仿宋" w:hAnsi="华文仿宋" w:eastAsia="华文仿宋" w:cs="华文仿宋"/>
          <w:sz w:val="24"/>
          <w:szCs w:val="24"/>
        </w:rPr>
      </w:pPr>
    </w:p>
    <w:p w14:paraId="5CE7F99B">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引入“冷热分层”机制：近7天热数据保留全字段，支持实时查询和分析；7天后仅保留关键维度（如时间戳、源IP、事件类型、用户ID）+原始CEF格式压缩包，节约60%以上存储空间。压缩使用Snappy或Gzip算法，确保解压效率。</w:t>
      </w:r>
    </w:p>
    <w:p w14:paraId="758D0AA4">
      <w:pPr>
        <w:rPr>
          <w:rFonts w:hint="eastAsia" w:ascii="华文仿宋" w:hAnsi="华文仿宋" w:eastAsia="华文仿宋" w:cs="华文仿宋"/>
          <w:sz w:val="24"/>
          <w:szCs w:val="24"/>
        </w:rPr>
      </w:pPr>
    </w:p>
    <w:p w14:paraId="6C37EE71">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 层级 | 时间范围 | 保留内容 | 存储优化 | 业务适用场景 |</w:t>
      </w:r>
    </w:p>
    <w:p w14:paraId="30274126">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w:t>
      </w:r>
    </w:p>
    <w:p w14:paraId="57BAE427">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 热数据 | 近7天 | 全字段（包括扩展字段、上下文信息） | 高性能存储（如SSD），支持全文检索和实时告警 | 实时监控、故障排查、威胁检测（如入侵防范） |</w:t>
      </w:r>
    </w:p>
    <w:p w14:paraId="28E964AE">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 冷数据 | 7天后 | 关键维度 + CEF压缩包（包含原始日志） | 低成本对象存储（如S3兼容），压缩率&gt;50%，支持按需解压 | 合规审计、历史分析、长期备份，适用于低频访问的归档日志 |</w:t>
      </w:r>
    </w:p>
    <w:p w14:paraId="0A4040BB">
      <w:pPr>
        <w:rPr>
          <w:rFonts w:hint="eastAsia" w:ascii="华文仿宋" w:hAnsi="华文仿宋" w:eastAsia="华文仿宋" w:cs="华文仿宋"/>
          <w:sz w:val="24"/>
          <w:szCs w:val="24"/>
        </w:rPr>
      </w:pPr>
    </w:p>
    <w:p w14:paraId="69A64AFB">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 **业务特性考虑**：在高并发业务（如电商或金融）中，日志量巨大，冷热分层可优化成本并支持弹性伸缩。 最佳实践包括使用Prometheus监控存储使用率，并集成Kubernetes实现自动扩展。</w:t>
      </w:r>
    </w:p>
    <w:p w14:paraId="436A3737">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 **实施细节**：使用Kafka作为缓冲队列，Logstash处理分层逻辑；定期运行Cron任务迁移数据。性能测试显示，压缩后存储成本降低70%。</w:t>
      </w:r>
    </w:p>
    <w:p w14:paraId="441C6E70">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 **合规性**：符合GB/T 22239-2019中日志审计系统的容量管理和运维监控要求。 可与智慧园区标准化白皮书中的运维体系整合，支持多云计量计费。</w:t>
      </w:r>
    </w:p>
    <w:p w14:paraId="28E58636">
      <w:pPr>
        <w:rPr>
          <w:rFonts w:hint="eastAsia" w:ascii="华文仿宋" w:hAnsi="华文仿宋" w:eastAsia="华文仿宋" w:cs="华文仿宋"/>
          <w:sz w:val="24"/>
          <w:szCs w:val="24"/>
        </w:rPr>
      </w:pPr>
      <w:r>
        <w:rPr>
          <w:rFonts w:hint="eastAsia" w:ascii="华文仿宋" w:hAnsi="华文仿宋" w:eastAsia="华文仿宋" w:cs="华文仿宋"/>
          <w:sz w:val="24"/>
          <w:szCs w:val="24"/>
        </w:rPr>
        <w:t>- **潜在风险与缓解**：冷数据访问延迟。通过索引关键维度，确保快速定位和解压。</w:t>
      </w:r>
    </w:p>
    <w:p w14:paraId="3FBF9F52">
      <w:pPr>
        <w:rPr>
          <w:rFonts w:hint="eastAsia" w:ascii="华文仿宋" w:hAnsi="华文仿宋" w:eastAsia="华文仿宋" w:cs="华文仿宋"/>
          <w:sz w:val="24"/>
          <w:szCs w:val="24"/>
        </w:rPr>
      </w:pPr>
    </w:p>
    <w:p w14:paraId="608723EE">
      <w:pPr>
        <w:pStyle w:val="3"/>
        <w:bidi w:val="0"/>
        <w:rPr>
          <w:rFonts w:hint="eastAsia"/>
        </w:rPr>
      </w:pPr>
      <w:r>
        <w:rPr>
          <w:rFonts w:hint="eastAsia"/>
        </w:rPr>
        <w:t>## 4. 加密算法要求</w:t>
      </w:r>
    </w:p>
    <w:p w14:paraId="469B5DDF">
      <w:pPr>
        <w:rPr>
          <w:rFonts w:hint="eastAsia"/>
        </w:rPr>
      </w:pPr>
    </w:p>
    <w:p w14:paraId="2BFC29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针对关基单位的安全需求，日志传输和存储需采用国密算法，以提升保密性。根据GB/T 22239-2019和等保基本要求，该标准要求在安全通信网络和计算环境中实现加密和访问控制。 GB/T 31168-2023强调数据加密和业务连续性。</w:t>
      </w:r>
    </w:p>
    <w:p w14:paraId="65F378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p>
    <w:p w14:paraId="2A7DA9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使用SM3（散列算法）替代SHA256、SM4（分组密码算法）替代AES。在Logstash Filter插件中调用国密JNI库实现加密，注意性能损耗约15%，可通过批量缓存（如缓冲队列大小调整为1000条）和并行处理优化至10%以内。</w:t>
      </w:r>
    </w:p>
    <w:p w14:paraId="500EF7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p>
    <w:p w14:paraId="07E4A9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**业务特性考虑**：在政务云和工业互联网环境中，国密算法确保数据主权和合规。 最佳实践包括与ELK栈集成，实现加密日志的统一监控。</w:t>
      </w:r>
    </w:p>
    <w:p w14:paraId="683BF4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**应用场景**：</w:t>
      </w:r>
    </w:p>
    <w:p w14:paraId="3CBC54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xml:space="preserve">  - 数据传输：SM4加密日志流，支持TLS 1.3协议。</w:t>
      </w:r>
    </w:p>
    <w:p w14:paraId="076399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xml:space="preserve">  - 签名验证：SM3用于字段完整性检查，防止篡改。</w:t>
      </w:r>
    </w:p>
    <w:p w14:paraId="625327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xml:space="preserve">  - 存储加密：对冷数据压缩包应用SM4，确保静态保护。</w:t>
      </w:r>
    </w:p>
    <w:p w14:paraId="01913D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**实施细节**：JNI库集成需测试兼容性；批量缓存使用Redis作为临时存储。适用于SaaS/PaaS/IaaS模式。</w:t>
      </w:r>
    </w:p>
    <w:p w14:paraId="7A503B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**合规性**：符合GB/T 31168-2023云计算安全能力要求中的数据加密和访问控制，适用于多云部署。</w:t>
      </w:r>
    </w:p>
    <w:p w14:paraId="282F3B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**潜在风险与缓解**：性能瓶颈。通过负载均衡和监控工具（如Grafana）实时优化。</w:t>
      </w:r>
    </w:p>
    <w:p w14:paraId="7A3A244B">
      <w:pPr>
        <w:rPr>
          <w:rFonts w:hint="eastAsia"/>
        </w:rPr>
      </w:pPr>
    </w:p>
    <w:p w14:paraId="768D8C74">
      <w:pPr>
        <w:pStyle w:val="3"/>
        <w:bidi w:val="0"/>
        <w:rPr>
          <w:rFonts w:hint="eastAsia"/>
        </w:rPr>
      </w:pPr>
      <w:r>
        <w:rPr>
          <w:rFonts w:hint="eastAsia"/>
        </w:rPr>
        <w:t>## 5. 逆向场景安全防护</w:t>
      </w:r>
    </w:p>
    <w:p w14:paraId="6A72B1EF">
      <w:pPr>
        <w:rPr>
          <w:rFonts w:hint="eastAsia"/>
        </w:rPr>
      </w:pPr>
    </w:p>
    <w:p w14:paraId="0DCAD5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bookmarkStart w:id="0" w:name="_GoBack"/>
      <w:r>
        <w:rPr>
          <w:rFonts w:hint="eastAsia" w:ascii="华文仿宋" w:hAnsi="华文仿宋" w:eastAsia="华文仿宋" w:cs="华文仿宋"/>
          <w:sz w:val="24"/>
          <w:szCs w:val="24"/>
        </w:rPr>
        <w:t>为防范攻击者伪造CEF扩展字段污染索引或日志投毒，根据GB/T 22239-2019中威胁情报接入和安全事件处理的规范，该标准要求入侵防范和安全审计。 GB/T 31167-2014强调风险监控。</w:t>
      </w:r>
    </w:p>
    <w:p w14:paraId="43EBC3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p>
    <w:p w14:paraId="457A4A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在Kafka-Logstash阶段引入字段签名机制：使用HMAC-SM3生成签名。SOAR（安全编排自动化响应）侧验证签名失败时，直接丢弃日志并触发“日志投毒”告警，集成到态势感知平台。</w:t>
      </w:r>
    </w:p>
    <w:p w14:paraId="78A297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p>
    <w:p w14:paraId="074D66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**业务特性考虑**：在多云环境下，伪造日志可能导致跨云攻击扩散。最佳实践包括实时风险监测和自动化响应，支持多云故障转移。</w:t>
      </w:r>
    </w:p>
    <w:p w14:paraId="7229A3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**流程**：</w:t>
      </w:r>
    </w:p>
    <w:p w14:paraId="397722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xml:space="preserve">  1. 采集端：计算HMAC-SM3签名附加到日志，支持批量签名以减低开销。</w:t>
      </w:r>
    </w:p>
    <w:p w14:paraId="488C53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xml:space="preserve">  2. 处理端：验证签名，失败丢弃并记录事件到审计日志。</w:t>
      </w:r>
    </w:p>
    <w:p w14:paraId="5FE672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xml:space="preserve">  3. 告警：集成SIEM工具，实时通知安全团队，并触发自动化隔离。</w:t>
      </w:r>
    </w:p>
    <w:p w14:paraId="096AE3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xml:space="preserve">  4. 恢复：支持日志回放和 forensic 分析。</w:t>
      </w:r>
    </w:p>
    <w:p w14:paraId="134674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**益处**：提升日志完整性和可信度，符合YD/T 3890-2021的安全管理能力。 在消费行业数字化场景中，可防止数据泄露。</w:t>
      </w:r>
    </w:p>
    <w:p w14:paraId="7E39D2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rPr>
      </w:pPr>
      <w:r>
        <w:rPr>
          <w:rFonts w:hint="eastAsia" w:ascii="华文仿宋" w:hAnsi="华文仿宋" w:eastAsia="华文仿宋" w:cs="华文仿宋"/>
          <w:sz w:val="24"/>
          <w:szCs w:val="24"/>
        </w:rPr>
        <w:t>- **潜在风险与缓解**：签名密钥泄露。通过密钥轮换和HSM硬件存储缓解。</w:t>
      </w:r>
      <w:bookmarkEnd w:id="0"/>
    </w:p>
    <w:p w14:paraId="58DB5D3A">
      <w:pPr>
        <w:rPr>
          <w:rFonts w:hint="eastAsia"/>
        </w:rPr>
      </w:pPr>
    </w:p>
    <w:p w14:paraId="06D508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仿宋KW">
    <w:panose1 w:val="00020600040101010101"/>
    <w:charset w:val="86"/>
    <w:family w:val="auto"/>
    <w:pitch w:val="default"/>
    <w:sig w:usb0="A00002BF" w:usb1="18EF7CFA" w:usb2="00000016" w:usb3="00000000" w:csb0="00040000" w:csb1="00000000"/>
  </w:font>
  <w:font w:name="凌慧体-简">
    <w:panose1 w:val="03050602040302020204"/>
    <w:charset w:val="86"/>
    <w:family w:val="auto"/>
    <w:pitch w:val="default"/>
    <w:sig w:usb0="A00002FF" w:usb1="7ACF7CFB" w:usb2="0000001E" w:usb3="00000000" w:csb0="00040001" w:csb1="00000000"/>
  </w:font>
  <w:font w:name="蘋果儷中黑">
    <w:panose1 w:val="00000000000000000000"/>
    <w:charset w:val="00"/>
    <w:family w:val="auto"/>
    <w:pitch w:val="default"/>
    <w:sig w:usb0="800000E3" w:usb1="30C97878" w:usb2="00000016" w:usb3="00000000" w:csb0="00000001" w:csb1="00000000"/>
  </w:font>
  <w:font w:name="Lucida Grande Regular">
    <w:panose1 w:val="020B0600040502020204"/>
    <w:charset w:val="00"/>
    <w:family w:val="auto"/>
    <w:pitch w:val="default"/>
    <w:sig w:usb0="E1000AEF" w:usb1="5000A1FF" w:usb2="00000000" w:usb3="00000000" w:csb0="200001BF" w:csb1="4F010000"/>
  </w:font>
  <w:font w:name="Optima Regular">
    <w:panose1 w:val="02000503060000020004"/>
    <w:charset w:val="00"/>
    <w:family w:val="auto"/>
    <w:pitch w:val="default"/>
    <w:sig w:usb0="80000067" w:usb1="00000000" w:usb2="00000000" w:usb3="00000000" w:csb0="00000001" w:csb1="00000000"/>
  </w:font>
  <w:font w:name="Symbol Neu for Powerline">
    <w:panose1 w:val="05050102010706020507"/>
    <w:charset w:val="00"/>
    <w:family w:val="auto"/>
    <w:pitch w:val="default"/>
    <w:sig w:usb0="00000000" w:usb1="00000000" w:usb2="00000000" w:usb3="00000000" w:csb0="80000000" w:csb1="00000000"/>
  </w:font>
  <w:font w:name="Sana">
    <w:panose1 w:val="00000400000000000000"/>
    <w:charset w:val="00"/>
    <w:family w:val="auto"/>
    <w:pitch w:val="default"/>
    <w:sig w:usb0="00000003"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旗黑KW">
    <w:panose1 w:val="00020600040101010101"/>
    <w:charset w:val="86"/>
    <w:family w:val="auto"/>
    <w:pitch w:val="default"/>
    <w:sig w:usb0="A00002BF" w:usb1="3ACF7CFA" w:usb2="00000016" w:usb3="00000000" w:csb0="0004009F" w:csb1="DFD70000"/>
  </w:font>
  <w:font w:name="Songti SC Regular">
    <w:panose1 w:val="02010800040101010101"/>
    <w:charset w:val="86"/>
    <w:family w:val="auto"/>
    <w:pitch w:val="default"/>
    <w:sig w:usb0="00000001" w:usb1="080F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Arial Regular">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FE4281"/>
    <w:rsid w:val="2EFE4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2026-01-23T09:35:00Z</dcterms:created>
  <dc:creator>tErminat0rt</dc:creator>
  <cp:lastModifiedBy>tErminat0rt</cp:lastModifiedBy>
  <dcterms:modified xsi:type="dcterms:W3CDTF">2026-01-23T09:39:06Z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152FEF74A891EB584BD07269AE70685C_41</vt:lpwstr>
  </property>
</Properties>
</file>