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Default="00140156">
      <w:hyperlink r:id="rId4" w:history="1">
        <w:r>
          <w:rPr>
            <w:rStyle w:val="Hyperlink"/>
          </w:rPr>
          <w:t>https://towardsdatascience.com/understanding-variational-autoencoders-vaes-f70510919f73</w:t>
        </w:r>
      </w:hyperlink>
      <w:bookmarkStart w:id="0" w:name="_GoBack"/>
      <w:bookmarkEnd w:id="0"/>
    </w:p>
    <w:sectPr w:rsidR="0078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48"/>
    <w:rsid w:val="00140156"/>
    <w:rsid w:val="00D03B9F"/>
    <w:rsid w:val="00D95D1F"/>
    <w:rsid w:val="00F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4A4A6-EB4E-4B8A-9B00-2ECFD1E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understanding-variational-autoencoders-vaes-f70510919f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Mohiuzzaman</dc:creator>
  <cp:keywords/>
  <dc:description/>
  <cp:lastModifiedBy>Mohiuzzaman</cp:lastModifiedBy>
  <cp:revision>2</cp:revision>
  <dcterms:created xsi:type="dcterms:W3CDTF">2020-06-15T15:22:00Z</dcterms:created>
  <dcterms:modified xsi:type="dcterms:W3CDTF">2020-06-15T15:22:00Z</dcterms:modified>
</cp:coreProperties>
</file>