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30"/>
        <w:tblpPr w:leftFromText="180" w:rightFromText="180" w:vertAnchor="page" w:horzAnchor="margin" w:tblpY="1621"/>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12" w:space="0"/>
        </w:tblBorders>
        <w:tblLayout w:type="fixed"/>
        <w:tblCellMar>
          <w:top w:w="0" w:type="dxa"/>
          <w:left w:w="28" w:type="dxa"/>
          <w:bottom w:w="0" w:type="dxa"/>
          <w:right w:w="28" w:type="dxa"/>
        </w:tblCellMar>
      </w:tblPr>
      <w:tblGrid>
        <w:gridCol w:w="3005"/>
        <w:gridCol w:w="8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12" w:space="0"/>
          </w:tblBorders>
          <w:tblCellMar>
            <w:top w:w="0" w:type="dxa"/>
            <w:left w:w="28" w:type="dxa"/>
            <w:bottom w:w="0" w:type="dxa"/>
            <w:right w:w="28" w:type="dxa"/>
          </w:tblCellMar>
        </w:tblPrEx>
        <w:trPr>
          <w:cantSplit/>
          <w:trHeight w:val="412" w:hRule="atLeast"/>
        </w:trPr>
        <w:tc>
          <w:tcPr>
            <w:tcW w:w="3005" w:type="dxa"/>
            <w:vAlign w:val="center"/>
          </w:tcPr>
          <w:p>
            <w:pPr>
              <w:autoSpaceDE w:val="0"/>
              <w:autoSpaceDN w:val="0"/>
              <w:snapToGrid w:val="0"/>
              <w:spacing w:line="240" w:lineRule="atLeast"/>
              <w:ind w:firstLine="0" w:firstLineChars="0"/>
              <w:jc w:val="center"/>
              <w:textAlignment w:val="bottom"/>
              <w:rPr>
                <w:b/>
                <w:color w:val="FF0000"/>
                <w:sz w:val="24"/>
                <w:highlight w:val="none"/>
              </w:rPr>
            </w:pPr>
            <w:r>
              <w:rPr>
                <w:b/>
                <w:sz w:val="24"/>
                <w:highlight w:val="none"/>
              </w:rPr>
              <w:t>卷册检索号</w:t>
            </w:r>
          </w:p>
        </w:tc>
        <w:tc>
          <w:tcPr>
            <w:tcW w:w="851" w:type="dxa"/>
            <w:vAlign w:val="center"/>
          </w:tcPr>
          <w:p>
            <w:pPr>
              <w:autoSpaceDE w:val="0"/>
              <w:autoSpaceDN w:val="0"/>
              <w:snapToGrid w:val="0"/>
              <w:spacing w:line="240" w:lineRule="atLeast"/>
              <w:ind w:firstLine="0" w:firstLineChars="0"/>
              <w:jc w:val="center"/>
              <w:textAlignment w:val="bottom"/>
              <w:rPr>
                <w:b/>
                <w:sz w:val="24"/>
                <w:highlight w:val="none"/>
              </w:rPr>
            </w:pPr>
            <w:r>
              <w:rPr>
                <w:rFonts w:hint="eastAsia"/>
                <w:b/>
                <w:sz w:val="24"/>
                <w:highlight w:val="none"/>
              </w:rPr>
              <w:t>版次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12" w:space="0"/>
          </w:tblBorders>
          <w:tblCellMar>
            <w:top w:w="0" w:type="dxa"/>
            <w:left w:w="28" w:type="dxa"/>
            <w:bottom w:w="0" w:type="dxa"/>
            <w:right w:w="28" w:type="dxa"/>
          </w:tblCellMar>
        </w:tblPrEx>
        <w:trPr>
          <w:cantSplit/>
          <w:trHeight w:val="397" w:hRule="atLeast"/>
        </w:trPr>
        <w:tc>
          <w:tcPr>
            <w:tcW w:w="3005" w:type="dxa"/>
            <w:vAlign w:val="center"/>
          </w:tcPr>
          <w:p>
            <w:pPr>
              <w:autoSpaceDE w:val="0"/>
              <w:autoSpaceDN w:val="0"/>
              <w:snapToGrid w:val="0"/>
              <w:spacing w:line="240" w:lineRule="atLeast"/>
              <w:ind w:firstLine="0" w:firstLineChars="0"/>
              <w:jc w:val="center"/>
              <w:textAlignment w:val="bottom"/>
              <w:rPr>
                <w:b/>
                <w:color w:val="FF0000"/>
                <w:sz w:val="24"/>
                <w:highlight w:val="none"/>
              </w:rPr>
            </w:pPr>
          </w:p>
        </w:tc>
        <w:tc>
          <w:tcPr>
            <w:tcW w:w="851" w:type="dxa"/>
            <w:vAlign w:val="center"/>
          </w:tcPr>
          <w:p>
            <w:pPr>
              <w:autoSpaceDE w:val="0"/>
              <w:autoSpaceDN w:val="0"/>
              <w:snapToGrid w:val="0"/>
              <w:spacing w:line="240" w:lineRule="atLeast"/>
              <w:ind w:firstLine="0" w:firstLineChars="0"/>
              <w:jc w:val="center"/>
              <w:textAlignment w:val="bottom"/>
              <w:rPr>
                <w:b/>
                <w:sz w:val="24"/>
                <w:highlight w:val="none"/>
              </w:rPr>
            </w:pPr>
            <w:r>
              <w:rPr>
                <w:rFonts w:hint="eastAsia"/>
                <w:b/>
                <w:sz w:val="24"/>
                <w:highlight w:val="none"/>
              </w:rPr>
              <w:t>0</w:t>
            </w:r>
          </w:p>
        </w:tc>
      </w:tr>
    </w:tbl>
    <w:p>
      <w:pPr>
        <w:widowControl/>
        <w:spacing w:line="560" w:lineRule="exact"/>
        <w:ind w:firstLine="883"/>
        <w:rPr>
          <w:b/>
          <w:sz w:val="44"/>
          <w:highlight w:val="none"/>
        </w:rPr>
      </w:pPr>
      <w:bookmarkStart w:id="0" w:name="_Toc25379"/>
    </w:p>
    <w:p>
      <w:pPr>
        <w:ind w:firstLine="1044"/>
        <w:jc w:val="center"/>
        <w:rPr>
          <w:rFonts w:ascii="黑体" w:hAnsi="黑体" w:eastAsia="黑体" w:cs="黑体"/>
          <w:b/>
          <w:sz w:val="52"/>
          <w:szCs w:val="52"/>
          <w:highlight w:val="none"/>
        </w:rPr>
      </w:pPr>
    </w:p>
    <w:p>
      <w:pPr>
        <w:pStyle w:val="2"/>
        <w:ind w:firstLine="643"/>
        <w:outlineLvl w:val="9"/>
        <w:rPr>
          <w:highlight w:val="none"/>
        </w:rPr>
      </w:pPr>
    </w:p>
    <w:p>
      <w:pPr>
        <w:spacing w:line="360" w:lineRule="auto"/>
        <w:ind w:firstLine="0" w:firstLineChars="0"/>
        <w:jc w:val="center"/>
        <w:rPr>
          <w:rFonts w:hint="eastAsia" w:ascii="宋体" w:hAnsi="宋体" w:cs="仿宋_GB2312"/>
          <w:b/>
          <w:sz w:val="36"/>
          <w:szCs w:val="36"/>
          <w:highlight w:val="none"/>
          <w:lang w:eastAsia="zh-CN"/>
        </w:rPr>
      </w:pPr>
      <w:r>
        <w:rPr>
          <w:rFonts w:ascii="Segoe UI" w:hAnsi="Segoe UI" w:eastAsia="Segoe UI" w:cs="Segoe UI"/>
          <w:i w:val="0"/>
          <w:iCs w:val="0"/>
          <w:caps w:val="0"/>
          <w:color w:val="475569"/>
          <w:spacing w:val="0"/>
          <w:sz w:val="21"/>
          <w:szCs w:val="21"/>
          <w:shd w:val="clear" w:fill="F8FAFA"/>
        </w:rPr>
        <w:t>国网浙江杭州供电公司220kV窑陆2413线等线路压接金具X光隐患</w:t>
      </w:r>
    </w:p>
    <w:p>
      <w:pPr>
        <w:spacing w:line="360" w:lineRule="auto"/>
        <w:ind w:firstLine="0" w:firstLineChars="0"/>
        <w:jc w:val="center"/>
        <w:rPr>
          <w:rFonts w:ascii="宋体" w:hAnsi="宋体" w:cs="仿宋_GB2312"/>
          <w:b/>
          <w:sz w:val="36"/>
          <w:szCs w:val="36"/>
          <w:highlight w:val="none"/>
        </w:rPr>
      </w:pPr>
      <w:r>
        <w:rPr>
          <w:rFonts w:hint="eastAsia" w:ascii="宋体" w:hAnsi="宋体" w:cs="仿宋_GB2312"/>
          <w:b/>
          <w:sz w:val="36"/>
          <w:szCs w:val="36"/>
          <w:highlight w:val="none"/>
        </w:rPr>
        <w:t>可行性研究报告</w:t>
      </w:r>
    </w:p>
    <w:p>
      <w:pPr>
        <w:ind w:firstLine="0" w:firstLineChars="0"/>
        <w:rPr>
          <w:rFonts w:hAnsi="宋体"/>
          <w:b/>
          <w:sz w:val="44"/>
          <w:szCs w:val="44"/>
          <w:highlight w:val="none"/>
        </w:rPr>
      </w:pPr>
    </w:p>
    <w:p>
      <w:pPr>
        <w:ind w:firstLine="0" w:firstLineChars="0"/>
        <w:rPr>
          <w:rFonts w:hAnsi="宋体"/>
          <w:b/>
          <w:sz w:val="44"/>
          <w:szCs w:val="44"/>
          <w:highlight w:val="none"/>
        </w:rPr>
      </w:pPr>
    </w:p>
    <w:p>
      <w:pPr>
        <w:ind w:firstLine="0" w:firstLineChars="0"/>
        <w:rPr>
          <w:rFonts w:hAnsi="宋体"/>
          <w:b/>
          <w:sz w:val="44"/>
          <w:szCs w:val="44"/>
          <w:highlight w:val="none"/>
        </w:rPr>
      </w:pPr>
    </w:p>
    <w:p>
      <w:pPr>
        <w:ind w:firstLine="0" w:firstLineChars="0"/>
        <w:rPr>
          <w:rFonts w:hAnsi="宋体"/>
          <w:b/>
          <w:sz w:val="44"/>
          <w:szCs w:val="44"/>
          <w:highlight w:val="none"/>
        </w:rPr>
      </w:pPr>
    </w:p>
    <w:p>
      <w:pPr>
        <w:ind w:firstLine="0" w:firstLineChars="0"/>
        <w:rPr>
          <w:rFonts w:hAnsi="宋体"/>
          <w:b/>
          <w:sz w:val="44"/>
          <w:szCs w:val="44"/>
          <w:highlight w:val="none"/>
        </w:rPr>
      </w:pPr>
    </w:p>
    <w:p>
      <w:pPr>
        <w:ind w:firstLine="0" w:firstLineChars="0"/>
        <w:rPr>
          <w:rFonts w:hAnsi="宋体"/>
          <w:b/>
          <w:sz w:val="44"/>
          <w:szCs w:val="44"/>
          <w:highlight w:val="none"/>
        </w:rPr>
      </w:pPr>
    </w:p>
    <w:p>
      <w:pPr>
        <w:ind w:firstLine="0" w:firstLineChars="0"/>
        <w:rPr>
          <w:rFonts w:hAnsi="宋体"/>
          <w:b/>
          <w:sz w:val="44"/>
          <w:szCs w:val="44"/>
          <w:highlight w:val="none"/>
        </w:rPr>
      </w:pPr>
    </w:p>
    <w:p>
      <w:pPr>
        <w:ind w:firstLine="0" w:firstLineChars="0"/>
        <w:rPr>
          <w:rFonts w:hAnsi="宋体"/>
          <w:b/>
          <w:sz w:val="44"/>
          <w:szCs w:val="44"/>
          <w:highlight w:val="none"/>
        </w:rPr>
      </w:pPr>
    </w:p>
    <w:p>
      <w:pPr>
        <w:ind w:firstLine="0" w:firstLineChars="0"/>
        <w:rPr>
          <w:rFonts w:hAnsi="宋体"/>
          <w:b/>
          <w:sz w:val="44"/>
          <w:szCs w:val="44"/>
          <w:highlight w:val="none"/>
        </w:rPr>
      </w:pPr>
    </w:p>
    <w:p>
      <w:pPr>
        <w:spacing w:line="500" w:lineRule="exact"/>
        <w:ind w:firstLine="0" w:firstLineChars="0"/>
        <w:jc w:val="center"/>
        <w:rPr>
          <w:rFonts w:hAnsi="宋体"/>
          <w:b/>
          <w:sz w:val="32"/>
          <w:szCs w:val="32"/>
          <w:highlight w:val="none"/>
        </w:rPr>
      </w:pPr>
      <w:r>
        <w:rPr>
          <w:rFonts w:hint="eastAsia" w:ascii="仿宋_GB2312" w:hAnsi="仿宋_GB2312" w:eastAsia="仿宋_GB2312" w:cs="仿宋_GB2312"/>
          <w:b/>
          <w:color w:val="000000"/>
          <w:sz w:val="32"/>
          <w:szCs w:val="32"/>
          <w:highlight w:val="none"/>
        </w:rPr>
        <w:t>浙江华云电力工程设计咨询有限公司</w:t>
      </w:r>
    </w:p>
    <w:p>
      <w:pPr>
        <w:spacing w:line="500" w:lineRule="exact"/>
        <w:ind w:firstLine="0" w:firstLineChars="0"/>
        <w:jc w:val="center"/>
        <w:rPr>
          <w:rFonts w:ascii="仿宋_GB2312" w:hAnsi="仿宋_GB2312" w:eastAsia="仿宋_GB2312" w:cs="仿宋_GB2312"/>
          <w:b/>
          <w:color w:val="000000"/>
          <w:sz w:val="32"/>
          <w:szCs w:val="32"/>
          <w:highlight w:val="none"/>
        </w:rPr>
      </w:pPr>
      <w:r>
        <w:rPr>
          <w:rFonts w:hint="eastAsia" w:ascii="仿宋_GB2312" w:hAnsi="仿宋_GB2312" w:eastAsia="仿宋_GB2312" w:cs="仿宋_GB2312"/>
          <w:b/>
          <w:color w:val="000000"/>
          <w:sz w:val="32"/>
          <w:szCs w:val="32"/>
          <w:highlight w:val="none"/>
        </w:rPr>
        <w:t>甲级资信证书号：91330103143049477E-18ZYJ18</w:t>
      </w:r>
    </w:p>
    <w:p>
      <w:pPr>
        <w:spacing w:line="500" w:lineRule="exact"/>
        <w:ind w:firstLine="0" w:firstLineChars="0"/>
        <w:jc w:val="center"/>
        <w:rPr>
          <w:rFonts w:ascii="仿宋_GB2312" w:hAnsi="仿宋_GB2312" w:eastAsia="仿宋_GB2312" w:cs="仿宋_GB2312"/>
          <w:b/>
          <w:color w:val="000000"/>
          <w:sz w:val="32"/>
          <w:szCs w:val="32"/>
          <w:highlight w:val="none"/>
        </w:rPr>
      </w:pPr>
      <w:r>
        <w:rPr>
          <w:rFonts w:hint="eastAsia" w:ascii="仿宋_GB2312" w:hAnsi="仿宋_GB2312" w:eastAsia="仿宋_GB2312" w:cs="仿宋_GB2312"/>
          <w:b/>
          <w:color w:val="000000"/>
          <w:sz w:val="32"/>
          <w:szCs w:val="32"/>
          <w:highlight w:val="none"/>
        </w:rPr>
        <w:t>甲级设计证书号：A133003829</w:t>
      </w:r>
    </w:p>
    <w:p>
      <w:pPr>
        <w:spacing w:line="500" w:lineRule="exact"/>
        <w:ind w:firstLine="0" w:firstLineChars="0"/>
        <w:jc w:val="center"/>
        <w:rPr>
          <w:rFonts w:ascii="仿宋_GB2312" w:hAnsi="仿宋_GB2312" w:eastAsia="仿宋_GB2312" w:cs="仿宋_GB2312"/>
          <w:b/>
          <w:color w:val="000000"/>
          <w:sz w:val="32"/>
          <w:szCs w:val="32"/>
          <w:highlight w:val="none"/>
        </w:rPr>
      </w:pPr>
    </w:p>
    <w:p>
      <w:pPr>
        <w:ind w:firstLine="0" w:firstLineChars="0"/>
        <w:jc w:val="center"/>
        <w:rPr>
          <w:rFonts w:hAnsi="宋体"/>
          <w:b/>
          <w:sz w:val="44"/>
          <w:szCs w:val="44"/>
          <w:highlight w:val="none"/>
        </w:rPr>
      </w:pPr>
      <w:r>
        <w:rPr>
          <w:rFonts w:hint="eastAsia" w:ascii="仿宋_GB2312" w:hAnsi="仿宋_GB2312" w:eastAsia="仿宋_GB2312" w:cs="仿宋_GB2312"/>
          <w:b/>
          <w:color w:val="000000"/>
          <w:sz w:val="32"/>
          <w:szCs w:val="32"/>
          <w:highlight w:val="none"/>
        </w:rPr>
        <w:t>202</w:t>
      </w:r>
      <w:r>
        <w:rPr>
          <w:rFonts w:hint="eastAsia" w:ascii="仿宋_GB2312" w:hAnsi="仿宋_GB2312" w:eastAsia="仿宋_GB2312" w:cs="仿宋_GB2312"/>
          <w:b/>
          <w:color w:val="000000"/>
          <w:sz w:val="32"/>
          <w:szCs w:val="32"/>
          <w:highlight w:val="none"/>
          <w:lang w:val="en-US" w:eastAsia="zh-CN"/>
        </w:rPr>
        <w:t>4</w:t>
      </w:r>
      <w:r>
        <w:rPr>
          <w:rFonts w:hint="eastAsia" w:ascii="仿宋_GB2312" w:hAnsi="仿宋_GB2312" w:eastAsia="仿宋_GB2312" w:cs="仿宋_GB2312"/>
          <w:b/>
          <w:color w:val="000000"/>
          <w:sz w:val="32"/>
          <w:szCs w:val="32"/>
          <w:highlight w:val="none"/>
        </w:rPr>
        <w:t>年</w:t>
      </w:r>
      <w:r>
        <w:rPr>
          <w:rFonts w:hint="eastAsia" w:ascii="仿宋_GB2312" w:hAnsi="仿宋_GB2312" w:eastAsia="仿宋_GB2312" w:cs="仿宋_GB2312"/>
          <w:b/>
          <w:color w:val="000000"/>
          <w:sz w:val="32"/>
          <w:szCs w:val="32"/>
          <w:highlight w:val="none"/>
          <w:lang w:val="en-US" w:eastAsia="zh-CN"/>
        </w:rPr>
        <w:t>7</w:t>
      </w:r>
      <w:r>
        <w:rPr>
          <w:rFonts w:hint="eastAsia" w:ascii="仿宋_GB2312" w:hAnsi="仿宋_GB2312" w:eastAsia="仿宋_GB2312" w:cs="仿宋_GB2312"/>
          <w:b/>
          <w:color w:val="000000"/>
          <w:sz w:val="32"/>
          <w:szCs w:val="32"/>
          <w:highlight w:val="none"/>
        </w:rPr>
        <w:t>月</w:t>
      </w:r>
      <w:r>
        <w:rPr>
          <w:rFonts w:hint="eastAsia" w:ascii="仿宋_GB2312" w:hAnsi="仿宋_GB2312" w:eastAsia="仿宋_GB2312" w:cs="仿宋_GB2312"/>
          <w:b/>
          <w:color w:val="000000"/>
          <w:sz w:val="32"/>
          <w:szCs w:val="32"/>
          <w:highlight w:val="none"/>
          <w:lang w:val="en-US" w:eastAsia="zh-CN"/>
        </w:rPr>
        <w:t>2</w:t>
      </w:r>
      <w:r>
        <w:rPr>
          <w:rFonts w:hint="eastAsia" w:ascii="仿宋_GB2312" w:hAnsi="仿宋_GB2312" w:eastAsia="仿宋_GB2312" w:cs="仿宋_GB2312"/>
          <w:b/>
          <w:color w:val="000000"/>
          <w:sz w:val="32"/>
          <w:szCs w:val="32"/>
          <w:highlight w:val="none"/>
        </w:rPr>
        <w:t>日</w:t>
      </w:r>
    </w:p>
    <w:p>
      <w:pPr>
        <w:ind w:firstLine="0" w:firstLineChars="0"/>
        <w:jc w:val="center"/>
        <w:rPr>
          <w:rFonts w:hAnsi="宋体"/>
          <w:b/>
          <w:sz w:val="44"/>
          <w:szCs w:val="44"/>
          <w:highlight w:val="none"/>
        </w:rPr>
        <w:sectPr>
          <w:headerReference r:id="rId7" w:type="first"/>
          <w:footerReference r:id="rId10" w:type="first"/>
          <w:headerReference r:id="rId5" w:type="default"/>
          <w:footerReference r:id="rId8" w:type="default"/>
          <w:headerReference r:id="rId6" w:type="even"/>
          <w:footerReference r:id="rId9" w:type="even"/>
          <w:pgSz w:w="11907" w:h="16840"/>
          <w:pgMar w:top="1701" w:right="1842" w:bottom="1134" w:left="1021" w:header="851" w:footer="851" w:gutter="567"/>
          <w:cols w:space="720" w:num="1"/>
        </w:sectPr>
      </w:pPr>
    </w:p>
    <w:p>
      <w:pPr>
        <w:ind w:firstLine="0" w:firstLineChars="0"/>
        <w:rPr>
          <w:rFonts w:hAnsi="宋体"/>
          <w:b/>
          <w:sz w:val="44"/>
          <w:szCs w:val="44"/>
          <w:highlight w:val="none"/>
        </w:rPr>
      </w:pPr>
    </w:p>
    <w:p>
      <w:pPr>
        <w:spacing w:line="360" w:lineRule="auto"/>
        <w:ind w:firstLine="0" w:firstLineChars="0"/>
        <w:jc w:val="center"/>
        <w:rPr>
          <w:rFonts w:hint="eastAsia" w:ascii="宋体" w:hAnsi="宋体" w:cs="仿宋_GB2312"/>
          <w:b/>
          <w:sz w:val="36"/>
          <w:szCs w:val="36"/>
          <w:highlight w:val="none"/>
          <w:lang w:eastAsia="zh-CN"/>
        </w:rPr>
      </w:pPr>
      <w:r>
        <w:rPr>
          <w:rFonts w:hint="eastAsia" w:ascii="宋体" w:hAnsi="宋体" w:cs="仿宋_GB2312"/>
          <w:b/>
          <w:sz w:val="36"/>
          <w:szCs w:val="36"/>
          <w:highlight w:val="none"/>
          <w:lang w:eastAsia="zh-CN"/>
        </w:rPr>
        <w:t>国网浙江杭州供电公司220kV窑陆2413线等线路压接金具X光隐患</w:t>
      </w:r>
    </w:p>
    <w:p>
      <w:pPr>
        <w:spacing w:line="360" w:lineRule="auto"/>
        <w:ind w:firstLine="0" w:firstLineChars="0"/>
        <w:jc w:val="center"/>
        <w:rPr>
          <w:rFonts w:ascii="宋体" w:hAnsi="宋体" w:cs="仿宋_GB2312"/>
          <w:b/>
          <w:sz w:val="36"/>
          <w:szCs w:val="36"/>
          <w:highlight w:val="none"/>
        </w:rPr>
      </w:pPr>
      <w:r>
        <w:rPr>
          <w:rFonts w:hint="eastAsia" w:ascii="宋体" w:hAnsi="宋体" w:cs="仿宋_GB2312"/>
          <w:b/>
          <w:sz w:val="36"/>
          <w:szCs w:val="36"/>
          <w:highlight w:val="none"/>
        </w:rPr>
        <w:t>可行性研究报告</w:t>
      </w:r>
    </w:p>
    <w:p>
      <w:pPr>
        <w:spacing w:line="360" w:lineRule="auto"/>
        <w:ind w:firstLine="883"/>
        <w:jc w:val="center"/>
        <w:rPr>
          <w:rFonts w:ascii="黑体" w:hAnsi="黑体" w:eastAsia="黑体" w:cs="黑体"/>
          <w:b/>
          <w:color w:val="000000"/>
          <w:sz w:val="44"/>
          <w:szCs w:val="44"/>
          <w:highlight w:val="none"/>
        </w:rPr>
      </w:pPr>
    </w:p>
    <w:p>
      <w:pPr>
        <w:spacing w:line="520" w:lineRule="exact"/>
        <w:ind w:firstLine="720"/>
        <w:jc w:val="center"/>
        <w:rPr>
          <w:rFonts w:ascii="黑体" w:hAnsi="黑体" w:eastAsia="黑体" w:cs="黑体"/>
          <w:sz w:val="36"/>
          <w:szCs w:val="36"/>
          <w:highlight w:val="none"/>
        </w:rPr>
      </w:pPr>
    </w:p>
    <w:p>
      <w:pPr>
        <w:spacing w:line="520" w:lineRule="exact"/>
        <w:ind w:firstLine="720"/>
        <w:jc w:val="center"/>
        <w:rPr>
          <w:rFonts w:ascii="黑体" w:hAnsi="黑体" w:eastAsia="黑体" w:cs="黑体"/>
          <w:sz w:val="36"/>
          <w:szCs w:val="36"/>
          <w:highlight w:val="none"/>
        </w:rPr>
      </w:pPr>
    </w:p>
    <w:p>
      <w:pPr>
        <w:spacing w:line="560" w:lineRule="exact"/>
        <w:ind w:left="2079" w:leftChars="228" w:hanging="1600" w:hangingChars="500"/>
        <w:jc w:val="left"/>
        <w:rPr>
          <w:rFonts w:ascii="仿宋_GB2312" w:hAnsi="宋体" w:eastAsia="仿宋_GB2312" w:cs="宋体"/>
          <w:bCs/>
          <w:kern w:val="0"/>
          <w:sz w:val="32"/>
          <w:szCs w:val="32"/>
          <w:highlight w:val="none"/>
        </w:rPr>
      </w:pPr>
    </w:p>
    <w:p>
      <w:pPr>
        <w:pStyle w:val="2"/>
        <w:ind w:firstLine="643"/>
        <w:outlineLvl w:val="9"/>
        <w:rPr>
          <w:rFonts w:ascii="仿宋_GB2312" w:hAnsi="宋体" w:eastAsia="仿宋_GB2312" w:cs="宋体"/>
          <w:bCs/>
          <w:kern w:val="0"/>
          <w:szCs w:val="32"/>
          <w:highlight w:val="none"/>
        </w:rPr>
      </w:pPr>
    </w:p>
    <w:p>
      <w:pPr>
        <w:ind w:firstLine="640"/>
        <w:rPr>
          <w:rFonts w:ascii="仿宋_GB2312" w:hAnsi="宋体" w:eastAsia="仿宋_GB2312" w:cs="宋体"/>
          <w:bCs/>
          <w:kern w:val="0"/>
          <w:sz w:val="32"/>
          <w:szCs w:val="32"/>
          <w:highlight w:val="none"/>
        </w:rPr>
      </w:pPr>
    </w:p>
    <w:p>
      <w:pPr>
        <w:pStyle w:val="2"/>
        <w:ind w:firstLine="643"/>
        <w:outlineLvl w:val="9"/>
        <w:rPr>
          <w:rFonts w:ascii="仿宋_GB2312" w:hAnsi="宋体" w:eastAsia="仿宋_GB2312" w:cs="宋体"/>
          <w:bCs/>
          <w:kern w:val="0"/>
          <w:szCs w:val="32"/>
          <w:highlight w:val="none"/>
        </w:rPr>
      </w:pPr>
    </w:p>
    <w:p>
      <w:pPr>
        <w:ind w:firstLine="420"/>
        <w:rPr>
          <w:highlight w:val="none"/>
        </w:rPr>
      </w:pPr>
    </w:p>
    <w:p>
      <w:pPr>
        <w:ind w:firstLine="420"/>
        <w:rPr>
          <w:highlight w:val="none"/>
        </w:rPr>
      </w:pPr>
    </w:p>
    <w:p>
      <w:pPr>
        <w:spacing w:line="560" w:lineRule="exact"/>
        <w:ind w:left="2079" w:leftChars="228" w:hanging="1600" w:hangingChars="500"/>
        <w:jc w:val="left"/>
        <w:rPr>
          <w:rFonts w:hint="eastAsia" w:ascii="仿宋_GB2312" w:hAnsi="宋体" w:eastAsia="仿宋_GB2312" w:cs="宋体"/>
          <w:bCs/>
          <w:kern w:val="0"/>
          <w:sz w:val="32"/>
          <w:szCs w:val="32"/>
          <w:highlight w:val="none"/>
          <w:lang w:eastAsia="zh-CN"/>
        </w:rPr>
      </w:pPr>
      <w:r>
        <w:rPr>
          <w:rFonts w:hint="eastAsia" w:ascii="仿宋_GB2312" w:hAnsi="宋体" w:eastAsia="仿宋_GB2312" w:cs="宋体"/>
          <w:bCs/>
          <w:kern w:val="0"/>
          <w:sz w:val="32"/>
          <w:szCs w:val="32"/>
          <w:highlight w:val="none"/>
        </w:rPr>
        <w:t>项目名称：</w:t>
      </w:r>
      <w:r>
        <w:rPr>
          <w:rFonts w:hint="eastAsia" w:ascii="仿宋_GB2312" w:hAnsi="宋体" w:eastAsia="仿宋_GB2312" w:cs="宋体"/>
          <w:bCs/>
          <w:kern w:val="0"/>
          <w:sz w:val="32"/>
          <w:szCs w:val="32"/>
          <w:highlight w:val="none"/>
          <w:lang w:eastAsia="zh-CN"/>
        </w:rPr>
        <w:t>国网浙江杭州供电公司220kV窑陆2413线等线路压接金具X光隐患</w:t>
      </w:r>
    </w:p>
    <w:p>
      <w:pPr>
        <w:spacing w:line="560" w:lineRule="exact"/>
        <w:ind w:left="2079" w:leftChars="228" w:hanging="1600" w:hangingChars="500"/>
        <w:jc w:val="left"/>
        <w:rPr>
          <w:rFonts w:hint="eastAsia" w:ascii="仿宋_GB2312" w:hAnsi="宋体" w:eastAsia="仿宋_GB2312" w:cs="宋体"/>
          <w:bCs/>
          <w:kern w:val="0"/>
          <w:sz w:val="32"/>
          <w:szCs w:val="32"/>
          <w:highlight w:val="none"/>
        </w:rPr>
      </w:pPr>
      <w:r>
        <w:rPr>
          <w:rFonts w:hint="eastAsia" w:ascii="仿宋_GB2312" w:hAnsi="宋体" w:eastAsia="仿宋_GB2312" w:cs="宋体"/>
          <w:bCs/>
          <w:kern w:val="0"/>
          <w:sz w:val="32"/>
          <w:szCs w:val="32"/>
          <w:highlight w:val="none"/>
        </w:rPr>
        <w:t>项目单位：国网浙江省电力公司杭州供电公司</w:t>
      </w:r>
    </w:p>
    <w:p>
      <w:pPr>
        <w:spacing w:line="560" w:lineRule="exact"/>
        <w:ind w:left="2079" w:leftChars="228" w:hanging="1600" w:hangingChars="500"/>
        <w:jc w:val="left"/>
        <w:rPr>
          <w:rFonts w:ascii="仿宋_GB2312" w:hAnsi="宋体" w:eastAsia="仿宋_GB2312" w:cs="宋体"/>
          <w:bCs/>
          <w:kern w:val="0"/>
          <w:sz w:val="32"/>
          <w:szCs w:val="32"/>
          <w:highlight w:val="none"/>
        </w:rPr>
      </w:pPr>
      <w:r>
        <w:rPr>
          <w:rFonts w:hint="eastAsia" w:ascii="仿宋_GB2312" w:hAnsi="宋体" w:eastAsia="仿宋_GB2312" w:cs="宋体"/>
          <w:bCs/>
          <w:kern w:val="0"/>
          <w:sz w:val="32"/>
          <w:szCs w:val="32"/>
          <w:highlight w:val="none"/>
        </w:rPr>
        <w:t>编制单位：浙江华云电力工程设计咨询有限公司</w:t>
      </w:r>
    </w:p>
    <w:p>
      <w:pPr>
        <w:spacing w:line="560" w:lineRule="exact"/>
        <w:ind w:left="2079" w:leftChars="228" w:hanging="1600" w:hangingChars="500"/>
        <w:jc w:val="left"/>
        <w:rPr>
          <w:rFonts w:ascii="仿宋_GB2312" w:hAnsi="宋体" w:eastAsia="仿宋_GB2312" w:cs="宋体"/>
          <w:bCs/>
          <w:kern w:val="0"/>
          <w:sz w:val="32"/>
          <w:szCs w:val="32"/>
          <w:highlight w:val="none"/>
        </w:rPr>
      </w:pPr>
      <w:r>
        <w:rPr>
          <w:rFonts w:hint="eastAsia" w:ascii="仿宋_GB2312" w:hAnsi="宋体" w:eastAsia="仿宋_GB2312" w:cs="宋体"/>
          <w:bCs/>
          <w:kern w:val="0"/>
          <w:sz w:val="32"/>
          <w:szCs w:val="32"/>
          <w:highlight w:val="none"/>
        </w:rPr>
        <w:t>甲级资信证书号：91330103143049477E-18ZYJ18</w:t>
      </w:r>
    </w:p>
    <w:p>
      <w:pPr>
        <w:spacing w:line="560" w:lineRule="exact"/>
        <w:ind w:left="2079" w:leftChars="228" w:hanging="1600" w:hangingChars="500"/>
        <w:jc w:val="left"/>
        <w:rPr>
          <w:rFonts w:ascii="仿宋_GB2312" w:hAnsi="宋体" w:eastAsia="仿宋_GB2312" w:cs="宋体"/>
          <w:bCs/>
          <w:kern w:val="0"/>
          <w:sz w:val="32"/>
          <w:szCs w:val="32"/>
          <w:highlight w:val="none"/>
        </w:rPr>
      </w:pPr>
      <w:r>
        <w:rPr>
          <w:rFonts w:hint="eastAsia" w:ascii="仿宋_GB2312" w:hAnsi="宋体" w:eastAsia="仿宋_GB2312" w:cs="宋体"/>
          <w:bCs/>
          <w:kern w:val="0"/>
          <w:sz w:val="32"/>
          <w:szCs w:val="32"/>
          <w:highlight w:val="none"/>
        </w:rPr>
        <w:t>甲级设计证书号：A133003829</w:t>
      </w:r>
    </w:p>
    <w:p>
      <w:pPr>
        <w:spacing w:line="360" w:lineRule="auto"/>
        <w:ind w:firstLine="0" w:firstLineChars="0"/>
        <w:jc w:val="center"/>
        <w:rPr>
          <w:rFonts w:ascii="仿宋_GB2312" w:hAnsi="仿宋_GB2312" w:eastAsia="仿宋_GB2312" w:cs="仿宋_GB2312"/>
          <w:color w:val="000000"/>
          <w:sz w:val="32"/>
          <w:szCs w:val="32"/>
          <w:highlight w:val="none"/>
        </w:rPr>
      </w:pPr>
    </w:p>
    <w:p>
      <w:pPr>
        <w:pStyle w:val="2"/>
        <w:ind w:firstLine="643"/>
        <w:outlineLvl w:val="9"/>
        <w:rPr>
          <w:highlight w:val="none"/>
        </w:rPr>
      </w:pPr>
      <w:bookmarkStart w:id="76" w:name="_GoBack"/>
      <w:bookmarkEnd w:id="76"/>
    </w:p>
    <w:p>
      <w:pPr>
        <w:spacing w:line="360" w:lineRule="auto"/>
        <w:ind w:firstLine="0" w:firstLineChars="0"/>
        <w:jc w:val="center"/>
        <w:rPr>
          <w:rFonts w:hint="eastAsia" w:ascii="宋体" w:hAnsi="宋体" w:cs="仿宋_GB2312"/>
          <w:b/>
          <w:sz w:val="36"/>
          <w:szCs w:val="36"/>
          <w:highlight w:val="none"/>
          <w:lang w:eastAsia="zh-CN"/>
        </w:rPr>
      </w:pPr>
      <w:bookmarkStart w:id="1" w:name="_Toc282730574"/>
      <w:bookmarkStart w:id="2" w:name="_Toc332872931"/>
      <w:bookmarkStart w:id="3" w:name="_Toc335465275"/>
    </w:p>
    <w:p>
      <w:pPr>
        <w:spacing w:line="360" w:lineRule="auto"/>
        <w:ind w:firstLine="0" w:firstLineChars="0"/>
        <w:jc w:val="center"/>
        <w:rPr>
          <w:rFonts w:hint="eastAsia" w:ascii="宋体" w:hAnsi="宋体" w:cs="仿宋_GB2312"/>
          <w:b/>
          <w:sz w:val="36"/>
          <w:szCs w:val="36"/>
          <w:highlight w:val="none"/>
          <w:lang w:eastAsia="zh-CN"/>
        </w:rPr>
      </w:pPr>
    </w:p>
    <w:p>
      <w:pPr>
        <w:spacing w:line="360" w:lineRule="auto"/>
        <w:ind w:firstLine="640"/>
        <w:jc w:val="center"/>
        <w:rPr>
          <w:rFonts w:ascii="仿宋_GB2312" w:hAnsi="仿宋_GB2312" w:eastAsia="仿宋_GB2312" w:cs="仿宋_GB2312"/>
          <w:sz w:val="32"/>
          <w:szCs w:val="32"/>
          <w:highlight w:val="none"/>
        </w:rPr>
      </w:pPr>
      <w:r>
        <w:rPr>
          <w:rFonts w:hint="eastAsia" w:ascii="宋体" w:hAnsi="宋体" w:cs="仿宋_GB2312"/>
          <w:b/>
          <w:sz w:val="36"/>
          <w:szCs w:val="36"/>
          <w:highlight w:val="none"/>
          <w:lang w:eastAsia="zh-CN"/>
        </w:rPr>
        <w:t>国网浙江杭州供电公司220kV窑陆2413线等线路压接金具X光隐患</w:t>
      </w:r>
    </w:p>
    <w:p>
      <w:pPr>
        <w:pStyle w:val="2"/>
        <w:ind w:firstLine="643"/>
        <w:outlineLvl w:val="9"/>
        <w:rPr>
          <w:rFonts w:ascii="仿宋_GB2312" w:hAnsi="仿宋_GB2312" w:eastAsia="仿宋_GB2312" w:cs="仿宋_GB2312"/>
          <w:szCs w:val="32"/>
          <w:highlight w:val="none"/>
        </w:rPr>
      </w:pPr>
    </w:p>
    <w:p>
      <w:pPr>
        <w:spacing w:line="460" w:lineRule="exact"/>
        <w:ind w:firstLine="0" w:firstLineChars="0"/>
        <w:rPr>
          <w:rFonts w:ascii="仿宋_GB2312" w:hAnsi="仿宋_GB2312" w:eastAsia="仿宋_GB2312" w:cs="仿宋_GB2312"/>
          <w:sz w:val="32"/>
          <w:szCs w:val="32"/>
          <w:highlight w:val="none"/>
        </w:rPr>
      </w:pPr>
    </w:p>
    <w:p>
      <w:pPr>
        <w:spacing w:line="460" w:lineRule="exact"/>
        <w:ind w:firstLine="640"/>
        <w:rPr>
          <w:rFonts w:ascii="仿宋_GB2312" w:hAnsi="仿宋_GB2312" w:eastAsia="仿宋_GB2312" w:cs="仿宋_GB2312"/>
          <w:sz w:val="32"/>
          <w:szCs w:val="32"/>
          <w:highlight w:val="none"/>
        </w:rPr>
      </w:pPr>
    </w:p>
    <w:p>
      <w:pPr>
        <w:spacing w:line="460" w:lineRule="exact"/>
        <w:ind w:firstLine="640"/>
        <w:rPr>
          <w:rFonts w:ascii="仿宋_GB2312" w:hAnsi="仿宋_GB2312" w:eastAsia="仿宋_GB2312" w:cs="仿宋_GB2312"/>
          <w:sz w:val="32"/>
          <w:szCs w:val="32"/>
          <w:highlight w:val="none"/>
        </w:rPr>
      </w:pPr>
    </w:p>
    <w:p>
      <w:pPr>
        <w:spacing w:line="360" w:lineRule="auto"/>
        <w:ind w:firstLine="800" w:firstLineChars="250"/>
        <w:rPr>
          <w:rFonts w:ascii="仿宋_GB2312" w:eastAsia="仿宋_GB2312"/>
          <w:sz w:val="32"/>
          <w:szCs w:val="32"/>
          <w:highlight w:val="none"/>
        </w:rPr>
      </w:pPr>
      <w:r>
        <w:rPr>
          <w:rFonts w:hint="eastAsia" w:ascii="仿宋_GB2312" w:eastAsia="仿宋_GB2312"/>
          <w:sz w:val="32"/>
          <w:szCs w:val="32"/>
          <w:highlight w:val="none"/>
        </w:rPr>
        <w:t>批    准：</w:t>
      </w:r>
    </w:p>
    <w:p>
      <w:pPr>
        <w:spacing w:line="360" w:lineRule="auto"/>
        <w:ind w:firstLine="800" w:firstLineChars="250"/>
        <w:rPr>
          <w:rFonts w:ascii="仿宋_GB2312" w:eastAsia="仿宋_GB2312"/>
          <w:sz w:val="32"/>
          <w:szCs w:val="32"/>
          <w:highlight w:val="none"/>
        </w:rPr>
      </w:pPr>
    </w:p>
    <w:p>
      <w:pPr>
        <w:spacing w:line="360" w:lineRule="auto"/>
        <w:ind w:firstLine="800" w:firstLineChars="250"/>
        <w:rPr>
          <w:rFonts w:ascii="仿宋_GB2312" w:eastAsia="仿宋_GB2312"/>
          <w:sz w:val="32"/>
          <w:szCs w:val="32"/>
          <w:highlight w:val="none"/>
        </w:rPr>
      </w:pPr>
    </w:p>
    <w:p>
      <w:pPr>
        <w:spacing w:line="360" w:lineRule="auto"/>
        <w:ind w:firstLine="800" w:firstLineChars="250"/>
        <w:rPr>
          <w:rFonts w:ascii="仿宋_GB2312" w:eastAsia="仿宋_GB2312"/>
          <w:sz w:val="32"/>
          <w:szCs w:val="32"/>
          <w:highlight w:val="none"/>
        </w:rPr>
      </w:pPr>
      <w:r>
        <w:rPr>
          <w:rFonts w:hint="eastAsia" w:ascii="仿宋_GB2312" w:eastAsia="仿宋_GB2312"/>
          <w:sz w:val="32"/>
          <w:szCs w:val="32"/>
          <w:highlight w:val="none"/>
        </w:rPr>
        <w:t xml:space="preserve">审    核：     </w:t>
      </w:r>
    </w:p>
    <w:p>
      <w:pPr>
        <w:spacing w:line="360" w:lineRule="auto"/>
        <w:ind w:firstLine="800" w:firstLineChars="250"/>
        <w:rPr>
          <w:highlight w:val="none"/>
        </w:rPr>
      </w:pPr>
      <w:r>
        <w:rPr>
          <w:rFonts w:hint="eastAsia" w:ascii="仿宋_GB2312" w:eastAsia="仿宋_GB2312"/>
          <w:sz w:val="32"/>
          <w:szCs w:val="32"/>
          <w:highlight w:val="none"/>
        </w:rPr>
        <w:t xml:space="preserve">        </w:t>
      </w:r>
      <w:r>
        <w:rPr>
          <w:rFonts w:hint="eastAsia"/>
          <w:highlight w:val="none"/>
        </w:rPr>
        <w:t xml:space="preserve">        </w:t>
      </w:r>
    </w:p>
    <w:p>
      <w:pPr>
        <w:spacing w:line="360" w:lineRule="auto"/>
        <w:ind w:firstLine="525" w:firstLineChars="250"/>
        <w:rPr>
          <w:rFonts w:ascii="仿宋_GB2312" w:eastAsia="仿宋_GB2312"/>
          <w:sz w:val="32"/>
          <w:szCs w:val="32"/>
          <w:highlight w:val="none"/>
        </w:rPr>
      </w:pPr>
      <w:r>
        <w:rPr>
          <w:rFonts w:hint="eastAsia"/>
          <w:highlight w:val="none"/>
        </w:rPr>
        <w:t xml:space="preserve">                     </w:t>
      </w:r>
    </w:p>
    <w:p>
      <w:pPr>
        <w:spacing w:line="360" w:lineRule="auto"/>
        <w:ind w:firstLine="800" w:firstLineChars="250"/>
        <w:rPr>
          <w:rFonts w:ascii="仿宋_GB2312" w:eastAsia="仿宋_GB2312"/>
          <w:sz w:val="32"/>
          <w:szCs w:val="32"/>
          <w:highlight w:val="none"/>
        </w:rPr>
      </w:pPr>
      <w:r>
        <w:rPr>
          <w:rFonts w:hint="eastAsia" w:ascii="仿宋_GB2312" w:eastAsia="仿宋_GB2312"/>
          <w:sz w:val="32"/>
          <w:szCs w:val="32"/>
          <w:highlight w:val="none"/>
        </w:rPr>
        <w:t xml:space="preserve">校    核：          </w:t>
      </w:r>
    </w:p>
    <w:p>
      <w:pPr>
        <w:spacing w:line="360" w:lineRule="auto"/>
        <w:ind w:firstLine="800" w:firstLineChars="250"/>
        <w:rPr>
          <w:rFonts w:ascii="仿宋_GB2312" w:eastAsia="仿宋_GB2312"/>
          <w:sz w:val="32"/>
          <w:szCs w:val="32"/>
          <w:highlight w:val="none"/>
        </w:rPr>
      </w:pPr>
      <w:r>
        <w:rPr>
          <w:rFonts w:hint="eastAsia" w:ascii="仿宋_GB2312" w:eastAsia="仿宋_GB2312"/>
          <w:sz w:val="32"/>
          <w:szCs w:val="32"/>
          <w:highlight w:val="none"/>
        </w:rPr>
        <w:t xml:space="preserve">          </w:t>
      </w:r>
    </w:p>
    <w:p>
      <w:pPr>
        <w:spacing w:line="360" w:lineRule="auto"/>
        <w:ind w:firstLine="800" w:firstLineChars="250"/>
        <w:rPr>
          <w:rFonts w:ascii="仿宋_GB2312" w:eastAsia="仿宋_GB2312"/>
          <w:sz w:val="32"/>
          <w:szCs w:val="32"/>
          <w:highlight w:val="none"/>
        </w:rPr>
      </w:pPr>
    </w:p>
    <w:p>
      <w:pPr>
        <w:spacing w:line="360" w:lineRule="auto"/>
        <w:ind w:firstLine="800" w:firstLineChars="250"/>
        <w:rPr>
          <w:rFonts w:ascii="仿宋_GB2312" w:eastAsia="仿宋_GB2312"/>
          <w:sz w:val="32"/>
          <w:szCs w:val="32"/>
          <w:highlight w:val="none"/>
        </w:rPr>
        <w:sectPr>
          <w:footerReference r:id="rId11" w:type="default"/>
          <w:pgSz w:w="11906" w:h="16838"/>
          <w:pgMar w:top="1440" w:right="1800" w:bottom="1440" w:left="1800" w:header="851" w:footer="992" w:gutter="0"/>
          <w:pgNumType w:start="1"/>
          <w:cols w:space="425" w:num="1"/>
          <w:docGrid w:type="lines" w:linePitch="312" w:charSpace="0"/>
        </w:sectPr>
      </w:pPr>
      <w:r>
        <w:rPr>
          <w:rFonts w:hint="eastAsia" w:ascii="仿宋_GB2312" w:eastAsia="仿宋_GB2312"/>
          <w:sz w:val="32"/>
          <w:szCs w:val="32"/>
          <w:highlight w:val="none"/>
        </w:rPr>
        <w:t xml:space="preserve">编    制：  </w:t>
      </w:r>
    </w:p>
    <w:p>
      <w:pPr>
        <w:pStyle w:val="2"/>
        <w:ind w:firstLine="643"/>
        <w:outlineLvl w:val="9"/>
        <w:rPr>
          <w:highlight w:val="none"/>
        </w:rPr>
      </w:pPr>
    </w:p>
    <w:p>
      <w:pPr>
        <w:keepNext/>
        <w:keepLines/>
        <w:widowControl/>
        <w:spacing w:line="560" w:lineRule="exact"/>
        <w:ind w:firstLine="0" w:firstLineChars="0"/>
        <w:jc w:val="center"/>
        <w:rPr>
          <w:rFonts w:asciiTheme="minorEastAsia" w:hAnsiTheme="minorEastAsia" w:eastAsiaTheme="minorEastAsia"/>
          <w:b/>
          <w:kern w:val="0"/>
          <w:sz w:val="30"/>
          <w:szCs w:val="30"/>
          <w:highlight w:val="none"/>
          <w:lang w:val="zh-CN"/>
        </w:rPr>
      </w:pPr>
      <w:r>
        <w:rPr>
          <w:rFonts w:hint="eastAsia" w:asciiTheme="minorEastAsia" w:hAnsiTheme="minorEastAsia" w:eastAsiaTheme="minorEastAsia"/>
          <w:b/>
          <w:kern w:val="0"/>
          <w:sz w:val="30"/>
          <w:szCs w:val="30"/>
          <w:highlight w:val="none"/>
          <w:lang w:val="zh-CN"/>
        </w:rPr>
        <w:t>目   录</w:t>
      </w:r>
    </w:p>
    <w:p>
      <w:pPr>
        <w:keepNext/>
        <w:keepLines/>
        <w:widowControl/>
        <w:spacing w:line="560" w:lineRule="exact"/>
        <w:ind w:firstLine="0" w:firstLineChars="0"/>
        <w:jc w:val="center"/>
        <w:rPr>
          <w:rFonts w:ascii="黑体" w:eastAsia="黑体"/>
          <w:b/>
          <w:kern w:val="0"/>
          <w:sz w:val="32"/>
          <w:szCs w:val="28"/>
          <w:highlight w:val="none"/>
          <w:lang w:val="zh-CN"/>
        </w:rPr>
      </w:pPr>
    </w:p>
    <w:p>
      <w:pPr>
        <w:pStyle w:val="21"/>
        <w:tabs>
          <w:tab w:val="right" w:leader="dot" w:pos="8306"/>
          <w:tab w:val="clear" w:pos="8268"/>
        </w:tabs>
        <w:ind w:firstLine="560"/>
        <w:rPr>
          <w:highlight w:val="none"/>
        </w:rPr>
      </w:pPr>
      <w:r>
        <w:rPr>
          <w:rFonts w:hint="eastAsia" w:ascii="宋体" w:hAnsi="宋体"/>
          <w:kern w:val="0"/>
          <w:sz w:val="28"/>
          <w:szCs w:val="28"/>
          <w:highlight w:val="none"/>
        </w:rPr>
        <w:fldChar w:fldCharType="begin"/>
      </w:r>
      <w:r>
        <w:rPr>
          <w:rFonts w:hint="eastAsia" w:ascii="宋体" w:hAnsi="宋体"/>
          <w:kern w:val="0"/>
          <w:sz w:val="28"/>
          <w:szCs w:val="28"/>
          <w:highlight w:val="none"/>
        </w:rPr>
        <w:instrText xml:space="preserve"> TOC \o "1-3" \u </w:instrText>
      </w:r>
      <w:r>
        <w:rPr>
          <w:rFonts w:hint="eastAsia" w:ascii="宋体" w:hAnsi="宋体"/>
          <w:kern w:val="0"/>
          <w:sz w:val="28"/>
          <w:szCs w:val="28"/>
          <w:highlight w:val="none"/>
        </w:rPr>
        <w:fldChar w:fldCharType="separate"/>
      </w:r>
      <w:r>
        <w:rPr>
          <w:rFonts w:ascii="黑体" w:eastAsia="黑体" w:cs="黑体"/>
          <w:szCs w:val="32"/>
          <w:highlight w:val="none"/>
        </w:rPr>
        <w:t>1．</w:t>
      </w:r>
      <w:r>
        <w:rPr>
          <w:rFonts w:hint="eastAsia" w:ascii="黑体" w:eastAsia="黑体" w:cs="黑体"/>
          <w:szCs w:val="32"/>
          <w:highlight w:val="none"/>
        </w:rPr>
        <w:t>项目</w:t>
      </w:r>
      <w:r>
        <w:rPr>
          <w:rFonts w:ascii="黑体" w:eastAsia="黑体" w:cs="黑体"/>
          <w:szCs w:val="32"/>
          <w:highlight w:val="none"/>
        </w:rPr>
        <w:t>概述</w:t>
      </w:r>
      <w:r>
        <w:rPr>
          <w:highlight w:val="none"/>
        </w:rPr>
        <w:tab/>
      </w:r>
      <w:r>
        <w:rPr>
          <w:highlight w:val="none"/>
        </w:rPr>
        <w:fldChar w:fldCharType="begin"/>
      </w:r>
      <w:r>
        <w:rPr>
          <w:highlight w:val="none"/>
        </w:rPr>
        <w:instrText xml:space="preserve"> PAGEREF _Toc29634 \h </w:instrText>
      </w:r>
      <w:r>
        <w:rPr>
          <w:highlight w:val="none"/>
        </w:rPr>
        <w:fldChar w:fldCharType="separate"/>
      </w:r>
      <w:r>
        <w:rPr>
          <w:highlight w:val="none"/>
        </w:rPr>
        <w:t>1</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1.1  编制依据</w:t>
      </w:r>
      <w:r>
        <w:rPr>
          <w:highlight w:val="none"/>
        </w:rPr>
        <w:tab/>
      </w:r>
      <w:r>
        <w:rPr>
          <w:highlight w:val="none"/>
        </w:rPr>
        <w:fldChar w:fldCharType="begin"/>
      </w:r>
      <w:r>
        <w:rPr>
          <w:highlight w:val="none"/>
        </w:rPr>
        <w:instrText xml:space="preserve"> PAGEREF _Toc30108 \h </w:instrText>
      </w:r>
      <w:r>
        <w:rPr>
          <w:highlight w:val="none"/>
        </w:rPr>
        <w:fldChar w:fldCharType="separate"/>
      </w:r>
      <w:r>
        <w:rPr>
          <w:highlight w:val="none"/>
        </w:rPr>
        <w:t>1</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1.2  项目现状</w:t>
      </w:r>
      <w:r>
        <w:rPr>
          <w:highlight w:val="none"/>
        </w:rPr>
        <w:tab/>
      </w:r>
      <w:r>
        <w:rPr>
          <w:highlight w:val="none"/>
        </w:rPr>
        <w:fldChar w:fldCharType="begin"/>
      </w:r>
      <w:r>
        <w:rPr>
          <w:highlight w:val="none"/>
        </w:rPr>
        <w:instrText xml:space="preserve"> PAGEREF _Toc19292 \h </w:instrText>
      </w:r>
      <w:r>
        <w:rPr>
          <w:highlight w:val="none"/>
        </w:rPr>
        <w:fldChar w:fldCharType="separate"/>
      </w:r>
      <w:r>
        <w:rPr>
          <w:highlight w:val="none"/>
        </w:rPr>
        <w:t>1</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1.3  项目预期目标</w:t>
      </w:r>
      <w:r>
        <w:rPr>
          <w:rFonts w:hint="eastAsia" w:ascii="仿宋_GB2312" w:eastAsia="仿宋_GB2312" w:cs="仿宋_GB2312"/>
          <w:bCs/>
          <w:color w:val="000000" w:themeColor="text1"/>
          <w:szCs w:val="32"/>
          <w:highlight w:val="none"/>
          <w14:textFill>
            <w14:solidFill>
              <w14:schemeClr w14:val="tx1"/>
            </w14:solidFill>
          </w14:textFill>
        </w:rPr>
        <w:t>及立项依据</w:t>
      </w:r>
      <w:r>
        <w:rPr>
          <w:highlight w:val="none"/>
        </w:rPr>
        <w:tab/>
      </w:r>
      <w:r>
        <w:rPr>
          <w:highlight w:val="none"/>
        </w:rPr>
        <w:fldChar w:fldCharType="begin"/>
      </w:r>
      <w:r>
        <w:rPr>
          <w:highlight w:val="none"/>
        </w:rPr>
        <w:instrText xml:space="preserve"> PAGEREF _Toc25379 \h </w:instrText>
      </w:r>
      <w:r>
        <w:rPr>
          <w:highlight w:val="none"/>
        </w:rPr>
        <w:fldChar w:fldCharType="separate"/>
      </w:r>
      <w:r>
        <w:rPr>
          <w:highlight w:val="none"/>
        </w:rPr>
        <w:t>1</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1.4  可研范围和规模</w:t>
      </w:r>
      <w:r>
        <w:rPr>
          <w:highlight w:val="none"/>
        </w:rPr>
        <w:tab/>
      </w:r>
      <w:r>
        <w:rPr>
          <w:highlight w:val="none"/>
        </w:rPr>
        <w:fldChar w:fldCharType="begin"/>
      </w:r>
      <w:r>
        <w:rPr>
          <w:highlight w:val="none"/>
        </w:rPr>
        <w:instrText xml:space="preserve"> PAGEREF _Toc4075 \h </w:instrText>
      </w:r>
      <w:r>
        <w:rPr>
          <w:highlight w:val="none"/>
        </w:rPr>
        <w:fldChar w:fldCharType="separate"/>
      </w:r>
      <w:r>
        <w:rPr>
          <w:highlight w:val="none"/>
        </w:rPr>
        <w:t>5</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1.5  主要技术经济指标</w:t>
      </w:r>
      <w:r>
        <w:rPr>
          <w:highlight w:val="none"/>
        </w:rPr>
        <w:tab/>
      </w:r>
      <w:r>
        <w:rPr>
          <w:highlight w:val="none"/>
        </w:rPr>
        <w:fldChar w:fldCharType="begin"/>
      </w:r>
      <w:r>
        <w:rPr>
          <w:highlight w:val="none"/>
        </w:rPr>
        <w:instrText xml:space="preserve"> PAGEREF _Toc12202 \h </w:instrText>
      </w:r>
      <w:r>
        <w:rPr>
          <w:highlight w:val="none"/>
        </w:rPr>
        <w:fldChar w:fldCharType="separate"/>
      </w:r>
      <w:r>
        <w:rPr>
          <w:highlight w:val="none"/>
        </w:rPr>
        <w:t>6</w:t>
      </w:r>
      <w:r>
        <w:rPr>
          <w:highlight w:val="none"/>
        </w:rPr>
        <w:fldChar w:fldCharType="end"/>
      </w:r>
    </w:p>
    <w:p>
      <w:pPr>
        <w:pStyle w:val="21"/>
        <w:tabs>
          <w:tab w:val="right" w:leader="dot" w:pos="8306"/>
          <w:tab w:val="clear" w:pos="8268"/>
        </w:tabs>
        <w:ind w:firstLine="480"/>
        <w:rPr>
          <w:highlight w:val="none"/>
        </w:rPr>
      </w:pPr>
      <w:r>
        <w:rPr>
          <w:rFonts w:ascii="黑体" w:eastAsia="黑体" w:cs="黑体"/>
          <w:szCs w:val="32"/>
          <w:highlight w:val="none"/>
        </w:rPr>
        <w:t>2．项目必要性</w:t>
      </w:r>
      <w:r>
        <w:rPr>
          <w:highlight w:val="none"/>
        </w:rPr>
        <w:tab/>
      </w:r>
      <w:r>
        <w:rPr>
          <w:highlight w:val="none"/>
        </w:rPr>
        <w:fldChar w:fldCharType="begin"/>
      </w:r>
      <w:r>
        <w:rPr>
          <w:highlight w:val="none"/>
        </w:rPr>
        <w:instrText xml:space="preserve"> PAGEREF _Toc5850 \h </w:instrText>
      </w:r>
      <w:r>
        <w:rPr>
          <w:highlight w:val="none"/>
        </w:rPr>
        <w:fldChar w:fldCharType="separate"/>
      </w:r>
      <w:r>
        <w:rPr>
          <w:highlight w:val="none"/>
        </w:rPr>
        <w:t>6</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2.1 安全性分析</w:t>
      </w:r>
      <w:r>
        <w:rPr>
          <w:highlight w:val="none"/>
        </w:rPr>
        <w:tab/>
      </w:r>
      <w:r>
        <w:rPr>
          <w:highlight w:val="none"/>
        </w:rPr>
        <w:fldChar w:fldCharType="begin"/>
      </w:r>
      <w:r>
        <w:rPr>
          <w:highlight w:val="none"/>
        </w:rPr>
        <w:instrText xml:space="preserve"> PAGEREF _Toc9203 \h </w:instrText>
      </w:r>
      <w:r>
        <w:rPr>
          <w:highlight w:val="none"/>
        </w:rPr>
        <w:fldChar w:fldCharType="separate"/>
      </w:r>
      <w:r>
        <w:rPr>
          <w:highlight w:val="none"/>
        </w:rPr>
        <w:t>6</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2.2 效能与成本分析</w:t>
      </w:r>
      <w:r>
        <w:rPr>
          <w:highlight w:val="none"/>
        </w:rPr>
        <w:tab/>
      </w:r>
      <w:r>
        <w:rPr>
          <w:highlight w:val="none"/>
        </w:rPr>
        <w:fldChar w:fldCharType="begin"/>
      </w:r>
      <w:r>
        <w:rPr>
          <w:highlight w:val="none"/>
        </w:rPr>
        <w:instrText xml:space="preserve"> PAGEREF _Toc13018 \h </w:instrText>
      </w:r>
      <w:r>
        <w:rPr>
          <w:highlight w:val="none"/>
        </w:rPr>
        <w:fldChar w:fldCharType="separate"/>
      </w:r>
      <w:r>
        <w:rPr>
          <w:highlight w:val="none"/>
        </w:rPr>
        <w:t>6</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2.3 政策适应性分析</w:t>
      </w:r>
      <w:r>
        <w:rPr>
          <w:highlight w:val="none"/>
        </w:rPr>
        <w:tab/>
      </w:r>
      <w:r>
        <w:rPr>
          <w:highlight w:val="none"/>
        </w:rPr>
        <w:fldChar w:fldCharType="begin"/>
      </w:r>
      <w:r>
        <w:rPr>
          <w:highlight w:val="none"/>
        </w:rPr>
        <w:instrText xml:space="preserve"> PAGEREF _Toc10494 \h </w:instrText>
      </w:r>
      <w:r>
        <w:rPr>
          <w:highlight w:val="none"/>
        </w:rPr>
        <w:fldChar w:fldCharType="separate"/>
      </w:r>
      <w:r>
        <w:rPr>
          <w:highlight w:val="none"/>
        </w:rPr>
        <w:t>6</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2.4 结论</w:t>
      </w:r>
      <w:r>
        <w:rPr>
          <w:highlight w:val="none"/>
        </w:rPr>
        <w:tab/>
      </w:r>
      <w:r>
        <w:rPr>
          <w:highlight w:val="none"/>
        </w:rPr>
        <w:fldChar w:fldCharType="begin"/>
      </w:r>
      <w:r>
        <w:rPr>
          <w:highlight w:val="none"/>
        </w:rPr>
        <w:instrText xml:space="preserve"> PAGEREF _Toc19897 \h </w:instrText>
      </w:r>
      <w:r>
        <w:rPr>
          <w:highlight w:val="none"/>
        </w:rPr>
        <w:fldChar w:fldCharType="separate"/>
      </w:r>
      <w:r>
        <w:rPr>
          <w:highlight w:val="none"/>
        </w:rPr>
        <w:t>7</w:t>
      </w:r>
      <w:r>
        <w:rPr>
          <w:highlight w:val="none"/>
        </w:rPr>
        <w:fldChar w:fldCharType="end"/>
      </w:r>
    </w:p>
    <w:p>
      <w:pPr>
        <w:pStyle w:val="21"/>
        <w:tabs>
          <w:tab w:val="right" w:leader="dot" w:pos="8306"/>
          <w:tab w:val="clear" w:pos="8268"/>
        </w:tabs>
        <w:ind w:firstLine="480"/>
        <w:rPr>
          <w:highlight w:val="none"/>
        </w:rPr>
      </w:pPr>
      <w:r>
        <w:rPr>
          <w:rFonts w:hint="eastAsia" w:ascii="黑体" w:eastAsia="黑体" w:cs="黑体"/>
          <w:szCs w:val="32"/>
          <w:highlight w:val="none"/>
        </w:rPr>
        <w:t>3．项目技术方案</w:t>
      </w:r>
      <w:r>
        <w:rPr>
          <w:highlight w:val="none"/>
        </w:rPr>
        <w:tab/>
      </w:r>
      <w:r>
        <w:rPr>
          <w:highlight w:val="none"/>
        </w:rPr>
        <w:fldChar w:fldCharType="begin"/>
      </w:r>
      <w:r>
        <w:rPr>
          <w:highlight w:val="none"/>
        </w:rPr>
        <w:instrText xml:space="preserve"> PAGEREF _Toc15107 \h </w:instrText>
      </w:r>
      <w:r>
        <w:rPr>
          <w:highlight w:val="none"/>
        </w:rPr>
        <w:fldChar w:fldCharType="separate"/>
      </w:r>
      <w:r>
        <w:rPr>
          <w:highlight w:val="none"/>
        </w:rPr>
        <w:t>7</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3.1 项目技术方案</w:t>
      </w:r>
      <w:r>
        <w:rPr>
          <w:highlight w:val="none"/>
        </w:rPr>
        <w:tab/>
      </w:r>
      <w:r>
        <w:rPr>
          <w:highlight w:val="none"/>
        </w:rPr>
        <w:fldChar w:fldCharType="begin"/>
      </w:r>
      <w:r>
        <w:rPr>
          <w:highlight w:val="none"/>
        </w:rPr>
        <w:instrText xml:space="preserve"> PAGEREF _Toc19945 \h </w:instrText>
      </w:r>
      <w:r>
        <w:rPr>
          <w:highlight w:val="none"/>
        </w:rPr>
        <w:fldChar w:fldCharType="separate"/>
      </w:r>
      <w:r>
        <w:rPr>
          <w:highlight w:val="none"/>
        </w:rPr>
        <w:t>7</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3.2 技术方案比选</w:t>
      </w:r>
      <w:r>
        <w:rPr>
          <w:highlight w:val="none"/>
        </w:rPr>
        <w:tab/>
      </w:r>
      <w:r>
        <w:rPr>
          <w:highlight w:val="none"/>
        </w:rPr>
        <w:fldChar w:fldCharType="begin"/>
      </w:r>
      <w:r>
        <w:rPr>
          <w:highlight w:val="none"/>
        </w:rPr>
        <w:instrText xml:space="preserve"> PAGEREF _Toc32092 \h </w:instrText>
      </w:r>
      <w:r>
        <w:rPr>
          <w:highlight w:val="none"/>
        </w:rPr>
        <w:fldChar w:fldCharType="separate"/>
      </w:r>
      <w:r>
        <w:rPr>
          <w:highlight w:val="none"/>
        </w:rPr>
        <w:t>7</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bCs/>
          <w:kern w:val="1"/>
          <w:szCs w:val="32"/>
          <w:highlight w:val="none"/>
        </w:rPr>
        <w:t>3.2.1安全方面比较</w:t>
      </w:r>
      <w:r>
        <w:rPr>
          <w:highlight w:val="none"/>
        </w:rPr>
        <w:tab/>
      </w:r>
      <w:r>
        <w:rPr>
          <w:highlight w:val="none"/>
        </w:rPr>
        <w:fldChar w:fldCharType="begin"/>
      </w:r>
      <w:r>
        <w:rPr>
          <w:highlight w:val="none"/>
        </w:rPr>
        <w:instrText xml:space="preserve"> PAGEREF _Toc3392 \h </w:instrText>
      </w:r>
      <w:r>
        <w:rPr>
          <w:highlight w:val="none"/>
        </w:rPr>
        <w:fldChar w:fldCharType="separate"/>
      </w:r>
      <w:r>
        <w:rPr>
          <w:highlight w:val="none"/>
        </w:rPr>
        <w:t>7</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bCs/>
          <w:kern w:val="1"/>
          <w:szCs w:val="32"/>
          <w:highlight w:val="none"/>
        </w:rPr>
        <w:t>3.2.2 效能方面比较</w:t>
      </w:r>
      <w:r>
        <w:rPr>
          <w:highlight w:val="none"/>
        </w:rPr>
        <w:tab/>
      </w:r>
      <w:r>
        <w:rPr>
          <w:highlight w:val="none"/>
        </w:rPr>
        <w:fldChar w:fldCharType="begin"/>
      </w:r>
      <w:r>
        <w:rPr>
          <w:highlight w:val="none"/>
        </w:rPr>
        <w:instrText xml:space="preserve"> PAGEREF _Toc16075 \h </w:instrText>
      </w:r>
      <w:r>
        <w:rPr>
          <w:highlight w:val="none"/>
        </w:rPr>
        <w:fldChar w:fldCharType="separate"/>
      </w:r>
      <w:r>
        <w:rPr>
          <w:highlight w:val="none"/>
        </w:rPr>
        <w:t>8</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bCs/>
          <w:kern w:val="1"/>
          <w:szCs w:val="32"/>
          <w:highlight w:val="none"/>
        </w:rPr>
        <w:t>3.2.3 全寿命周期成本比较</w:t>
      </w:r>
      <w:r>
        <w:rPr>
          <w:highlight w:val="none"/>
        </w:rPr>
        <w:tab/>
      </w:r>
      <w:r>
        <w:rPr>
          <w:highlight w:val="none"/>
        </w:rPr>
        <w:fldChar w:fldCharType="begin"/>
      </w:r>
      <w:r>
        <w:rPr>
          <w:highlight w:val="none"/>
        </w:rPr>
        <w:instrText xml:space="preserve"> PAGEREF _Toc4793 \h </w:instrText>
      </w:r>
      <w:r>
        <w:rPr>
          <w:highlight w:val="none"/>
        </w:rPr>
        <w:fldChar w:fldCharType="separate"/>
      </w:r>
      <w:r>
        <w:rPr>
          <w:highlight w:val="none"/>
        </w:rPr>
        <w:t>8</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3.3 技术方案选择</w:t>
      </w:r>
      <w:r>
        <w:rPr>
          <w:highlight w:val="none"/>
        </w:rPr>
        <w:tab/>
      </w:r>
      <w:r>
        <w:rPr>
          <w:highlight w:val="none"/>
        </w:rPr>
        <w:fldChar w:fldCharType="begin"/>
      </w:r>
      <w:r>
        <w:rPr>
          <w:highlight w:val="none"/>
        </w:rPr>
        <w:instrText xml:space="preserve"> PAGEREF _Toc30894 \h </w:instrText>
      </w:r>
      <w:r>
        <w:rPr>
          <w:highlight w:val="none"/>
        </w:rPr>
        <w:fldChar w:fldCharType="separate"/>
      </w:r>
      <w:r>
        <w:rPr>
          <w:highlight w:val="none"/>
        </w:rPr>
        <w:t>8</w:t>
      </w:r>
      <w:r>
        <w:rPr>
          <w:highlight w:val="none"/>
        </w:rPr>
        <w:fldChar w:fldCharType="end"/>
      </w:r>
    </w:p>
    <w:p>
      <w:pPr>
        <w:pStyle w:val="24"/>
        <w:tabs>
          <w:tab w:val="right" w:leader="dot" w:pos="8306"/>
          <w:tab w:val="clear" w:pos="8268"/>
        </w:tabs>
        <w:ind w:left="420" w:firstLine="480"/>
        <w:rPr>
          <w:highlight w:val="none"/>
        </w:rPr>
      </w:pPr>
      <w:r>
        <w:rPr>
          <w:rFonts w:hint="eastAsia" w:ascii="仿宋_GB2312" w:eastAsia="仿宋_GB2312" w:cs="仿宋_GB2312"/>
          <w:bCs/>
          <w:szCs w:val="32"/>
          <w:highlight w:val="none"/>
        </w:rPr>
        <w:t>3.4技术方案详细内容</w:t>
      </w:r>
      <w:r>
        <w:rPr>
          <w:highlight w:val="none"/>
        </w:rPr>
        <w:tab/>
      </w:r>
      <w:r>
        <w:rPr>
          <w:highlight w:val="none"/>
        </w:rPr>
        <w:fldChar w:fldCharType="begin"/>
      </w:r>
      <w:r>
        <w:rPr>
          <w:highlight w:val="none"/>
        </w:rPr>
        <w:instrText xml:space="preserve"> PAGEREF _Toc3904 \h </w:instrText>
      </w:r>
      <w:r>
        <w:rPr>
          <w:highlight w:val="none"/>
        </w:rPr>
        <w:fldChar w:fldCharType="separate"/>
      </w:r>
      <w:r>
        <w:rPr>
          <w:highlight w:val="none"/>
        </w:rPr>
        <w:t>8</w:t>
      </w:r>
      <w:r>
        <w:rPr>
          <w:highlight w:val="none"/>
        </w:rPr>
        <w:fldChar w:fldCharType="end"/>
      </w:r>
    </w:p>
    <w:p>
      <w:pPr>
        <w:pStyle w:val="21"/>
        <w:tabs>
          <w:tab w:val="right" w:leader="dot" w:pos="8306"/>
          <w:tab w:val="clear" w:pos="8268"/>
        </w:tabs>
        <w:ind w:firstLine="480"/>
        <w:rPr>
          <w:highlight w:val="none"/>
        </w:rPr>
      </w:pPr>
      <w:r>
        <w:rPr>
          <w:rFonts w:hint="eastAsia" w:ascii="黑体" w:eastAsia="黑体" w:cs="黑体"/>
          <w:szCs w:val="32"/>
          <w:highlight w:val="none"/>
        </w:rPr>
        <w:t>4．经济性与财务合规性</w:t>
      </w:r>
      <w:r>
        <w:rPr>
          <w:highlight w:val="none"/>
        </w:rPr>
        <w:tab/>
      </w:r>
      <w:r>
        <w:rPr>
          <w:highlight w:val="none"/>
        </w:rPr>
        <w:fldChar w:fldCharType="begin"/>
      </w:r>
      <w:r>
        <w:rPr>
          <w:highlight w:val="none"/>
        </w:rPr>
        <w:instrText xml:space="preserve"> PAGEREF _Toc26920 \h </w:instrText>
      </w:r>
      <w:r>
        <w:rPr>
          <w:highlight w:val="none"/>
        </w:rPr>
        <w:fldChar w:fldCharType="separate"/>
      </w:r>
      <w:r>
        <w:rPr>
          <w:highlight w:val="none"/>
        </w:rPr>
        <w:t>12</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4.1 项目设计依据</w:t>
      </w:r>
      <w:r>
        <w:rPr>
          <w:highlight w:val="none"/>
        </w:rPr>
        <w:tab/>
      </w:r>
      <w:r>
        <w:rPr>
          <w:highlight w:val="none"/>
        </w:rPr>
        <w:fldChar w:fldCharType="begin"/>
      </w:r>
      <w:r>
        <w:rPr>
          <w:highlight w:val="none"/>
        </w:rPr>
        <w:instrText xml:space="preserve"> PAGEREF _Toc24010 \h </w:instrText>
      </w:r>
      <w:r>
        <w:rPr>
          <w:highlight w:val="none"/>
        </w:rPr>
        <w:fldChar w:fldCharType="separate"/>
      </w:r>
      <w:r>
        <w:rPr>
          <w:highlight w:val="none"/>
        </w:rPr>
        <w:t>12</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4.2 本项目政策适应性</w:t>
      </w:r>
      <w:r>
        <w:rPr>
          <w:highlight w:val="none"/>
        </w:rPr>
        <w:tab/>
      </w:r>
      <w:r>
        <w:rPr>
          <w:highlight w:val="none"/>
        </w:rPr>
        <w:fldChar w:fldCharType="begin"/>
      </w:r>
      <w:r>
        <w:rPr>
          <w:highlight w:val="none"/>
        </w:rPr>
        <w:instrText xml:space="preserve"> PAGEREF _Toc10057 \h </w:instrText>
      </w:r>
      <w:r>
        <w:rPr>
          <w:highlight w:val="none"/>
        </w:rPr>
        <w:fldChar w:fldCharType="separate"/>
      </w:r>
      <w:r>
        <w:rPr>
          <w:highlight w:val="none"/>
        </w:rPr>
        <w:t>13</w:t>
      </w:r>
      <w:r>
        <w:rPr>
          <w:highlight w:val="none"/>
        </w:rPr>
        <w:fldChar w:fldCharType="end"/>
      </w:r>
    </w:p>
    <w:p>
      <w:pPr>
        <w:pStyle w:val="21"/>
        <w:tabs>
          <w:tab w:val="right" w:leader="dot" w:pos="8306"/>
          <w:tab w:val="clear" w:pos="8268"/>
        </w:tabs>
        <w:ind w:firstLine="480"/>
        <w:rPr>
          <w:highlight w:val="none"/>
        </w:rPr>
      </w:pPr>
      <w:r>
        <w:rPr>
          <w:rFonts w:hint="eastAsia" w:ascii="黑体" w:hAnsi="黑体" w:eastAsia="黑体" w:cs="黑体"/>
          <w:bCs/>
          <w:szCs w:val="32"/>
          <w:highlight w:val="none"/>
        </w:rPr>
        <w:t>5. 拟拆除材料处置意见</w:t>
      </w:r>
      <w:r>
        <w:rPr>
          <w:highlight w:val="none"/>
        </w:rPr>
        <w:tab/>
      </w:r>
      <w:r>
        <w:rPr>
          <w:highlight w:val="none"/>
        </w:rPr>
        <w:fldChar w:fldCharType="begin"/>
      </w:r>
      <w:r>
        <w:rPr>
          <w:highlight w:val="none"/>
        </w:rPr>
        <w:instrText xml:space="preserve"> PAGEREF _Toc2378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5.1  拟拆除材料清单</w:t>
      </w:r>
      <w:r>
        <w:rPr>
          <w:highlight w:val="none"/>
        </w:rPr>
        <w:tab/>
      </w:r>
      <w:r>
        <w:rPr>
          <w:highlight w:val="none"/>
        </w:rPr>
        <w:fldChar w:fldCharType="begin"/>
      </w:r>
      <w:r>
        <w:rPr>
          <w:highlight w:val="none"/>
        </w:rPr>
        <w:instrText xml:space="preserve"> PAGEREF _Toc18873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5.2  拟拆除材料状态评价</w:t>
      </w:r>
      <w:r>
        <w:rPr>
          <w:highlight w:val="none"/>
        </w:rPr>
        <w:tab/>
      </w:r>
      <w:r>
        <w:rPr>
          <w:highlight w:val="none"/>
        </w:rPr>
        <w:fldChar w:fldCharType="begin"/>
      </w:r>
      <w:r>
        <w:rPr>
          <w:highlight w:val="none"/>
        </w:rPr>
        <w:instrText xml:space="preserve"> PAGEREF _Toc12104 \h </w:instrText>
      </w:r>
      <w:r>
        <w:rPr>
          <w:highlight w:val="none"/>
        </w:rPr>
        <w:fldChar w:fldCharType="separate"/>
      </w:r>
      <w:r>
        <w:rPr>
          <w:highlight w:val="none"/>
        </w:rPr>
        <w:t>13</w:t>
      </w:r>
      <w:r>
        <w:rPr>
          <w:highlight w:val="none"/>
        </w:rPr>
        <w:fldChar w:fldCharType="end"/>
      </w:r>
    </w:p>
    <w:p>
      <w:pPr>
        <w:pStyle w:val="21"/>
        <w:tabs>
          <w:tab w:val="right" w:leader="dot" w:pos="8306"/>
          <w:tab w:val="clear" w:pos="8268"/>
        </w:tabs>
        <w:ind w:firstLine="480"/>
        <w:rPr>
          <w:highlight w:val="none"/>
        </w:rPr>
      </w:pPr>
      <w:r>
        <w:rPr>
          <w:rFonts w:hint="eastAsia" w:ascii="黑体" w:hAnsi="黑体" w:eastAsia="黑体" w:cs="黑体"/>
          <w:bCs/>
          <w:szCs w:val="32"/>
          <w:highlight w:val="none"/>
        </w:rPr>
        <w:t>6．项目实施安排</w:t>
      </w:r>
      <w:r>
        <w:rPr>
          <w:highlight w:val="none"/>
        </w:rPr>
        <w:tab/>
      </w:r>
      <w:r>
        <w:rPr>
          <w:highlight w:val="none"/>
        </w:rPr>
        <w:fldChar w:fldCharType="begin"/>
      </w:r>
      <w:r>
        <w:rPr>
          <w:highlight w:val="none"/>
        </w:rPr>
        <w:instrText xml:space="preserve"> PAGEREF _Toc15218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6.1 外部环境落实条件</w:t>
      </w:r>
      <w:r>
        <w:rPr>
          <w:highlight w:val="none"/>
        </w:rPr>
        <w:tab/>
      </w:r>
      <w:r>
        <w:rPr>
          <w:highlight w:val="none"/>
        </w:rPr>
        <w:fldChar w:fldCharType="begin"/>
      </w:r>
      <w:r>
        <w:rPr>
          <w:highlight w:val="none"/>
        </w:rPr>
        <w:instrText xml:space="preserve"> PAGEREF _Toc3103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6.2 施工过渡措施</w:t>
      </w:r>
      <w:r>
        <w:rPr>
          <w:highlight w:val="none"/>
        </w:rPr>
        <w:tab/>
      </w:r>
      <w:r>
        <w:rPr>
          <w:highlight w:val="none"/>
        </w:rPr>
        <w:fldChar w:fldCharType="begin"/>
      </w:r>
      <w:r>
        <w:rPr>
          <w:highlight w:val="none"/>
        </w:rPr>
        <w:instrText xml:space="preserve"> PAGEREF _Toc30601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6.3 项目实施计划安排</w:t>
      </w:r>
      <w:r>
        <w:rPr>
          <w:highlight w:val="none"/>
        </w:rPr>
        <w:tab/>
      </w:r>
      <w:r>
        <w:rPr>
          <w:highlight w:val="none"/>
        </w:rPr>
        <w:fldChar w:fldCharType="begin"/>
      </w:r>
      <w:r>
        <w:rPr>
          <w:highlight w:val="none"/>
        </w:rPr>
        <w:instrText xml:space="preserve"> PAGEREF _Toc9768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kern w:val="1"/>
          <w:szCs w:val="32"/>
          <w:highlight w:val="none"/>
        </w:rPr>
        <w:t>6.4 环境影响预测及采取措施</w:t>
      </w:r>
      <w:r>
        <w:rPr>
          <w:highlight w:val="none"/>
        </w:rPr>
        <w:tab/>
      </w:r>
      <w:r>
        <w:rPr>
          <w:highlight w:val="none"/>
        </w:rPr>
        <w:fldChar w:fldCharType="begin"/>
      </w:r>
      <w:r>
        <w:rPr>
          <w:highlight w:val="none"/>
        </w:rPr>
        <w:instrText xml:space="preserve"> PAGEREF _Toc27681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bCs/>
          <w:kern w:val="1"/>
          <w:szCs w:val="32"/>
          <w:highlight w:val="none"/>
        </w:rPr>
        <w:t>6.4.1环境影响预测</w:t>
      </w:r>
      <w:r>
        <w:rPr>
          <w:highlight w:val="none"/>
        </w:rPr>
        <w:tab/>
      </w:r>
      <w:r>
        <w:rPr>
          <w:highlight w:val="none"/>
        </w:rPr>
        <w:fldChar w:fldCharType="begin"/>
      </w:r>
      <w:r>
        <w:rPr>
          <w:highlight w:val="none"/>
        </w:rPr>
        <w:instrText xml:space="preserve"> PAGEREF _Toc30568 \h </w:instrText>
      </w:r>
      <w:r>
        <w:rPr>
          <w:highlight w:val="none"/>
        </w:rPr>
        <w:fldChar w:fldCharType="separate"/>
      </w:r>
      <w:r>
        <w:rPr>
          <w:highlight w:val="none"/>
        </w:rPr>
        <w:t>13</w:t>
      </w:r>
      <w:r>
        <w:rPr>
          <w:highlight w:val="none"/>
        </w:rPr>
        <w:fldChar w:fldCharType="end"/>
      </w:r>
    </w:p>
    <w:p>
      <w:pPr>
        <w:pStyle w:val="24"/>
        <w:tabs>
          <w:tab w:val="right" w:leader="dot" w:pos="8306"/>
          <w:tab w:val="clear" w:pos="8268"/>
        </w:tabs>
        <w:ind w:left="420" w:firstLine="480"/>
        <w:rPr>
          <w:highlight w:val="none"/>
        </w:rPr>
      </w:pPr>
      <w:r>
        <w:rPr>
          <w:rFonts w:hint="eastAsia" w:ascii="仿宋_GB2312" w:hAnsi="仿宋_GB2312" w:eastAsia="仿宋_GB2312" w:cs="仿宋_GB2312"/>
          <w:bCs/>
          <w:kern w:val="1"/>
          <w:szCs w:val="32"/>
          <w:highlight w:val="none"/>
        </w:rPr>
        <w:t>6.4.2采取措施</w:t>
      </w:r>
      <w:r>
        <w:rPr>
          <w:highlight w:val="none"/>
        </w:rPr>
        <w:tab/>
      </w:r>
      <w:r>
        <w:rPr>
          <w:highlight w:val="none"/>
        </w:rPr>
        <w:fldChar w:fldCharType="begin"/>
      </w:r>
      <w:r>
        <w:rPr>
          <w:highlight w:val="none"/>
        </w:rPr>
        <w:instrText xml:space="preserve"> PAGEREF _Toc1519 \h </w:instrText>
      </w:r>
      <w:r>
        <w:rPr>
          <w:highlight w:val="none"/>
        </w:rPr>
        <w:fldChar w:fldCharType="separate"/>
      </w:r>
      <w:r>
        <w:rPr>
          <w:highlight w:val="none"/>
        </w:rPr>
        <w:t>14</w:t>
      </w:r>
      <w:r>
        <w:rPr>
          <w:highlight w:val="none"/>
        </w:rPr>
        <w:fldChar w:fldCharType="end"/>
      </w:r>
    </w:p>
    <w:p>
      <w:pPr>
        <w:pStyle w:val="21"/>
        <w:tabs>
          <w:tab w:val="right" w:leader="dot" w:pos="8306"/>
          <w:tab w:val="clear" w:pos="8268"/>
        </w:tabs>
        <w:ind w:firstLine="480"/>
        <w:rPr>
          <w:highlight w:val="none"/>
        </w:rPr>
      </w:pPr>
      <w:r>
        <w:rPr>
          <w:rFonts w:hint="eastAsia" w:ascii="黑体" w:hAnsi="黑体" w:eastAsia="黑体" w:cs="黑体"/>
          <w:bCs/>
          <w:szCs w:val="32"/>
          <w:highlight w:val="none"/>
        </w:rPr>
        <w:t>7． 特别事项说明</w:t>
      </w:r>
      <w:r>
        <w:rPr>
          <w:highlight w:val="none"/>
        </w:rPr>
        <w:tab/>
      </w:r>
      <w:r>
        <w:rPr>
          <w:highlight w:val="none"/>
        </w:rPr>
        <w:fldChar w:fldCharType="begin"/>
      </w:r>
      <w:r>
        <w:rPr>
          <w:highlight w:val="none"/>
        </w:rPr>
        <w:instrText xml:space="preserve"> PAGEREF _Toc12660 \h </w:instrText>
      </w:r>
      <w:r>
        <w:rPr>
          <w:highlight w:val="none"/>
        </w:rPr>
        <w:fldChar w:fldCharType="separate"/>
      </w:r>
      <w:r>
        <w:rPr>
          <w:highlight w:val="none"/>
        </w:rPr>
        <w:t>14</w:t>
      </w:r>
      <w:r>
        <w:rPr>
          <w:highlight w:val="none"/>
        </w:rPr>
        <w:fldChar w:fldCharType="end"/>
      </w:r>
    </w:p>
    <w:p>
      <w:pPr>
        <w:pStyle w:val="21"/>
        <w:tabs>
          <w:tab w:val="right" w:leader="dot" w:pos="8306"/>
          <w:tab w:val="clear" w:pos="8268"/>
        </w:tabs>
        <w:ind w:firstLine="480"/>
        <w:rPr>
          <w:highlight w:val="none"/>
        </w:rPr>
      </w:pPr>
      <w:r>
        <w:rPr>
          <w:rFonts w:hint="eastAsia" w:ascii="黑体" w:hAnsi="黑体" w:eastAsia="黑体" w:cs="黑体"/>
          <w:bCs/>
          <w:szCs w:val="32"/>
          <w:highlight w:val="none"/>
        </w:rPr>
        <w:t>8. 附表</w:t>
      </w:r>
      <w:r>
        <w:rPr>
          <w:highlight w:val="none"/>
        </w:rPr>
        <w:tab/>
      </w:r>
      <w:r>
        <w:rPr>
          <w:highlight w:val="none"/>
        </w:rPr>
        <w:fldChar w:fldCharType="begin"/>
      </w:r>
      <w:r>
        <w:rPr>
          <w:highlight w:val="none"/>
        </w:rPr>
        <w:instrText xml:space="preserve"> PAGEREF _Toc21927 \h </w:instrText>
      </w:r>
      <w:r>
        <w:rPr>
          <w:highlight w:val="none"/>
        </w:rPr>
        <w:fldChar w:fldCharType="separate"/>
      </w:r>
      <w:r>
        <w:rPr>
          <w:highlight w:val="none"/>
        </w:rPr>
        <w:t>14</w:t>
      </w:r>
      <w:r>
        <w:rPr>
          <w:highlight w:val="none"/>
        </w:rPr>
        <w:fldChar w:fldCharType="end"/>
      </w:r>
    </w:p>
    <w:p>
      <w:pPr>
        <w:pStyle w:val="24"/>
        <w:tabs>
          <w:tab w:val="right" w:leader="dot" w:pos="8306"/>
          <w:tab w:val="clear" w:pos="8268"/>
        </w:tabs>
        <w:ind w:left="420" w:firstLine="480"/>
        <w:rPr>
          <w:rFonts w:ascii="仿宋_GB2312" w:eastAsia="仿宋_GB2312" w:cs="黑体"/>
          <w:sz w:val="32"/>
          <w:szCs w:val="32"/>
          <w:highlight w:val="none"/>
        </w:rPr>
        <w:sectPr>
          <w:pgSz w:w="11906" w:h="16838"/>
          <w:pgMar w:top="1440" w:right="1800" w:bottom="1440" w:left="1800" w:header="851" w:footer="992" w:gutter="0"/>
          <w:pgNumType w:start="1"/>
          <w:cols w:space="425" w:num="1"/>
          <w:docGrid w:type="lines" w:linePitch="312" w:charSpace="0"/>
        </w:sectPr>
      </w:pPr>
      <w:r>
        <w:rPr>
          <w:rFonts w:hint="eastAsia" w:ascii="宋体" w:hAnsi="宋体"/>
          <w:kern w:val="0"/>
          <w:szCs w:val="28"/>
          <w:highlight w:val="none"/>
        </w:rPr>
        <w:fldChar w:fldCharType="end"/>
      </w:r>
      <w:bookmarkEnd w:id="1"/>
      <w:bookmarkEnd w:id="2"/>
      <w:bookmarkEnd w:id="3"/>
      <w:bookmarkStart w:id="4" w:name="_Toc2039"/>
    </w:p>
    <w:p>
      <w:pPr>
        <w:spacing w:line="500" w:lineRule="exact"/>
        <w:ind w:firstLine="0" w:firstLineChars="0"/>
        <w:jc w:val="left"/>
        <w:outlineLvl w:val="0"/>
        <w:rPr>
          <w:sz w:val="32"/>
          <w:szCs w:val="32"/>
          <w:highlight w:val="none"/>
        </w:rPr>
      </w:pPr>
      <w:bookmarkStart w:id="5" w:name="_Toc29634"/>
      <w:r>
        <w:rPr>
          <w:rFonts w:ascii="黑体" w:eastAsia="黑体" w:cs="黑体"/>
          <w:sz w:val="32"/>
          <w:szCs w:val="32"/>
          <w:highlight w:val="none"/>
        </w:rPr>
        <w:t>1．</w:t>
      </w:r>
      <w:r>
        <w:rPr>
          <w:rFonts w:hint="eastAsia" w:ascii="黑体" w:eastAsia="黑体" w:cs="黑体"/>
          <w:sz w:val="32"/>
          <w:szCs w:val="32"/>
          <w:highlight w:val="none"/>
        </w:rPr>
        <w:t>项目</w:t>
      </w:r>
      <w:r>
        <w:rPr>
          <w:rFonts w:ascii="黑体" w:eastAsia="黑体" w:cs="黑体"/>
          <w:sz w:val="32"/>
          <w:szCs w:val="32"/>
          <w:highlight w:val="none"/>
        </w:rPr>
        <w:t>概述</w:t>
      </w:r>
      <w:bookmarkEnd w:id="4"/>
      <w:bookmarkEnd w:id="5"/>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6" w:name="_Toc30108"/>
      <w:r>
        <w:rPr>
          <w:rFonts w:hint="eastAsia" w:ascii="仿宋_GB2312" w:eastAsia="仿宋_GB2312" w:cs="仿宋_GB2312"/>
          <w:b/>
          <w:bCs/>
          <w:sz w:val="32"/>
          <w:szCs w:val="32"/>
          <w:highlight w:val="none"/>
        </w:rPr>
        <w:t>1.1  编制依据</w:t>
      </w:r>
      <w:bookmarkEnd w:id="6"/>
    </w:p>
    <w:p>
      <w:pPr>
        <w:topLinePunct/>
        <w:spacing w:line="360" w:lineRule="auto"/>
        <w:ind w:firstLine="640"/>
        <w:rPr>
          <w:rFonts w:ascii="仿宋_GB2312" w:hAnsi="宋体" w:eastAsia="仿宋_GB2312"/>
          <w:color w:val="000000"/>
          <w:sz w:val="32"/>
          <w:szCs w:val="32"/>
          <w:highlight w:val="none"/>
        </w:rPr>
      </w:pPr>
      <w:r>
        <w:rPr>
          <w:rFonts w:hint="eastAsia" w:ascii="仿宋_GB2312" w:hAnsi="宋体" w:eastAsia="仿宋_GB2312"/>
          <w:color w:val="000000"/>
          <w:sz w:val="32"/>
          <w:szCs w:val="32"/>
          <w:highlight w:val="none"/>
        </w:rPr>
        <w:t>（1）国网浙江杭州供电公司关于202</w:t>
      </w:r>
      <w:r>
        <w:rPr>
          <w:rFonts w:hint="eastAsia" w:ascii="仿宋_GB2312" w:hAnsi="宋体" w:eastAsia="仿宋_GB2312"/>
          <w:color w:val="000000"/>
          <w:sz w:val="32"/>
          <w:szCs w:val="32"/>
          <w:highlight w:val="none"/>
          <w:lang w:val="en-US" w:eastAsia="zh-CN"/>
        </w:rPr>
        <w:t>4</w:t>
      </w:r>
      <w:r>
        <w:rPr>
          <w:rFonts w:hint="eastAsia" w:ascii="仿宋_GB2312" w:hAnsi="宋体" w:eastAsia="仿宋_GB2312"/>
          <w:color w:val="000000"/>
          <w:sz w:val="32"/>
          <w:szCs w:val="32"/>
          <w:highlight w:val="none"/>
        </w:rPr>
        <w:t>年国网生产大修项目可研编制委托函；</w:t>
      </w:r>
    </w:p>
    <w:p>
      <w:pPr>
        <w:pStyle w:val="95"/>
        <w:widowControl w:val="0"/>
        <w:snapToGrid w:val="0"/>
        <w:spacing w:before="0" w:beforeAutospacing="0" w:after="0" w:afterAutospacing="0" w:line="360" w:lineRule="auto"/>
        <w:ind w:firstLine="640"/>
        <w:contextualSpacing/>
        <w:jc w:val="both"/>
        <w:rPr>
          <w:rFonts w:ascii="仿宋_GB2312" w:eastAsia="仿宋_GB2312"/>
          <w:color w:val="000000"/>
          <w:kern w:val="2"/>
          <w:sz w:val="32"/>
          <w:szCs w:val="32"/>
          <w:highlight w:val="none"/>
        </w:rPr>
      </w:pPr>
      <w:r>
        <w:rPr>
          <w:rFonts w:hint="eastAsia" w:ascii="仿宋_GB2312" w:eastAsia="仿宋_GB2312"/>
          <w:color w:val="000000"/>
          <w:kern w:val="2"/>
          <w:sz w:val="32"/>
          <w:szCs w:val="32"/>
          <w:highlight w:val="none"/>
        </w:rPr>
        <w:t>（</w:t>
      </w:r>
      <w:r>
        <w:rPr>
          <w:rFonts w:hint="eastAsia" w:ascii="仿宋_GB2312" w:eastAsia="仿宋_GB2312"/>
          <w:color w:val="000000"/>
          <w:kern w:val="2"/>
          <w:sz w:val="32"/>
          <w:szCs w:val="32"/>
          <w:highlight w:val="none"/>
          <w:lang w:val="en-US" w:eastAsia="zh-CN"/>
        </w:rPr>
        <w:t>2</w:t>
      </w:r>
      <w:r>
        <w:rPr>
          <w:rFonts w:hint="eastAsia" w:ascii="仿宋_GB2312" w:eastAsia="仿宋_GB2312"/>
          <w:color w:val="000000"/>
          <w:kern w:val="2"/>
          <w:sz w:val="32"/>
          <w:szCs w:val="32"/>
          <w:highlight w:val="none"/>
        </w:rPr>
        <w:t>）《国家电网公司生产技术改造和生产设备大修项目可行性研究内容深度规定第1部分：生产技术改造项目》Q/GDW 11719.1－2017；</w:t>
      </w:r>
    </w:p>
    <w:p>
      <w:pPr>
        <w:pStyle w:val="95"/>
        <w:widowControl w:val="0"/>
        <w:snapToGrid w:val="0"/>
        <w:spacing w:before="0" w:beforeAutospacing="0" w:after="0" w:afterAutospacing="0" w:line="360" w:lineRule="auto"/>
        <w:ind w:firstLine="640"/>
        <w:contextualSpacing/>
        <w:jc w:val="both"/>
        <w:rPr>
          <w:rFonts w:ascii="仿宋_GB2312" w:eastAsia="仿宋_GB2312"/>
          <w:color w:val="000000"/>
          <w:kern w:val="2"/>
          <w:sz w:val="32"/>
          <w:szCs w:val="32"/>
          <w:highlight w:val="none"/>
        </w:rPr>
      </w:pPr>
      <w:r>
        <w:rPr>
          <w:rFonts w:hint="eastAsia" w:ascii="仿宋_GB2312" w:eastAsia="仿宋_GB2312"/>
          <w:color w:val="000000"/>
          <w:kern w:val="2"/>
          <w:sz w:val="32"/>
          <w:szCs w:val="32"/>
          <w:highlight w:val="none"/>
        </w:rPr>
        <w:t>（</w:t>
      </w:r>
      <w:r>
        <w:rPr>
          <w:rFonts w:hint="eastAsia" w:ascii="仿宋_GB2312" w:eastAsia="仿宋_GB2312"/>
          <w:color w:val="000000"/>
          <w:kern w:val="2"/>
          <w:sz w:val="32"/>
          <w:szCs w:val="32"/>
          <w:highlight w:val="none"/>
          <w:lang w:val="en-US" w:eastAsia="zh-CN"/>
        </w:rPr>
        <w:t>3</w:t>
      </w:r>
      <w:r>
        <w:rPr>
          <w:rFonts w:hint="eastAsia" w:ascii="仿宋_GB2312" w:eastAsia="仿宋_GB2312"/>
          <w:color w:val="000000"/>
          <w:kern w:val="2"/>
          <w:sz w:val="32"/>
          <w:szCs w:val="32"/>
          <w:highlight w:val="none"/>
        </w:rPr>
        <w:t>）《国家电网公司十八项电网重大反事故措施》（国家电网公司</w:t>
      </w:r>
      <w:r>
        <w:rPr>
          <w:rFonts w:ascii="仿宋_GB2312" w:eastAsia="仿宋_GB2312"/>
          <w:color w:val="000000"/>
          <w:kern w:val="2"/>
          <w:sz w:val="32"/>
          <w:szCs w:val="32"/>
          <w:highlight w:val="none"/>
        </w:rPr>
        <w:t>〔</w:t>
      </w:r>
      <w:r>
        <w:rPr>
          <w:rFonts w:hint="eastAsia" w:ascii="仿宋_GB2312" w:eastAsia="仿宋_GB2312"/>
          <w:color w:val="000000"/>
          <w:kern w:val="2"/>
          <w:sz w:val="32"/>
          <w:szCs w:val="32"/>
          <w:highlight w:val="none"/>
        </w:rPr>
        <w:t>2018〕979号）；</w:t>
      </w:r>
    </w:p>
    <w:p>
      <w:pPr>
        <w:pStyle w:val="95"/>
        <w:widowControl w:val="0"/>
        <w:snapToGrid w:val="0"/>
        <w:spacing w:before="0" w:beforeAutospacing="0" w:after="0" w:afterAutospacing="0" w:line="360" w:lineRule="auto"/>
        <w:ind w:firstLine="640"/>
        <w:contextualSpacing/>
        <w:jc w:val="both"/>
        <w:rPr>
          <w:rFonts w:ascii="仿宋_GB2312" w:eastAsia="仿宋_GB2312"/>
          <w:color w:val="000000"/>
          <w:kern w:val="2"/>
          <w:sz w:val="32"/>
          <w:szCs w:val="32"/>
          <w:highlight w:val="none"/>
        </w:rPr>
      </w:pPr>
      <w:r>
        <w:rPr>
          <w:rFonts w:hint="eastAsia" w:ascii="仿宋_GB2312" w:eastAsia="仿宋_GB2312"/>
          <w:color w:val="000000"/>
          <w:kern w:val="2"/>
          <w:sz w:val="32"/>
          <w:szCs w:val="32"/>
          <w:highlight w:val="none"/>
        </w:rPr>
        <w:t>（</w:t>
      </w:r>
      <w:r>
        <w:rPr>
          <w:rFonts w:hint="eastAsia" w:ascii="仿宋_GB2312" w:eastAsia="仿宋_GB2312"/>
          <w:color w:val="000000"/>
          <w:kern w:val="2"/>
          <w:sz w:val="32"/>
          <w:szCs w:val="32"/>
          <w:highlight w:val="none"/>
          <w:lang w:val="en-US" w:eastAsia="zh-CN"/>
        </w:rPr>
        <w:t>4</w:t>
      </w:r>
      <w:r>
        <w:rPr>
          <w:rFonts w:hint="eastAsia" w:ascii="仿宋_GB2312" w:eastAsia="仿宋_GB2312"/>
          <w:color w:val="000000"/>
          <w:kern w:val="2"/>
          <w:sz w:val="32"/>
          <w:szCs w:val="32"/>
          <w:highlight w:val="none"/>
        </w:rPr>
        <w:t>）《国家电网公司工程账务管理办法》（国家电网企管）</w:t>
      </w:r>
      <w:r>
        <w:rPr>
          <w:rFonts w:ascii="仿宋_GB2312" w:eastAsia="仿宋_GB2312"/>
          <w:color w:val="000000"/>
          <w:kern w:val="2"/>
          <w:sz w:val="32"/>
          <w:szCs w:val="32"/>
          <w:highlight w:val="none"/>
        </w:rPr>
        <w:t>〔</w:t>
      </w:r>
      <w:r>
        <w:rPr>
          <w:rFonts w:hint="eastAsia" w:ascii="仿宋_GB2312" w:eastAsia="仿宋_GB2312"/>
          <w:color w:val="000000"/>
          <w:kern w:val="2"/>
          <w:sz w:val="32"/>
          <w:szCs w:val="32"/>
          <w:highlight w:val="none"/>
        </w:rPr>
        <w:t>2014〕742号；</w:t>
      </w:r>
    </w:p>
    <w:p>
      <w:pPr>
        <w:pStyle w:val="95"/>
        <w:widowControl w:val="0"/>
        <w:snapToGrid w:val="0"/>
        <w:spacing w:before="0" w:beforeAutospacing="0" w:after="0" w:afterAutospacing="0" w:line="360" w:lineRule="auto"/>
        <w:ind w:firstLine="640"/>
        <w:contextualSpacing/>
        <w:jc w:val="both"/>
        <w:rPr>
          <w:rFonts w:ascii="仿宋_GB2312" w:eastAsia="仿宋_GB2312"/>
          <w:color w:val="000000"/>
          <w:kern w:val="2"/>
          <w:sz w:val="32"/>
          <w:szCs w:val="32"/>
          <w:highlight w:val="none"/>
        </w:rPr>
      </w:pPr>
      <w:r>
        <w:rPr>
          <w:rFonts w:hint="eastAsia" w:ascii="仿宋_GB2312" w:eastAsia="仿宋_GB2312"/>
          <w:color w:val="000000"/>
          <w:kern w:val="2"/>
          <w:sz w:val="32"/>
          <w:szCs w:val="32"/>
          <w:highlight w:val="none"/>
        </w:rPr>
        <w:t>（</w:t>
      </w:r>
      <w:r>
        <w:rPr>
          <w:rFonts w:hint="eastAsia" w:ascii="仿宋_GB2312" w:eastAsia="仿宋_GB2312"/>
          <w:color w:val="000000"/>
          <w:kern w:val="2"/>
          <w:sz w:val="32"/>
          <w:szCs w:val="32"/>
          <w:highlight w:val="none"/>
          <w:lang w:val="en-US" w:eastAsia="zh-CN"/>
        </w:rPr>
        <w:t>5</w:t>
      </w:r>
      <w:r>
        <w:rPr>
          <w:rFonts w:hint="eastAsia" w:ascii="仿宋_GB2312" w:eastAsia="仿宋_GB2312"/>
          <w:color w:val="000000"/>
          <w:kern w:val="2"/>
          <w:sz w:val="32"/>
          <w:szCs w:val="32"/>
          <w:highlight w:val="none"/>
        </w:rPr>
        <w:t>）《国家电网公司项目可研经济性与账务合规性评价指导意见》（国家电网财</w:t>
      </w:r>
      <w:r>
        <w:rPr>
          <w:rFonts w:ascii="仿宋_GB2312" w:eastAsia="仿宋_GB2312"/>
          <w:color w:val="000000"/>
          <w:kern w:val="2"/>
          <w:sz w:val="32"/>
          <w:szCs w:val="32"/>
          <w:highlight w:val="none"/>
        </w:rPr>
        <w:t>〔</w:t>
      </w:r>
      <w:r>
        <w:rPr>
          <w:rFonts w:hint="eastAsia" w:ascii="仿宋_GB2312" w:eastAsia="仿宋_GB2312"/>
          <w:color w:val="000000"/>
          <w:kern w:val="2"/>
          <w:sz w:val="32"/>
          <w:szCs w:val="32"/>
          <w:highlight w:val="none"/>
        </w:rPr>
        <w:t>2014〕1008号）；</w:t>
      </w:r>
    </w:p>
    <w:p>
      <w:pPr>
        <w:pStyle w:val="95"/>
        <w:widowControl w:val="0"/>
        <w:snapToGrid w:val="0"/>
        <w:spacing w:before="0" w:beforeAutospacing="0" w:after="0" w:afterAutospacing="0" w:line="360" w:lineRule="auto"/>
        <w:ind w:firstLine="640"/>
        <w:contextualSpacing/>
        <w:jc w:val="both"/>
        <w:rPr>
          <w:rFonts w:hint="eastAsia" w:ascii="仿宋_GB2312" w:eastAsia="仿宋_GB2312"/>
          <w:color w:val="000000"/>
          <w:kern w:val="2"/>
          <w:sz w:val="32"/>
          <w:szCs w:val="32"/>
          <w:highlight w:val="none"/>
          <w:lang w:eastAsia="zh-CN"/>
        </w:rPr>
      </w:pPr>
      <w:r>
        <w:rPr>
          <w:rFonts w:hint="eastAsia" w:ascii="仿宋_GB2312" w:eastAsia="仿宋_GB2312"/>
          <w:color w:val="000000"/>
          <w:kern w:val="2"/>
          <w:sz w:val="32"/>
          <w:szCs w:val="32"/>
          <w:highlight w:val="none"/>
        </w:rPr>
        <w:t>（</w:t>
      </w:r>
      <w:r>
        <w:rPr>
          <w:rFonts w:hint="eastAsia" w:ascii="仿宋_GB2312" w:eastAsia="仿宋_GB2312"/>
          <w:color w:val="000000"/>
          <w:kern w:val="2"/>
          <w:sz w:val="32"/>
          <w:szCs w:val="32"/>
          <w:highlight w:val="none"/>
          <w:lang w:val="en-US" w:eastAsia="zh-CN"/>
        </w:rPr>
        <w:t>6</w:t>
      </w:r>
      <w:r>
        <w:rPr>
          <w:rFonts w:hint="eastAsia" w:ascii="仿宋_GB2312" w:eastAsia="仿宋_GB2312"/>
          <w:color w:val="000000"/>
          <w:kern w:val="2"/>
          <w:sz w:val="32"/>
          <w:szCs w:val="32"/>
          <w:highlight w:val="none"/>
        </w:rPr>
        <w:t>）《国网设备部关于印发公司电网生产技术改造和设备大修原则的通知》（设备计划〔2020〕72号）</w:t>
      </w:r>
      <w:r>
        <w:rPr>
          <w:rFonts w:hint="eastAsia" w:ascii="仿宋_GB2312" w:eastAsia="仿宋_GB2312"/>
          <w:color w:val="000000"/>
          <w:kern w:val="2"/>
          <w:sz w:val="32"/>
          <w:szCs w:val="32"/>
          <w:highlight w:val="none"/>
          <w:lang w:eastAsia="zh-CN"/>
        </w:rPr>
        <w:t>。</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7" w:name="_Toc19292"/>
      <w:r>
        <w:rPr>
          <w:rFonts w:hint="eastAsia" w:ascii="仿宋_GB2312" w:eastAsia="仿宋_GB2312" w:cs="仿宋_GB2312"/>
          <w:b/>
          <w:bCs/>
          <w:sz w:val="32"/>
          <w:szCs w:val="32"/>
          <w:highlight w:val="none"/>
        </w:rPr>
        <w:t>1.2  项目现状</w:t>
      </w:r>
      <w:bookmarkEnd w:id="7"/>
    </w:p>
    <w:p>
      <w:pPr>
        <w:pStyle w:val="27"/>
        <w:adjustRightInd w:val="0"/>
        <w:spacing w:before="0" w:beforeAutospacing="0" w:after="0" w:afterAutospacing="0" w:line="580" w:lineRule="exact"/>
        <w:ind w:firstLine="640"/>
        <w:jc w:val="both"/>
        <w:rPr>
          <w:rFonts w:ascii="仿宋_GB2312" w:eastAsia="仿宋_GB2312"/>
          <w:color w:val="000000"/>
          <w:sz w:val="32"/>
          <w:szCs w:val="32"/>
          <w:highlight w:val="none"/>
        </w:rPr>
      </w:pPr>
      <w:r>
        <w:rPr>
          <w:rFonts w:hint="eastAsia" w:ascii="仿宋_GB2312" w:eastAsia="仿宋_GB2312"/>
          <w:color w:val="000000"/>
          <w:sz w:val="32"/>
          <w:szCs w:val="32"/>
          <w:highlight w:val="none"/>
          <w:lang w:eastAsia="zh-CN"/>
        </w:rPr>
        <w:t>110kV学里1717线</w:t>
      </w:r>
      <w:r>
        <w:rPr>
          <w:rFonts w:hint="eastAsia" w:ascii="仿宋_GB2312" w:eastAsia="仿宋_GB2312"/>
          <w:color w:val="000000"/>
          <w:sz w:val="32"/>
          <w:szCs w:val="32"/>
          <w:highlight w:val="none"/>
        </w:rPr>
        <w:t>等电缆线路投运于</w:t>
      </w:r>
      <w:r>
        <w:rPr>
          <w:rFonts w:hint="eastAsia" w:ascii="仿宋_GB2312" w:eastAsia="仿宋_GB2312"/>
          <w:color w:val="000000"/>
          <w:sz w:val="32"/>
          <w:szCs w:val="32"/>
          <w:highlight w:val="none"/>
          <w:lang w:val="en-US" w:eastAsia="zh-CN"/>
        </w:rPr>
        <w:t>2008</w:t>
      </w:r>
      <w:r>
        <w:rPr>
          <w:rFonts w:hint="eastAsia" w:ascii="仿宋_GB2312" w:eastAsia="仿宋_GB2312"/>
          <w:color w:val="000000"/>
          <w:sz w:val="32"/>
          <w:szCs w:val="32"/>
          <w:highlight w:val="none"/>
        </w:rPr>
        <w:t>～</w:t>
      </w:r>
      <w:r>
        <w:rPr>
          <w:rFonts w:hint="eastAsia" w:ascii="仿宋_GB2312" w:eastAsia="仿宋_GB2312"/>
          <w:color w:val="000000"/>
          <w:sz w:val="32"/>
          <w:szCs w:val="32"/>
          <w:highlight w:val="none"/>
          <w:lang w:val="en-US" w:eastAsia="zh-CN"/>
        </w:rPr>
        <w:t>2023</w:t>
      </w:r>
      <w:r>
        <w:rPr>
          <w:rFonts w:hint="eastAsia" w:ascii="仿宋_GB2312" w:eastAsia="仿宋_GB2312"/>
          <w:color w:val="000000"/>
          <w:sz w:val="32"/>
          <w:szCs w:val="32"/>
          <w:highlight w:val="none"/>
        </w:rPr>
        <w:t>年。部分电缆线路因城市道路与绿化建设，存在工井沉降、盖板破损、穿越道路的排管负载强度不足等情况；同时存在标识牌和电缆终端围栏缺失等缺陷，影响线路正常安全运行。</w:t>
      </w:r>
    </w:p>
    <w:p>
      <w:pPr>
        <w:pStyle w:val="27"/>
        <w:adjustRightInd w:val="0"/>
        <w:spacing w:before="0" w:beforeAutospacing="0" w:after="0" w:afterAutospacing="0" w:line="580" w:lineRule="exact"/>
        <w:ind w:firstLine="640"/>
        <w:jc w:val="both"/>
        <w:rPr>
          <w:rFonts w:ascii="仿宋_GB2312" w:eastAsia="仿宋_GB2312"/>
          <w:color w:val="000000"/>
          <w:sz w:val="32"/>
          <w:szCs w:val="32"/>
          <w:highlight w:val="none"/>
        </w:rPr>
      </w:pPr>
      <w:r>
        <w:rPr>
          <w:rFonts w:hint="eastAsia" w:ascii="仿宋_GB2312" w:eastAsia="仿宋_GB2312"/>
          <w:color w:val="000000"/>
          <w:sz w:val="32"/>
          <w:szCs w:val="32"/>
          <w:highlight w:val="none"/>
        </w:rPr>
        <w:t>线路现状如下：</w:t>
      </w:r>
    </w:p>
    <w:tbl>
      <w:tblPr>
        <w:tblStyle w:val="30"/>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560"/>
        <w:gridCol w:w="2617"/>
        <w:gridCol w:w="21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5" w:hRule="atLeast"/>
        </w:trPr>
        <w:tc>
          <w:tcPr>
            <w:tcW w:w="2138" w:type="pct"/>
            <w:tcBorders>
              <w:top w:val="single" w:color="000000" w:sz="8" w:space="0"/>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线路名称</w:t>
            </w:r>
          </w:p>
        </w:tc>
        <w:tc>
          <w:tcPr>
            <w:tcW w:w="1572" w:type="pct"/>
            <w:tcBorders>
              <w:top w:val="single" w:color="000000" w:sz="8" w:space="0"/>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电缆长度（km)</w:t>
            </w:r>
          </w:p>
        </w:tc>
        <w:tc>
          <w:tcPr>
            <w:tcW w:w="1289" w:type="pct"/>
            <w:tcBorders>
              <w:top w:val="single" w:color="000000" w:sz="8" w:space="0"/>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投运时间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梅丘1973线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9.375</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2021/1/31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元崇1015线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4.197</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2020/9/29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洛山1716线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6.32</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2019/10/22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大余1725线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5.315</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2015/2/2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广济1724线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6.885</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2011/11/29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五杭1722线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4.268</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2020/12/18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大云1740线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11.698</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2021/4/19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会长1734线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5.544</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大凤1729线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1.36</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2020/10/17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勾庄1713线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4.15</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长桥1193线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6.373</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2020/6/28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元横1016线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3.722</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2023/5/17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仁镇1198线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5.67</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2020/4/29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桃源1984线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16.175</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2022/12/27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杭桃1147线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5.697</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2018/11/20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潘板1742线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8.592</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2022/12/21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高地1979线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5.96</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2021/12/21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德桑1335线外乔支线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4.07</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2018/7/10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2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五常1981线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8.935</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2022/12/7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创杭1980线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8.934</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2022/12/7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油车1714线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12.841</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2019/10/21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元建1013线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1.518</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2008/12/7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2138" w:type="pct"/>
            <w:tcBorders>
              <w:top w:val="nil"/>
              <w:left w:val="single" w:color="000000" w:sz="8" w:space="0"/>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崇畔1167线</w:t>
            </w:r>
          </w:p>
        </w:tc>
        <w:tc>
          <w:tcPr>
            <w:tcW w:w="2617"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1.52</w:t>
            </w:r>
          </w:p>
        </w:tc>
        <w:tc>
          <w:tcPr>
            <w:tcW w:w="2146" w:type="dxa"/>
            <w:tcBorders>
              <w:top w:val="nil"/>
              <w:left w:val="nil"/>
              <w:bottom w:val="single" w:color="000000" w:sz="8" w:space="0"/>
              <w:right w:val="single" w:color="000000" w:sz="8" w:space="0"/>
            </w:tcBorders>
            <w:shd w:val="clear" w:color="auto" w:fill="auto"/>
            <w:noWrap/>
            <w:tcMar>
              <w:top w:w="10" w:type="dxa"/>
              <w:left w:w="10" w:type="dxa"/>
              <w:right w:w="10" w:type="dxa"/>
            </w:tcMar>
            <w:vAlign w:val="center"/>
          </w:tcPr>
          <w:p>
            <w:pPr>
              <w:keepNext w:val="0"/>
              <w:keepLines w:val="0"/>
              <w:widowControl/>
              <w:suppressLineNumbers w:val="0"/>
              <w:ind w:left="0" w:leftChars="0" w:firstLine="0" w:firstLineChars="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2020/12/3</w:t>
            </w:r>
          </w:p>
        </w:tc>
      </w:tr>
    </w:tbl>
    <w:p>
      <w:pPr>
        <w:pStyle w:val="27"/>
        <w:adjustRightInd w:val="0"/>
        <w:spacing w:before="0" w:beforeAutospacing="0" w:after="0" w:afterAutospacing="0" w:line="580" w:lineRule="exact"/>
        <w:ind w:firstLine="640"/>
        <w:jc w:val="both"/>
        <w:rPr>
          <w:rFonts w:ascii="仿宋_GB2312" w:eastAsia="仿宋_GB2312"/>
          <w:color w:val="000000"/>
          <w:sz w:val="32"/>
          <w:szCs w:val="32"/>
          <w:highlight w:val="none"/>
        </w:rPr>
      </w:pP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r>
        <w:rPr>
          <w:rFonts w:hint="eastAsia" w:ascii="仿宋_GB2312" w:eastAsia="仿宋_GB2312" w:cs="仿宋_GB2312"/>
          <w:b/>
          <w:bCs/>
          <w:sz w:val="32"/>
          <w:szCs w:val="32"/>
          <w:highlight w:val="none"/>
        </w:rPr>
        <w:t>1.3  项目预期目标</w:t>
      </w:r>
      <w:r>
        <w:rPr>
          <w:rFonts w:hint="eastAsia" w:ascii="仿宋_GB2312" w:eastAsia="仿宋_GB2312" w:cs="仿宋_GB2312"/>
          <w:b/>
          <w:bCs/>
          <w:color w:val="000000" w:themeColor="text1"/>
          <w:sz w:val="32"/>
          <w:szCs w:val="32"/>
          <w:highlight w:val="none"/>
          <w14:textFill>
            <w14:solidFill>
              <w14:schemeClr w14:val="tx1"/>
            </w14:solidFill>
          </w14:textFill>
        </w:rPr>
        <w:t>及立项依据</w:t>
      </w:r>
      <w:bookmarkEnd w:id="0"/>
    </w:p>
    <w:p>
      <w:pPr>
        <w:topLinePunct/>
        <w:spacing w:line="360" w:lineRule="auto"/>
        <w:ind w:firstLine="0" w:firstLineChars="0"/>
        <w:rPr>
          <w:rFonts w:ascii="仿宋_GB2312" w:hAnsi="宋体" w:eastAsia="仿宋_GB2312"/>
          <w:sz w:val="32"/>
          <w:szCs w:val="32"/>
          <w:highlight w:val="none"/>
        </w:rPr>
      </w:pPr>
      <w:r>
        <w:rPr>
          <w:rFonts w:hint="eastAsia" w:ascii="仿宋_GB2312" w:hAnsi="宋体" w:eastAsia="仿宋_GB2312"/>
          <w:sz w:val="32"/>
          <w:szCs w:val="32"/>
          <w:highlight w:val="none"/>
        </w:rPr>
        <w:t>1.3.1项目预期目标</w:t>
      </w:r>
    </w:p>
    <w:p>
      <w:pPr>
        <w:spacing w:line="360" w:lineRule="auto"/>
        <w:ind w:firstLine="640"/>
        <w:rPr>
          <w:rFonts w:ascii="仿宋_GB2312" w:hAnsi="宋体" w:eastAsia="仿宋_GB2312" w:cs="宋体"/>
          <w:bCs/>
          <w:sz w:val="32"/>
          <w:szCs w:val="32"/>
          <w:highlight w:val="none"/>
        </w:rPr>
      </w:pPr>
      <w:r>
        <w:rPr>
          <w:rFonts w:hint="eastAsia" w:ascii="仿宋_GB2312" w:hAnsi="宋体" w:eastAsia="仿宋_GB2312"/>
          <w:sz w:val="32"/>
          <w:szCs w:val="32"/>
          <w:highlight w:val="none"/>
        </w:rPr>
        <w:t>通过对工井清洗、工井提升及电缆盖板的检修</w:t>
      </w:r>
      <w:r>
        <w:rPr>
          <w:rFonts w:hint="eastAsia" w:ascii="仿宋_GB2312" w:eastAsia="仿宋_GB2312"/>
          <w:sz w:val="32"/>
          <w:szCs w:val="32"/>
          <w:highlight w:val="none"/>
        </w:rPr>
        <w:t>，</w:t>
      </w:r>
      <w:r>
        <w:rPr>
          <w:rFonts w:hint="eastAsia" w:ascii="仿宋_GB2312" w:hAnsi="宋体" w:eastAsia="仿宋_GB2312"/>
          <w:sz w:val="32"/>
          <w:szCs w:val="32"/>
          <w:highlight w:val="none"/>
        </w:rPr>
        <w:t>确保电缆线路本体及周边车辆、行人的安全，</w:t>
      </w:r>
      <w:r>
        <w:rPr>
          <w:rFonts w:hint="eastAsia" w:ascii="仿宋_GB2312" w:eastAsia="仿宋_GB2312"/>
          <w:sz w:val="32"/>
          <w:szCs w:val="32"/>
          <w:highlight w:val="none"/>
        </w:rPr>
        <w:t>便于检修人员开展工作，改善电缆线路的运行环境，</w:t>
      </w:r>
      <w:r>
        <w:rPr>
          <w:rFonts w:hint="eastAsia" w:ascii="仿宋_GB2312" w:hAnsi="宋体" w:eastAsia="仿宋_GB2312"/>
          <w:sz w:val="32"/>
          <w:szCs w:val="32"/>
          <w:highlight w:val="none"/>
        </w:rPr>
        <w:t>降低设备在运行全寿命周期内的运维成本，大幅降低设备故障带来的直接和间接损失</w:t>
      </w:r>
      <w:r>
        <w:rPr>
          <w:rFonts w:hint="eastAsia" w:ascii="仿宋_GB2312" w:hAnsi="宋体" w:eastAsia="仿宋_GB2312" w:cs="宋体"/>
          <w:bCs/>
          <w:sz w:val="32"/>
          <w:szCs w:val="32"/>
          <w:highlight w:val="none"/>
        </w:rPr>
        <w:t>，确保电缆线路的运行安全，保证电网供电的可靠性。</w:t>
      </w:r>
      <w:bookmarkStart w:id="8" w:name="_Toc409"/>
      <w:bookmarkStart w:id="9" w:name="_Toc24966"/>
    </w:p>
    <w:bookmarkEnd w:id="8"/>
    <w:bookmarkEnd w:id="9"/>
    <w:p>
      <w:pPr>
        <w:topLinePunct/>
        <w:spacing w:line="360" w:lineRule="auto"/>
        <w:ind w:firstLine="0" w:firstLineChars="0"/>
        <w:rPr>
          <w:rFonts w:ascii="仿宋_GB2312" w:hAnsi="宋体" w:eastAsia="仿宋_GB2312"/>
          <w:sz w:val="32"/>
          <w:szCs w:val="32"/>
          <w:highlight w:val="none"/>
        </w:rPr>
      </w:pPr>
      <w:bookmarkStart w:id="10" w:name="_Toc4075"/>
      <w:r>
        <w:rPr>
          <w:rFonts w:hint="eastAsia" w:ascii="仿宋_GB2312" w:hAnsi="宋体" w:eastAsia="仿宋_GB2312"/>
          <w:sz w:val="32"/>
          <w:szCs w:val="32"/>
          <w:highlight w:val="none"/>
        </w:rPr>
        <w:t>1.3.2项目立项依据性文件</w:t>
      </w:r>
    </w:p>
    <w:p>
      <w:pPr>
        <w:spacing w:line="360" w:lineRule="auto"/>
        <w:ind w:firstLine="640"/>
        <w:rPr>
          <w:rFonts w:ascii="仿宋_GB2312" w:hAnsi="宋体" w:eastAsia="仿宋_GB2312"/>
          <w:color w:val="000000"/>
          <w:sz w:val="32"/>
          <w:szCs w:val="32"/>
          <w:highlight w:val="none"/>
        </w:rPr>
      </w:pPr>
      <w:r>
        <w:rPr>
          <w:rFonts w:hint="eastAsia" w:ascii="仿宋_GB2312" w:hAnsi="宋体" w:eastAsia="仿宋_GB2312"/>
          <w:color w:val="000000"/>
          <w:sz w:val="32"/>
          <w:szCs w:val="32"/>
          <w:highlight w:val="none"/>
        </w:rPr>
        <w:t>根据《国网设备部关于印发公司电网生产技术改造和设备大修原则的通知》（设备计划〔2020〕72号）设备大修原则第4.3.2.2.2.5 条“电缆沟盖板大面积破损、断裂，基座、盖板无槽钢（角铁）包覆，基座、盖板包覆槽钢（角铁）严重锈蚀、断裂，电缆井盖和基础破损，应安排修理”、第4.3.2.2.2.6 条“电缆排管砼包方破损，包方砼层破损造成钢筋层结构损坏、明显可见排管或影响其对排管的保护作用的，应安排大修”的规定，有必要对</w:t>
      </w:r>
      <w:r>
        <w:rPr>
          <w:rFonts w:hint="eastAsia" w:ascii="仿宋_GB2312" w:eastAsia="仿宋_GB2312"/>
          <w:color w:val="000000"/>
          <w:sz w:val="32"/>
          <w:szCs w:val="32"/>
          <w:highlight w:val="none"/>
          <w:lang w:eastAsia="zh-CN"/>
        </w:rPr>
        <w:t>110kV学里1717线</w:t>
      </w:r>
      <w:r>
        <w:rPr>
          <w:rFonts w:hint="eastAsia" w:ascii="仿宋_GB2312" w:hAnsi="宋体" w:eastAsia="仿宋_GB2312"/>
          <w:color w:val="000000"/>
          <w:sz w:val="32"/>
          <w:szCs w:val="32"/>
          <w:highlight w:val="none"/>
        </w:rPr>
        <w:t>等电缆附属设施检修。</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r>
        <w:rPr>
          <w:rFonts w:hint="eastAsia" w:ascii="仿宋_GB2312" w:eastAsia="仿宋_GB2312" w:cs="仿宋_GB2312"/>
          <w:b/>
          <w:bCs/>
          <w:sz w:val="32"/>
          <w:szCs w:val="32"/>
          <w:highlight w:val="none"/>
        </w:rPr>
        <w:t>1.4  可研范围和规模</w:t>
      </w:r>
      <w:bookmarkEnd w:id="10"/>
    </w:p>
    <w:p>
      <w:pPr>
        <w:spacing w:line="360" w:lineRule="auto"/>
        <w:ind w:firstLine="640"/>
        <w:rPr>
          <w:rFonts w:ascii="仿宋_GB2312" w:hAnsi="仿宋_GB2312" w:eastAsia="仿宋_GB2312"/>
          <w:color w:val="000000"/>
          <w:sz w:val="32"/>
          <w:szCs w:val="32"/>
          <w:highlight w:val="none"/>
        </w:rPr>
      </w:pPr>
      <w:r>
        <w:rPr>
          <w:rFonts w:hint="eastAsia" w:ascii="仿宋_GB2312" w:hAnsi="宋体" w:eastAsia="仿宋_GB2312"/>
          <w:color w:val="000000"/>
          <w:sz w:val="32"/>
          <w:szCs w:val="32"/>
          <w:highlight w:val="none"/>
        </w:rPr>
        <w:t>本项目可研设计范围为</w:t>
      </w:r>
      <w:r>
        <w:rPr>
          <w:rFonts w:hint="eastAsia" w:ascii="仿宋_GB2312" w:hAnsi="宋体" w:eastAsia="仿宋_GB2312"/>
          <w:color w:val="000000"/>
          <w:sz w:val="32"/>
          <w:szCs w:val="32"/>
          <w:highlight w:val="none"/>
          <w:lang w:eastAsia="zh-CN"/>
        </w:rPr>
        <w:t>国网浙江杭州供电公司220kV窑陆2413线等线路压接金具X光隐患</w:t>
      </w:r>
      <w:r>
        <w:rPr>
          <w:rFonts w:hint="eastAsia" w:ascii="仿宋_GB2312" w:hAnsi="仿宋_GB2312" w:eastAsia="仿宋_GB2312"/>
          <w:color w:val="000000"/>
          <w:sz w:val="32"/>
          <w:szCs w:val="32"/>
          <w:highlight w:val="none"/>
        </w:rPr>
        <w:t>的可研报告和估算书编制。</w:t>
      </w:r>
    </w:p>
    <w:p>
      <w:pPr>
        <w:spacing w:line="360" w:lineRule="auto"/>
        <w:ind w:firstLine="640"/>
        <w:rPr>
          <w:rFonts w:ascii="仿宋_GB2312" w:hAnsi="仿宋_GB2312" w:eastAsia="仿宋_GB2312"/>
          <w:color w:val="000000"/>
          <w:sz w:val="32"/>
          <w:szCs w:val="32"/>
          <w:highlight w:val="none"/>
        </w:rPr>
      </w:pPr>
      <w:r>
        <w:rPr>
          <w:rFonts w:hint="eastAsia" w:ascii="仿宋_GB2312" w:hAnsi="仿宋_GB2312" w:eastAsia="仿宋_GB2312"/>
          <w:color w:val="000000"/>
          <w:sz w:val="32"/>
          <w:szCs w:val="32"/>
          <w:highlight w:val="none"/>
        </w:rPr>
        <w:t>本项目的建设规模具体如下：</w:t>
      </w:r>
    </w:p>
    <w:p>
      <w:pPr>
        <w:pStyle w:val="27"/>
        <w:widowControl w:val="0"/>
        <w:spacing w:before="0" w:beforeAutospacing="0" w:after="0" w:afterAutospacing="0" w:line="360" w:lineRule="auto"/>
        <w:ind w:firstLine="640"/>
        <w:jc w:val="both"/>
        <w:rPr>
          <w:rFonts w:hint="default" w:ascii="仿宋_GB2312" w:eastAsia="仿宋_GB2312"/>
          <w:bCs/>
          <w:sz w:val="32"/>
          <w:szCs w:val="32"/>
          <w:highlight w:val="none"/>
          <w:lang w:val="en-US" w:eastAsia="zh-CN"/>
        </w:rPr>
      </w:pPr>
      <w:bookmarkStart w:id="11" w:name="_Toc12202"/>
      <w:r>
        <w:rPr>
          <w:rFonts w:hint="eastAsia" w:ascii="仿宋_GB2312" w:eastAsia="仿宋_GB2312"/>
          <w:bCs/>
          <w:sz w:val="32"/>
          <w:szCs w:val="32"/>
          <w:highlight w:val="none"/>
        </w:rPr>
        <w:t>对</w:t>
      </w:r>
      <w:r>
        <w:rPr>
          <w:rFonts w:hint="eastAsia" w:ascii="仿宋_GB2312" w:eastAsia="仿宋_GB2312"/>
          <w:color w:val="000000"/>
          <w:sz w:val="32"/>
          <w:szCs w:val="32"/>
          <w:highlight w:val="none"/>
          <w:lang w:eastAsia="zh-CN"/>
        </w:rPr>
        <w:t>110kV学里1717线</w:t>
      </w:r>
      <w:r>
        <w:rPr>
          <w:rFonts w:hint="eastAsia" w:ascii="仿宋_GB2312" w:eastAsia="仿宋_GB2312"/>
          <w:bCs/>
          <w:sz w:val="32"/>
          <w:szCs w:val="32"/>
          <w:highlight w:val="none"/>
        </w:rPr>
        <w:t>等</w:t>
      </w:r>
      <w:r>
        <w:rPr>
          <w:rFonts w:hint="eastAsia" w:ascii="仿宋_GB2312" w:eastAsia="仿宋_GB2312"/>
          <w:bCs/>
          <w:sz w:val="32"/>
          <w:szCs w:val="32"/>
          <w:highlight w:val="none"/>
          <w:lang w:val="en-US" w:eastAsia="zh-CN"/>
        </w:rPr>
        <w:t>23</w:t>
      </w:r>
      <w:r>
        <w:rPr>
          <w:rFonts w:hint="eastAsia" w:ascii="仿宋_GB2312" w:eastAsia="仿宋_GB2312"/>
          <w:bCs/>
          <w:sz w:val="32"/>
          <w:szCs w:val="32"/>
          <w:highlight w:val="none"/>
        </w:rPr>
        <w:t>条电缆线路工井抬升</w:t>
      </w:r>
      <w:r>
        <w:rPr>
          <w:rFonts w:hint="eastAsia" w:ascii="仿宋_GB2312" w:eastAsia="仿宋_GB2312"/>
          <w:bCs/>
          <w:sz w:val="32"/>
          <w:szCs w:val="32"/>
          <w:highlight w:val="none"/>
          <w:lang w:val="en-US" w:eastAsia="zh-CN"/>
        </w:rPr>
        <w:t>80</w:t>
      </w:r>
      <w:r>
        <w:rPr>
          <w:rFonts w:hint="eastAsia" w:ascii="仿宋_GB2312" w:eastAsia="仿宋_GB2312"/>
          <w:bCs/>
          <w:sz w:val="32"/>
          <w:szCs w:val="32"/>
          <w:highlight w:val="none"/>
        </w:rPr>
        <w:t>口，电缆盖板更换</w:t>
      </w:r>
      <w:r>
        <w:rPr>
          <w:rFonts w:hint="eastAsia" w:ascii="仿宋_GB2312" w:eastAsia="仿宋_GB2312"/>
          <w:bCs/>
          <w:sz w:val="32"/>
          <w:szCs w:val="32"/>
          <w:highlight w:val="none"/>
          <w:lang w:val="en-US" w:eastAsia="zh-CN"/>
        </w:rPr>
        <w:t>1600</w:t>
      </w:r>
      <w:r>
        <w:rPr>
          <w:rFonts w:hint="eastAsia" w:ascii="仿宋_GB2312" w:eastAsia="仿宋_GB2312"/>
          <w:bCs/>
          <w:sz w:val="32"/>
          <w:szCs w:val="32"/>
          <w:highlight w:val="none"/>
        </w:rPr>
        <w:t>块，</w:t>
      </w:r>
      <w:r>
        <w:rPr>
          <w:rFonts w:hint="eastAsia" w:ascii="仿宋_GB2312" w:eastAsia="仿宋_GB2312"/>
          <w:bCs/>
          <w:sz w:val="32"/>
          <w:szCs w:val="32"/>
          <w:highlight w:val="none"/>
          <w:lang w:val="en-US" w:eastAsia="zh-CN"/>
        </w:rPr>
        <w:t>终端塔地面硬化面积2048㎡</w:t>
      </w:r>
      <w:r>
        <w:rPr>
          <w:rFonts w:hint="eastAsia" w:ascii="仿宋_GB2312" w:eastAsia="仿宋_GB2312"/>
          <w:bCs/>
          <w:sz w:val="32"/>
          <w:szCs w:val="32"/>
          <w:highlight w:val="none"/>
        </w:rPr>
        <w:t>。</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r>
        <w:rPr>
          <w:rFonts w:hint="eastAsia" w:ascii="仿宋_GB2312" w:eastAsia="仿宋_GB2312" w:cs="仿宋_GB2312"/>
          <w:b/>
          <w:bCs/>
          <w:sz w:val="32"/>
          <w:szCs w:val="32"/>
          <w:highlight w:val="none"/>
        </w:rPr>
        <w:t>1.5  主要技术经济指标</w:t>
      </w:r>
      <w:bookmarkEnd w:id="11"/>
    </w:p>
    <w:p>
      <w:pPr>
        <w:pStyle w:val="27"/>
        <w:widowControl w:val="0"/>
        <w:spacing w:before="0" w:beforeAutospacing="0" w:after="0" w:afterAutospacing="0" w:line="360" w:lineRule="auto"/>
        <w:ind w:firstLine="640"/>
        <w:jc w:val="both"/>
        <w:rPr>
          <w:rFonts w:hint="default" w:ascii="仿宋_GB2312" w:eastAsia="仿宋_GB2312"/>
          <w:bCs/>
          <w:sz w:val="32"/>
          <w:szCs w:val="32"/>
          <w:highlight w:val="none"/>
        </w:rPr>
      </w:pPr>
      <w:r>
        <w:rPr>
          <w:rFonts w:hint="eastAsia" w:ascii="仿宋_GB2312" w:eastAsia="仿宋_GB2312"/>
          <w:bCs/>
          <w:sz w:val="32"/>
          <w:szCs w:val="32"/>
          <w:highlight w:val="none"/>
        </w:rPr>
        <w:t>本项目投资估算不含税金额为180.7万元（含税金额为204.0</w:t>
      </w:r>
      <w:r>
        <w:rPr>
          <w:rFonts w:hint="eastAsia" w:ascii="仿宋_GB2312" w:eastAsia="仿宋_GB2312"/>
          <w:bCs/>
          <w:sz w:val="32"/>
          <w:szCs w:val="32"/>
          <w:highlight w:val="none"/>
          <w:lang w:val="en-US" w:eastAsia="zh-CN"/>
        </w:rPr>
        <w:t>4</w:t>
      </w:r>
      <w:r>
        <w:rPr>
          <w:rFonts w:hint="eastAsia" w:ascii="仿宋_GB2312" w:eastAsia="仿宋_GB2312"/>
          <w:bCs/>
          <w:sz w:val="32"/>
          <w:szCs w:val="32"/>
          <w:highlight w:val="none"/>
        </w:rPr>
        <w:t>万元）。</w:t>
      </w:r>
    </w:p>
    <w:p>
      <w:pPr>
        <w:spacing w:line="460" w:lineRule="exact"/>
        <w:ind w:firstLine="0" w:firstLineChars="0"/>
        <w:outlineLvl w:val="0"/>
        <w:rPr>
          <w:rFonts w:ascii="黑体" w:eastAsia="黑体" w:cs="黑体"/>
          <w:sz w:val="32"/>
          <w:szCs w:val="32"/>
          <w:highlight w:val="none"/>
        </w:rPr>
      </w:pPr>
      <w:bookmarkStart w:id="12" w:name="_Toc5850"/>
      <w:r>
        <w:rPr>
          <w:rFonts w:ascii="黑体" w:eastAsia="黑体" w:cs="黑体"/>
          <w:sz w:val="32"/>
          <w:szCs w:val="32"/>
          <w:highlight w:val="none"/>
        </w:rPr>
        <w:t>2．项目必要性</w:t>
      </w:r>
      <w:bookmarkEnd w:id="12"/>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13" w:name="_Toc9203"/>
      <w:r>
        <w:rPr>
          <w:rFonts w:hint="eastAsia" w:ascii="仿宋_GB2312" w:eastAsia="仿宋_GB2312" w:cs="仿宋_GB2312"/>
          <w:b/>
          <w:bCs/>
          <w:sz w:val="32"/>
          <w:szCs w:val="32"/>
          <w:highlight w:val="none"/>
        </w:rPr>
        <w:t>2.1 安全性分析</w:t>
      </w:r>
      <w:bookmarkEnd w:id="13"/>
    </w:p>
    <w:p>
      <w:pPr>
        <w:pStyle w:val="27"/>
        <w:adjustRightInd w:val="0"/>
        <w:spacing w:before="0" w:beforeAutospacing="0" w:after="0" w:afterAutospacing="0" w:line="580" w:lineRule="exact"/>
        <w:ind w:firstLine="640"/>
        <w:jc w:val="both"/>
        <w:rPr>
          <w:rFonts w:ascii="仿宋_GB2312" w:eastAsia="仿宋_GB2312"/>
          <w:color w:val="000000"/>
          <w:sz w:val="32"/>
          <w:szCs w:val="32"/>
          <w:highlight w:val="none"/>
        </w:rPr>
      </w:pPr>
      <w:r>
        <w:rPr>
          <w:rFonts w:hint="eastAsia" w:ascii="仿宋_GB2312" w:eastAsia="仿宋_GB2312"/>
          <w:color w:val="000000"/>
          <w:sz w:val="32"/>
          <w:szCs w:val="32"/>
          <w:highlight w:val="none"/>
          <w:lang w:eastAsia="zh-CN"/>
        </w:rPr>
        <w:t>110kV学里1717线</w:t>
      </w:r>
      <w:r>
        <w:rPr>
          <w:rFonts w:hint="eastAsia" w:ascii="仿宋_GB2312" w:eastAsia="仿宋_GB2312"/>
          <w:color w:val="000000"/>
          <w:sz w:val="32"/>
          <w:szCs w:val="32"/>
          <w:highlight w:val="none"/>
        </w:rPr>
        <w:t>等电缆线路投运于200</w:t>
      </w:r>
      <w:r>
        <w:rPr>
          <w:rFonts w:hint="eastAsia" w:ascii="仿宋_GB2312" w:eastAsia="仿宋_GB2312"/>
          <w:color w:val="000000"/>
          <w:sz w:val="32"/>
          <w:szCs w:val="32"/>
          <w:highlight w:val="none"/>
          <w:lang w:val="en-US" w:eastAsia="zh-CN"/>
        </w:rPr>
        <w:t>8</w:t>
      </w:r>
      <w:r>
        <w:rPr>
          <w:rFonts w:hint="eastAsia" w:ascii="仿宋_GB2312" w:eastAsia="仿宋_GB2312"/>
          <w:color w:val="000000"/>
          <w:sz w:val="32"/>
          <w:szCs w:val="32"/>
          <w:highlight w:val="none"/>
        </w:rPr>
        <w:t>～202</w:t>
      </w:r>
      <w:r>
        <w:rPr>
          <w:rFonts w:hint="eastAsia" w:ascii="仿宋_GB2312" w:eastAsia="仿宋_GB2312"/>
          <w:color w:val="000000"/>
          <w:sz w:val="32"/>
          <w:szCs w:val="32"/>
          <w:highlight w:val="none"/>
          <w:lang w:val="en-US" w:eastAsia="zh-CN"/>
        </w:rPr>
        <w:t>3</w:t>
      </w:r>
      <w:r>
        <w:rPr>
          <w:rFonts w:hint="eastAsia" w:ascii="仿宋_GB2312" w:eastAsia="仿宋_GB2312"/>
          <w:color w:val="000000"/>
          <w:sz w:val="32"/>
          <w:szCs w:val="32"/>
          <w:highlight w:val="none"/>
        </w:rPr>
        <w:t>年。部分电缆线路因城市道路与绿化建设，存在工井沉降、盖板破损、穿越道路的排管负载强度不足等情况；同时存在标识牌和电缆终端围栏缺失等缺陷，影响线路正常安全运行。</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14" w:name="_Toc13018"/>
      <w:r>
        <w:rPr>
          <w:rFonts w:hint="eastAsia" w:ascii="仿宋_GB2312" w:eastAsia="仿宋_GB2312" w:cs="仿宋_GB2312"/>
          <w:b/>
          <w:bCs/>
          <w:sz w:val="32"/>
          <w:szCs w:val="32"/>
          <w:highlight w:val="none"/>
        </w:rPr>
        <w:t>2.2 效能与成本分析</w:t>
      </w:r>
      <w:bookmarkEnd w:id="14"/>
    </w:p>
    <w:p>
      <w:pPr>
        <w:spacing w:line="360" w:lineRule="auto"/>
        <w:ind w:firstLine="640"/>
        <w:rPr>
          <w:rFonts w:ascii="仿宋_GB2312" w:hAnsi="宋体" w:eastAsia="仿宋_GB2312"/>
          <w:color w:val="000000"/>
          <w:sz w:val="32"/>
          <w:szCs w:val="32"/>
          <w:highlight w:val="none"/>
        </w:rPr>
      </w:pPr>
      <w:r>
        <w:rPr>
          <w:rFonts w:hint="eastAsia" w:ascii="仿宋_GB2312" w:hAnsi="宋体" w:eastAsia="仿宋_GB2312"/>
          <w:color w:val="000000"/>
          <w:sz w:val="32"/>
          <w:szCs w:val="32"/>
          <w:highlight w:val="none"/>
        </w:rPr>
        <w:t xml:space="preserve">通过对终端杆塔围栏修补更换、工井提升加固、盖板及标志桩、警示牌的检修，确保电缆线路本体及周边车辆、行人的安全，便于检修人员开展工作，改善电缆线路的运行环境，降低设备在运行全寿命周期内的运维成本，可大幅降低设备故障带来的直接和间接损失，确保了电缆线路的运行安全，保证了电网供电的可靠性。 </w:t>
      </w:r>
    </w:p>
    <w:p>
      <w:pPr>
        <w:spacing w:line="360" w:lineRule="auto"/>
        <w:ind w:firstLine="640"/>
        <w:rPr>
          <w:rFonts w:ascii="仿宋_GB2312" w:hAnsi="宋体" w:eastAsia="仿宋_GB2312"/>
          <w:color w:val="000000"/>
          <w:sz w:val="32"/>
          <w:szCs w:val="32"/>
          <w:highlight w:val="none"/>
        </w:rPr>
      </w:pPr>
      <w:r>
        <w:rPr>
          <w:rFonts w:hint="eastAsia" w:ascii="仿宋_GB2312" w:hAnsi="宋体" w:eastAsia="仿宋_GB2312"/>
          <w:color w:val="000000"/>
          <w:sz w:val="32"/>
          <w:szCs w:val="32"/>
          <w:highlight w:val="none"/>
        </w:rPr>
        <w:t xml:space="preserve">根据国家有关产业和技术政策规定，本工程需淘汰破损的盖板、水泥桩，终端杆塔围栏。 </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15" w:name="_Toc10494"/>
      <w:r>
        <w:rPr>
          <w:rFonts w:hint="eastAsia" w:ascii="仿宋_GB2312" w:eastAsia="仿宋_GB2312" w:cs="仿宋_GB2312"/>
          <w:b/>
          <w:bCs/>
          <w:sz w:val="32"/>
          <w:szCs w:val="32"/>
          <w:highlight w:val="none"/>
        </w:rPr>
        <w:t>2.3 政策适应性分析</w:t>
      </w:r>
      <w:bookmarkEnd w:id="15"/>
    </w:p>
    <w:p>
      <w:pPr>
        <w:spacing w:line="360" w:lineRule="auto"/>
        <w:ind w:firstLine="640"/>
        <w:rPr>
          <w:rFonts w:ascii="仿宋_GB2312" w:hAnsi="宋体" w:eastAsia="仿宋_GB2312"/>
          <w:color w:val="000000"/>
          <w:sz w:val="32"/>
          <w:szCs w:val="32"/>
          <w:highlight w:val="none"/>
        </w:rPr>
      </w:pPr>
      <w:bookmarkStart w:id="16" w:name="_Toc19897"/>
      <w:r>
        <w:rPr>
          <w:rFonts w:hint="eastAsia" w:ascii="仿宋_GB2312" w:hAnsi="宋体" w:eastAsia="仿宋_GB2312"/>
          <w:color w:val="000000"/>
          <w:sz w:val="32"/>
          <w:szCs w:val="32"/>
          <w:highlight w:val="none"/>
        </w:rPr>
        <w:t>根据《国网设备部关于印发公司电网生产技术改造和设备大修原则的通知》（设备计划〔2020〕72号）设备大修原则第4.3.2.2.2.5 条“电缆沟盖板大面积破损、断裂，基座、盖板无槽钢（角铁）包覆，基座、盖板包覆槽钢（角铁）严重锈蚀、断裂，电缆井盖和基础破损，应安排修理”、第4.3.2.2.2.6 条“电缆排管砼包方破损，包方砼层破损造成钢筋层结构损坏、明显可见排管或影响其对排管的保护作用的，应安排大修”的规定，有必要对</w:t>
      </w:r>
      <w:r>
        <w:rPr>
          <w:rFonts w:hint="eastAsia" w:ascii="仿宋_GB2312" w:eastAsia="仿宋_GB2312"/>
          <w:color w:val="000000"/>
          <w:sz w:val="32"/>
          <w:szCs w:val="32"/>
          <w:highlight w:val="none"/>
          <w:lang w:eastAsia="zh-CN"/>
        </w:rPr>
        <w:t>110kV学里1717线</w:t>
      </w:r>
      <w:r>
        <w:rPr>
          <w:rFonts w:hint="eastAsia" w:ascii="仿宋_GB2312" w:hAnsi="宋体" w:eastAsia="仿宋_GB2312"/>
          <w:color w:val="000000"/>
          <w:sz w:val="32"/>
          <w:szCs w:val="32"/>
          <w:highlight w:val="none"/>
        </w:rPr>
        <w:t>等电缆附属设施检修。</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r>
        <w:rPr>
          <w:rFonts w:hint="eastAsia" w:ascii="仿宋_GB2312" w:eastAsia="仿宋_GB2312" w:cs="仿宋_GB2312"/>
          <w:b/>
          <w:bCs/>
          <w:sz w:val="32"/>
          <w:szCs w:val="32"/>
          <w:highlight w:val="none"/>
        </w:rPr>
        <w:t>2.4 结论</w:t>
      </w:r>
      <w:bookmarkEnd w:id="16"/>
    </w:p>
    <w:p>
      <w:pPr>
        <w:spacing w:line="360" w:lineRule="auto"/>
        <w:ind w:firstLine="640"/>
        <w:rPr>
          <w:rFonts w:ascii="仿宋_GB2312" w:hAnsi="宋体" w:eastAsia="仿宋_GB2312"/>
          <w:color w:val="000000"/>
          <w:sz w:val="32"/>
          <w:szCs w:val="32"/>
          <w:highlight w:val="none"/>
        </w:rPr>
      </w:pPr>
      <w:r>
        <w:rPr>
          <w:rFonts w:hint="eastAsia" w:ascii="仿宋_GB2312" w:hAnsi="宋体" w:eastAsia="仿宋_GB2312"/>
          <w:color w:val="000000"/>
          <w:sz w:val="32"/>
          <w:szCs w:val="32"/>
          <w:highlight w:val="none"/>
        </w:rPr>
        <w:t>根据以上几方面分析，</w:t>
      </w:r>
      <w:r>
        <w:rPr>
          <w:rFonts w:hint="eastAsia" w:ascii="仿宋_GB2312" w:hAnsi="宋体" w:eastAsia="仿宋_GB2312"/>
          <w:color w:val="000000"/>
          <w:sz w:val="32"/>
          <w:szCs w:val="32"/>
          <w:highlight w:val="none"/>
          <w:lang w:eastAsia="zh-CN"/>
        </w:rPr>
        <w:t>国网浙江杭州供电公司220kV窑陆2413线等线路压接金具X光隐患</w:t>
      </w:r>
      <w:r>
        <w:rPr>
          <w:rFonts w:hint="eastAsia" w:ascii="仿宋_GB2312" w:hAnsi="宋体" w:eastAsia="仿宋_GB2312"/>
          <w:color w:val="000000"/>
          <w:sz w:val="32"/>
          <w:szCs w:val="32"/>
          <w:highlight w:val="none"/>
        </w:rPr>
        <w:t>的实施是十分必要的。</w:t>
      </w:r>
    </w:p>
    <w:p>
      <w:pPr>
        <w:spacing w:line="460" w:lineRule="exact"/>
        <w:ind w:firstLine="0" w:firstLineChars="0"/>
        <w:outlineLvl w:val="0"/>
        <w:rPr>
          <w:rFonts w:ascii="黑体" w:eastAsia="黑体" w:cs="黑体"/>
          <w:sz w:val="32"/>
          <w:szCs w:val="32"/>
          <w:highlight w:val="none"/>
        </w:rPr>
      </w:pPr>
      <w:bookmarkStart w:id="17" w:name="_Toc15107"/>
      <w:r>
        <w:rPr>
          <w:rFonts w:hint="eastAsia" w:ascii="黑体" w:eastAsia="黑体" w:cs="黑体"/>
          <w:sz w:val="32"/>
          <w:szCs w:val="32"/>
          <w:highlight w:val="none"/>
        </w:rPr>
        <w:t>3．项目技术方案</w:t>
      </w:r>
      <w:bookmarkEnd w:id="17"/>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18" w:name="_Toc19945"/>
      <w:bookmarkStart w:id="19" w:name="_Toc490772246"/>
      <w:r>
        <w:rPr>
          <w:rFonts w:hint="eastAsia" w:ascii="仿宋_GB2312" w:eastAsia="仿宋_GB2312" w:cs="仿宋_GB2312"/>
          <w:b/>
          <w:bCs/>
          <w:sz w:val="32"/>
          <w:szCs w:val="32"/>
          <w:highlight w:val="none"/>
        </w:rPr>
        <w:t>3.1 项目技术方案</w:t>
      </w:r>
      <w:bookmarkEnd w:id="18"/>
      <w:bookmarkEnd w:id="19"/>
    </w:p>
    <w:p>
      <w:pPr>
        <w:pStyle w:val="27"/>
        <w:widowControl w:val="0"/>
        <w:spacing w:before="0" w:beforeAutospacing="0" w:after="0" w:afterAutospacing="0" w:line="360" w:lineRule="auto"/>
        <w:ind w:firstLine="640"/>
        <w:jc w:val="both"/>
        <w:rPr>
          <w:rFonts w:ascii="仿宋_GB2312" w:eastAsia="仿宋_GB2312"/>
          <w:bCs/>
          <w:sz w:val="32"/>
          <w:szCs w:val="32"/>
          <w:highlight w:val="none"/>
        </w:rPr>
      </w:pPr>
      <w:bookmarkStart w:id="20" w:name="_Toc490772247"/>
      <w:r>
        <w:rPr>
          <w:rFonts w:hint="eastAsia" w:ascii="仿宋_GB2312" w:eastAsia="仿宋_GB2312"/>
          <w:bCs/>
          <w:sz w:val="32"/>
          <w:szCs w:val="32"/>
          <w:highlight w:val="none"/>
        </w:rPr>
        <w:t>方案一：</w:t>
      </w:r>
      <w:r>
        <w:rPr>
          <w:rFonts w:hint="eastAsia" w:ascii="仿宋_GB2312" w:hAnsi="Times New Roman" w:eastAsia="仿宋_GB2312"/>
          <w:bCs/>
          <w:kern w:val="2"/>
          <w:sz w:val="32"/>
          <w:szCs w:val="32"/>
          <w:highlight w:val="none"/>
        </w:rPr>
        <w:t>对沉降工井采取钢筋混凝土抬升加固。</w:t>
      </w:r>
    </w:p>
    <w:p>
      <w:pPr>
        <w:pStyle w:val="27"/>
        <w:widowControl w:val="0"/>
        <w:spacing w:before="0" w:beforeAutospacing="0" w:after="0" w:afterAutospacing="0" w:line="360" w:lineRule="auto"/>
        <w:ind w:firstLine="640"/>
        <w:jc w:val="both"/>
        <w:rPr>
          <w:rFonts w:ascii="仿宋_GB2312" w:eastAsia="仿宋_GB2312"/>
          <w:bCs/>
          <w:color w:val="000000"/>
          <w:sz w:val="32"/>
          <w:szCs w:val="32"/>
          <w:highlight w:val="none"/>
        </w:rPr>
      </w:pPr>
      <w:r>
        <w:rPr>
          <w:rFonts w:hint="eastAsia" w:ascii="仿宋_GB2312" w:eastAsia="仿宋_GB2312"/>
          <w:bCs/>
          <w:sz w:val="32"/>
          <w:szCs w:val="32"/>
          <w:highlight w:val="none"/>
        </w:rPr>
        <w:t>方案二：</w:t>
      </w:r>
      <w:r>
        <w:rPr>
          <w:rFonts w:hint="eastAsia" w:ascii="仿宋_GB2312" w:hAnsi="Times New Roman" w:eastAsia="仿宋_GB2312"/>
          <w:bCs/>
          <w:kern w:val="2"/>
          <w:sz w:val="32"/>
          <w:szCs w:val="32"/>
          <w:highlight w:val="none"/>
        </w:rPr>
        <w:t>对沉降工井采取砖砌抬升加固。</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21" w:name="_Toc32092"/>
      <w:r>
        <w:rPr>
          <w:rFonts w:hint="eastAsia" w:ascii="仿宋_GB2312" w:eastAsia="仿宋_GB2312" w:cs="仿宋_GB2312"/>
          <w:b/>
          <w:bCs/>
          <w:sz w:val="32"/>
          <w:szCs w:val="32"/>
          <w:highlight w:val="none"/>
        </w:rPr>
        <w:t>3.2 技术方案比选</w:t>
      </w:r>
      <w:bookmarkEnd w:id="20"/>
      <w:bookmarkEnd w:id="21"/>
    </w:p>
    <w:p>
      <w:pPr>
        <w:spacing w:line="360" w:lineRule="auto"/>
        <w:ind w:firstLine="640"/>
        <w:rPr>
          <w:rFonts w:ascii="仿宋_GB2312" w:hAnsi="仿宋_GB2312" w:eastAsia="仿宋_GB2312" w:cs="仿宋_GB2312"/>
          <w:bCs/>
          <w:kern w:val="1"/>
          <w:sz w:val="32"/>
          <w:szCs w:val="32"/>
          <w:highlight w:val="none"/>
        </w:rPr>
      </w:pPr>
      <w:bookmarkStart w:id="22" w:name="_Toc3392"/>
      <w:bookmarkStart w:id="23" w:name="_Toc7027"/>
      <w:bookmarkStart w:id="24" w:name="_Toc490772248"/>
      <w:r>
        <w:rPr>
          <w:rFonts w:hint="eastAsia" w:ascii="仿宋_GB2312" w:hAnsi="仿宋_GB2312" w:eastAsia="仿宋_GB2312" w:cs="仿宋_GB2312"/>
          <w:bCs/>
          <w:kern w:val="1"/>
          <w:sz w:val="32"/>
          <w:szCs w:val="32"/>
          <w:highlight w:val="none"/>
        </w:rPr>
        <w:t>3.2.1安全方面比较</w:t>
      </w:r>
      <w:bookmarkEnd w:id="22"/>
      <w:bookmarkEnd w:id="23"/>
    </w:p>
    <w:p>
      <w:pPr>
        <w:pStyle w:val="26"/>
        <w:widowControl/>
        <w:spacing w:line="360" w:lineRule="auto"/>
        <w:ind w:firstLine="640"/>
        <w:rPr>
          <w:rFonts w:hint="default" w:ascii="仿宋_GB2312" w:hAnsi="仿宋_GB2312" w:eastAsia="仿宋_GB2312" w:cs="仿宋_GB2312"/>
          <w:bCs/>
          <w:color w:val="000000"/>
          <w:sz w:val="32"/>
          <w:szCs w:val="32"/>
          <w:highlight w:val="none"/>
        </w:rPr>
      </w:pPr>
      <w:r>
        <w:rPr>
          <w:rFonts w:ascii="仿宋_GB2312" w:eastAsia="仿宋_GB2312"/>
          <w:bCs/>
          <w:sz w:val="32"/>
          <w:szCs w:val="32"/>
          <w:highlight w:val="none"/>
        </w:rPr>
        <w:t>采用混凝土钢筋提升工井和砖砌提升工井都可以对沉降工井达到施工标高的要求，都可达到抬升加固的需要。提升工井需设置围栏、清除井盖周边的混凝土及杂物，施工会对周边交通产生一定的影响</w:t>
      </w:r>
      <w:r>
        <w:rPr>
          <w:rFonts w:ascii="仿宋_GB2312" w:eastAsia="仿宋_GB2312"/>
          <w:sz w:val="32"/>
          <w:szCs w:val="32"/>
          <w:highlight w:val="none"/>
        </w:rPr>
        <w:t>。</w:t>
      </w:r>
    </w:p>
    <w:p>
      <w:pPr>
        <w:spacing w:line="360" w:lineRule="auto"/>
        <w:ind w:firstLine="640"/>
        <w:rPr>
          <w:rFonts w:ascii="仿宋_GB2312" w:hAnsi="仿宋_GB2312" w:eastAsia="仿宋_GB2312" w:cs="仿宋_GB2312"/>
          <w:bCs/>
          <w:kern w:val="1"/>
          <w:sz w:val="32"/>
          <w:szCs w:val="32"/>
          <w:highlight w:val="none"/>
        </w:rPr>
      </w:pPr>
      <w:bookmarkStart w:id="25" w:name="_Toc16075"/>
      <w:bookmarkStart w:id="26" w:name="_Toc8399"/>
      <w:r>
        <w:rPr>
          <w:rFonts w:hint="eastAsia" w:ascii="仿宋_GB2312" w:hAnsi="仿宋_GB2312" w:eastAsia="仿宋_GB2312" w:cs="仿宋_GB2312"/>
          <w:bCs/>
          <w:kern w:val="1"/>
          <w:sz w:val="32"/>
          <w:szCs w:val="32"/>
          <w:highlight w:val="none"/>
        </w:rPr>
        <w:t>3.2.2 效能方面比较</w:t>
      </w:r>
      <w:bookmarkEnd w:id="25"/>
      <w:bookmarkEnd w:id="26"/>
    </w:p>
    <w:p>
      <w:pPr>
        <w:spacing w:line="360" w:lineRule="auto"/>
        <w:ind w:firstLine="640"/>
        <w:rPr>
          <w:rFonts w:ascii="仿宋_GB2312" w:hAnsi="宋体" w:eastAsia="仿宋_GB2312" w:cs="宋体"/>
          <w:bCs/>
          <w:color w:val="000000"/>
          <w:sz w:val="32"/>
          <w:szCs w:val="32"/>
          <w:highlight w:val="none"/>
        </w:rPr>
      </w:pPr>
      <w:r>
        <w:rPr>
          <w:rFonts w:hint="eastAsia" w:ascii="仿宋_GB2312" w:eastAsia="仿宋_GB2312"/>
          <w:bCs/>
          <w:sz w:val="32"/>
          <w:szCs w:val="32"/>
          <w:highlight w:val="none"/>
        </w:rPr>
        <w:t>采用混凝土钢筋提升，工井强度较砖砌工井高，且可以采取更为承重的盖板，在位于道路上的工井更为需要</w:t>
      </w:r>
      <w:r>
        <w:rPr>
          <w:rFonts w:ascii="仿宋_GB2312" w:eastAsia="仿宋_GB2312"/>
          <w:sz w:val="32"/>
          <w:szCs w:val="32"/>
          <w:highlight w:val="none"/>
        </w:rPr>
        <w:t>。</w:t>
      </w:r>
    </w:p>
    <w:p>
      <w:pPr>
        <w:spacing w:line="360" w:lineRule="auto"/>
        <w:ind w:firstLine="640"/>
        <w:rPr>
          <w:rFonts w:ascii="仿宋_GB2312" w:hAnsi="仿宋_GB2312" w:eastAsia="仿宋_GB2312" w:cs="仿宋_GB2312"/>
          <w:bCs/>
          <w:kern w:val="1"/>
          <w:sz w:val="32"/>
          <w:szCs w:val="32"/>
          <w:highlight w:val="none"/>
        </w:rPr>
      </w:pPr>
      <w:bookmarkStart w:id="27" w:name="_Toc10712"/>
      <w:bookmarkStart w:id="28" w:name="_Toc4793"/>
      <w:r>
        <w:rPr>
          <w:rFonts w:hint="eastAsia" w:ascii="仿宋_GB2312" w:hAnsi="仿宋_GB2312" w:eastAsia="仿宋_GB2312" w:cs="仿宋_GB2312"/>
          <w:bCs/>
          <w:kern w:val="1"/>
          <w:sz w:val="32"/>
          <w:szCs w:val="32"/>
          <w:highlight w:val="none"/>
        </w:rPr>
        <w:t>3.2.3 全寿命周期成本比较</w:t>
      </w:r>
      <w:bookmarkEnd w:id="27"/>
      <w:bookmarkEnd w:id="28"/>
    </w:p>
    <w:p>
      <w:pPr>
        <w:topLinePunct/>
        <w:spacing w:line="360" w:lineRule="auto"/>
        <w:ind w:firstLine="640"/>
        <w:rPr>
          <w:rFonts w:hAnsi="宋体"/>
          <w:color w:val="000000"/>
          <w:highlight w:val="none"/>
        </w:rPr>
      </w:pPr>
      <w:r>
        <w:rPr>
          <w:rFonts w:hint="eastAsia" w:ascii="仿宋_GB2312" w:eastAsia="仿宋_GB2312"/>
          <w:bCs/>
          <w:sz w:val="32"/>
          <w:szCs w:val="32"/>
          <w:highlight w:val="none"/>
        </w:rPr>
        <w:t>采用混凝土钢筋提升工井比砖砌工井钢筋用量要多，费用也超很多</w:t>
      </w:r>
      <w:r>
        <w:rPr>
          <w:rFonts w:hint="eastAsia" w:ascii="仿宋_GB2312" w:hAnsi="宋体" w:eastAsia="仿宋_GB2312" w:cs="宋体"/>
          <w:bCs/>
          <w:sz w:val="32"/>
          <w:szCs w:val="32"/>
          <w:highlight w:val="none"/>
        </w:rPr>
        <w:t>，但使用寿命也相对较长</w:t>
      </w:r>
      <w:r>
        <w:rPr>
          <w:rFonts w:hint="eastAsia" w:ascii="仿宋_GB2312" w:eastAsia="仿宋_GB2312"/>
          <w:bCs/>
          <w:sz w:val="32"/>
          <w:szCs w:val="32"/>
          <w:highlight w:val="none"/>
        </w:rPr>
        <w:t>。</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29" w:name="_Toc30894"/>
      <w:r>
        <w:rPr>
          <w:rFonts w:hint="eastAsia" w:ascii="仿宋_GB2312" w:eastAsia="仿宋_GB2312" w:cs="仿宋_GB2312"/>
          <w:b/>
          <w:bCs/>
          <w:sz w:val="32"/>
          <w:szCs w:val="32"/>
          <w:highlight w:val="none"/>
        </w:rPr>
        <w:t>3.3 技术方案选择</w:t>
      </w:r>
      <w:bookmarkEnd w:id="24"/>
      <w:bookmarkEnd w:id="29"/>
    </w:p>
    <w:p>
      <w:pPr>
        <w:pStyle w:val="27"/>
        <w:widowControl w:val="0"/>
        <w:spacing w:before="0" w:beforeAutospacing="0" w:after="0" w:afterAutospacing="0" w:line="360" w:lineRule="auto"/>
        <w:ind w:firstLine="640"/>
        <w:jc w:val="both"/>
        <w:rPr>
          <w:rFonts w:ascii="仿宋_GB2312" w:eastAsia="仿宋_GB2312"/>
          <w:bCs/>
          <w:sz w:val="32"/>
          <w:szCs w:val="32"/>
          <w:highlight w:val="none"/>
        </w:rPr>
      </w:pPr>
      <w:bookmarkStart w:id="30" w:name="_Toc490772249"/>
      <w:r>
        <w:rPr>
          <w:rFonts w:hint="eastAsia" w:ascii="仿宋_GB2312" w:hAnsi="Times New Roman" w:eastAsia="仿宋_GB2312"/>
          <w:bCs/>
          <w:kern w:val="2"/>
          <w:sz w:val="32"/>
          <w:szCs w:val="32"/>
          <w:highlight w:val="none"/>
        </w:rPr>
        <w:t>通过以上3个方面对比选择方案一：沉降工井采取钢筋混凝土抬升加固。</w:t>
      </w:r>
    </w:p>
    <w:p>
      <w:pPr>
        <w:pStyle w:val="27"/>
        <w:adjustRightInd w:val="0"/>
        <w:spacing w:before="0" w:beforeAutospacing="0" w:after="0" w:afterAutospacing="0" w:line="580" w:lineRule="exact"/>
        <w:ind w:firstLine="0" w:firstLineChars="0"/>
        <w:jc w:val="both"/>
        <w:outlineLvl w:val="1"/>
        <w:rPr>
          <w:rFonts w:ascii="仿宋_GB2312" w:eastAsia="仿宋_GB2312" w:cs="仿宋_GB2312"/>
          <w:b/>
          <w:bCs/>
          <w:sz w:val="32"/>
          <w:szCs w:val="32"/>
          <w:highlight w:val="none"/>
        </w:rPr>
      </w:pPr>
      <w:bookmarkStart w:id="31" w:name="_Toc3904"/>
      <w:r>
        <w:rPr>
          <w:rFonts w:hint="eastAsia" w:ascii="仿宋_GB2312" w:eastAsia="仿宋_GB2312" w:cs="仿宋_GB2312"/>
          <w:b/>
          <w:bCs/>
          <w:sz w:val="32"/>
          <w:szCs w:val="32"/>
          <w:highlight w:val="none"/>
        </w:rPr>
        <w:t>3.4技术方案详细内容</w:t>
      </w:r>
      <w:bookmarkEnd w:id="30"/>
      <w:bookmarkEnd w:id="31"/>
    </w:p>
    <w:p>
      <w:pPr>
        <w:pStyle w:val="27"/>
        <w:widowControl w:val="0"/>
        <w:spacing w:before="0" w:beforeAutospacing="0" w:after="0" w:afterAutospacing="0" w:line="360" w:lineRule="auto"/>
        <w:ind w:firstLine="640"/>
        <w:jc w:val="both"/>
        <w:rPr>
          <w:rFonts w:ascii="仿宋_GB2312" w:eastAsia="仿宋_GB2312"/>
          <w:bCs/>
          <w:sz w:val="32"/>
          <w:szCs w:val="32"/>
          <w:highlight w:val="none"/>
        </w:rPr>
      </w:pPr>
      <w:r>
        <w:rPr>
          <w:rFonts w:hint="eastAsia" w:ascii="仿宋_GB2312" w:eastAsia="仿宋_GB2312"/>
          <w:bCs/>
          <w:sz w:val="32"/>
          <w:szCs w:val="32"/>
          <w:highlight w:val="none"/>
        </w:rPr>
        <w:t>电缆排管包方加固先将需加固的电缆通道所涉及工井、包方整体挖出暴露，土方开挖必须采用人工挖土（作业人员均经省公司安全培训，并通过考试的合格人员)。在原工井保护处理前，必须对井内原有电缆加以保护，保护时采用沙包回填方式，将井内电缆全部覆盖，再用防火格栅覆盖于沙包上，避免抬升施工期间有重物或者垃圾进入井内，砸伤电缆而引起不必要的麻烦。</w:t>
      </w:r>
    </w:p>
    <w:p>
      <w:pPr>
        <w:spacing w:line="360" w:lineRule="auto"/>
        <w:ind w:firstLine="0" w:firstLineChars="0"/>
        <w:rPr>
          <w:rFonts w:ascii="宋体" w:hAnsi="宋体" w:cs="仿宋"/>
          <w:bCs/>
          <w:sz w:val="24"/>
          <w:highlight w:val="none"/>
        </w:rPr>
      </w:pPr>
      <w:r>
        <w:rPr>
          <w:sz w:val="32"/>
        </w:rPr>
        <w:drawing>
          <wp:inline distT="0" distB="0" distL="114300" distR="114300">
            <wp:extent cx="5252085" cy="2213610"/>
            <wp:effectExtent l="0" t="0" r="0" b="152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5"/>
                    <a:stretch>
                      <a:fillRect/>
                    </a:stretch>
                  </pic:blipFill>
                  <pic:spPr>
                    <a:xfrm>
                      <a:off x="0" y="0"/>
                      <a:ext cx="5252085" cy="2213610"/>
                    </a:xfrm>
                    <a:prstGeom prst="rect">
                      <a:avLst/>
                    </a:prstGeom>
                    <a:noFill/>
                    <a:ln>
                      <a:noFill/>
                    </a:ln>
                  </pic:spPr>
                </pic:pic>
              </a:graphicData>
            </a:graphic>
          </wp:inline>
        </w:drawing>
      </w:r>
    </w:p>
    <w:p>
      <w:pPr>
        <w:pStyle w:val="27"/>
        <w:widowControl w:val="0"/>
        <w:spacing w:before="0" w:beforeAutospacing="0" w:after="0" w:afterAutospacing="0" w:line="360" w:lineRule="auto"/>
        <w:ind w:firstLine="640"/>
        <w:jc w:val="center"/>
        <w:rPr>
          <w:rFonts w:hint="eastAsia" w:ascii="仿宋_GB2312" w:eastAsia="仿宋_GB2312"/>
          <w:bCs/>
          <w:sz w:val="32"/>
          <w:szCs w:val="32"/>
          <w:highlight w:val="none"/>
        </w:rPr>
      </w:pPr>
      <w:r>
        <w:rPr>
          <w:rFonts w:hint="eastAsia" w:ascii="仿宋_GB2312" w:eastAsia="仿宋_GB2312"/>
          <w:bCs/>
          <w:sz w:val="32"/>
          <w:szCs w:val="32"/>
          <w:highlight w:val="none"/>
        </w:rPr>
        <w:t>图3.4-1 盖板标准平面图</w:t>
      </w:r>
    </w:p>
    <w:p>
      <w:pPr>
        <w:wordWrap w:val="0"/>
        <w:spacing w:line="360" w:lineRule="auto"/>
        <w:ind w:firstLine="0" w:firstLineChars="0"/>
        <w:jc w:val="center"/>
        <w:rPr>
          <w:sz w:val="32"/>
        </w:rPr>
      </w:pPr>
      <w:r>
        <w:rPr>
          <w:sz w:val="32"/>
        </w:rPr>
        <w:drawing>
          <wp:inline distT="0" distB="0" distL="114300" distR="114300">
            <wp:extent cx="2435225" cy="957580"/>
            <wp:effectExtent l="0" t="0" r="3175"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6"/>
                    <a:stretch>
                      <a:fillRect/>
                    </a:stretch>
                  </pic:blipFill>
                  <pic:spPr>
                    <a:xfrm>
                      <a:off x="0" y="0"/>
                      <a:ext cx="2435225" cy="957580"/>
                    </a:xfrm>
                    <a:prstGeom prst="rect">
                      <a:avLst/>
                    </a:prstGeom>
                    <a:noFill/>
                    <a:ln>
                      <a:noFill/>
                    </a:ln>
                  </pic:spPr>
                </pic:pic>
              </a:graphicData>
            </a:graphic>
          </wp:inline>
        </w:drawing>
      </w:r>
      <w:r>
        <w:rPr>
          <w:sz w:val="32"/>
        </w:rPr>
        <w:drawing>
          <wp:inline distT="0" distB="0" distL="114300" distR="114300">
            <wp:extent cx="2428240" cy="957580"/>
            <wp:effectExtent l="0" t="0" r="10160" b="139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2428240" cy="957580"/>
                    </a:xfrm>
                    <a:prstGeom prst="rect">
                      <a:avLst/>
                    </a:prstGeom>
                    <a:noFill/>
                    <a:ln>
                      <a:noFill/>
                    </a:ln>
                  </pic:spPr>
                </pic:pic>
              </a:graphicData>
            </a:graphic>
          </wp:inline>
        </w:drawing>
      </w:r>
    </w:p>
    <w:p>
      <w:pPr>
        <w:wordWrap w:val="0"/>
        <w:spacing w:line="360" w:lineRule="auto"/>
        <w:ind w:firstLine="0" w:firstLineChars="0"/>
        <w:jc w:val="center"/>
        <w:rPr>
          <w:rFonts w:hint="eastAsia" w:ascii="仿宋_GB2312" w:hAnsi="宋体" w:eastAsia="仿宋_GB2312" w:cs="宋体"/>
          <w:bCs/>
          <w:kern w:val="0"/>
          <w:sz w:val="32"/>
          <w:szCs w:val="32"/>
          <w:highlight w:val="none"/>
          <w:lang w:val="en-US" w:eastAsia="zh-CN" w:bidi="ar-SA"/>
        </w:rPr>
      </w:pPr>
      <w:r>
        <w:rPr>
          <w:rFonts w:hint="eastAsia" w:ascii="仿宋_GB2312" w:hAnsi="宋体" w:eastAsia="仿宋_GB2312" w:cs="宋体"/>
          <w:bCs/>
          <w:kern w:val="0"/>
          <w:sz w:val="32"/>
          <w:szCs w:val="32"/>
          <w:highlight w:val="none"/>
          <w:lang w:val="en-US" w:eastAsia="zh-CN" w:bidi="ar-SA"/>
        </w:rPr>
        <w:t>图3-4-2 盖板配筋图</w:t>
      </w:r>
    </w:p>
    <w:p>
      <w:pPr>
        <w:spacing w:line="360" w:lineRule="auto"/>
        <w:ind w:firstLine="640"/>
        <w:rPr>
          <w:rFonts w:hint="eastAsia" w:ascii="仿宋_GB2312" w:hAnsi="仿宋_GB2312" w:eastAsia="仿宋_GB2312"/>
          <w:color w:val="000000"/>
          <w:sz w:val="32"/>
          <w:szCs w:val="32"/>
          <w:highlight w:val="none"/>
        </w:rPr>
      </w:pPr>
      <w:r>
        <w:drawing>
          <wp:inline distT="0" distB="0" distL="114300" distR="114300">
            <wp:extent cx="5269865" cy="3221355"/>
            <wp:effectExtent l="0" t="0" r="6985" b="1714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
                    <a:stretch>
                      <a:fillRect/>
                    </a:stretch>
                  </pic:blipFill>
                  <pic:spPr>
                    <a:xfrm>
                      <a:off x="0" y="0"/>
                      <a:ext cx="5269865" cy="3221355"/>
                    </a:xfrm>
                    <a:prstGeom prst="rect">
                      <a:avLst/>
                    </a:prstGeom>
                    <a:noFill/>
                    <a:ln>
                      <a:noFill/>
                    </a:ln>
                  </pic:spPr>
                </pic:pic>
              </a:graphicData>
            </a:graphic>
          </wp:inline>
        </w:drawing>
      </w:r>
    </w:p>
    <w:p>
      <w:pPr>
        <w:spacing w:line="360" w:lineRule="auto"/>
        <w:ind w:firstLine="640"/>
        <w:jc w:val="center"/>
        <w:rPr>
          <w:rFonts w:hint="default" w:ascii="仿宋_GB2312" w:hAnsi="仿宋_GB2312" w:eastAsia="仿宋_GB2312"/>
          <w:color w:val="000000"/>
          <w:sz w:val="32"/>
          <w:szCs w:val="32"/>
          <w:highlight w:val="none"/>
          <w:lang w:val="en-US"/>
        </w:rPr>
      </w:pPr>
      <w:r>
        <w:rPr>
          <w:rFonts w:hint="eastAsia" w:ascii="仿宋_GB2312" w:hAnsi="宋体" w:eastAsia="仿宋_GB2312" w:cs="宋体"/>
          <w:bCs/>
          <w:kern w:val="0"/>
          <w:sz w:val="32"/>
          <w:szCs w:val="32"/>
          <w:highlight w:val="none"/>
          <w:lang w:val="en-US" w:eastAsia="zh-CN" w:bidi="ar-SA"/>
        </w:rPr>
        <w:t>图3-4-3 电缆工井抬升示意图</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仿宋_GB2312" w:hAnsi="仿宋_GB2312" w:eastAsia="仿宋_GB2312"/>
          <w:color w:val="000000"/>
          <w:sz w:val="32"/>
          <w:szCs w:val="32"/>
          <w:highlight w:val="none"/>
        </w:rPr>
      </w:pPr>
      <w:r>
        <w:rPr>
          <w:rFonts w:hint="eastAsia" w:ascii="仿宋_GB2312" w:hAnsi="仿宋_GB2312" w:eastAsia="仿宋_GB2312"/>
          <w:color w:val="000000"/>
          <w:sz w:val="32"/>
          <w:szCs w:val="32"/>
          <w:highlight w:val="none"/>
        </w:rPr>
        <w:t>本项目的建设规模具体如下：</w:t>
      </w:r>
    </w:p>
    <w:p>
      <w:pPr>
        <w:pStyle w:val="27"/>
        <w:widowControl w:val="0"/>
        <w:spacing w:before="0" w:beforeAutospacing="0" w:after="0" w:afterAutospacing="0" w:line="360" w:lineRule="auto"/>
        <w:ind w:firstLine="640"/>
        <w:jc w:val="center"/>
        <w:rPr>
          <w:rFonts w:ascii="仿宋_GB2312" w:eastAsia="仿宋_GB2312"/>
          <w:bCs/>
          <w:color w:val="auto"/>
          <w:sz w:val="32"/>
          <w:szCs w:val="32"/>
        </w:rPr>
      </w:pPr>
      <w:r>
        <w:rPr>
          <w:rFonts w:hint="eastAsia" w:ascii="仿宋_GB2312" w:eastAsia="仿宋_GB2312"/>
          <w:bCs/>
          <w:color w:val="auto"/>
          <w:sz w:val="32"/>
          <w:szCs w:val="32"/>
        </w:rPr>
        <w:t>表3.4-1 工井提升清单</w:t>
      </w:r>
    </w:p>
    <w:tbl>
      <w:tblPr>
        <w:tblStyle w:val="30"/>
        <w:tblW w:w="5000" w:type="pct"/>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884"/>
        <w:gridCol w:w="1209"/>
        <w:gridCol w:w="1581"/>
        <w:gridCol w:w="1912"/>
        <w:gridCol w:w="1394"/>
        <w:gridCol w:w="1542"/>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914" w:hRule="atLeast"/>
          <w:tblHeader/>
        </w:trPr>
        <w:tc>
          <w:tcPr>
            <w:tcW w:w="518"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序号</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电压等级</w:t>
            </w:r>
          </w:p>
        </w:tc>
        <w:tc>
          <w:tcPr>
            <w:tcW w:w="92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线路名称</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规格</w:t>
            </w:r>
          </w:p>
          <w:p>
            <w:pPr>
              <w:spacing w:line="360" w:lineRule="auto"/>
              <w:ind w:left="0" w:leftChars="0" w:firstLine="0" w:firstLineChars="0"/>
              <w:jc w:val="center"/>
              <w:rPr>
                <w:rFonts w:hint="default"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（长×宽×高）</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提升高度</w:t>
            </w:r>
          </w:p>
        </w:tc>
        <w:tc>
          <w:tcPr>
            <w:tcW w:w="904"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工井升高（处）</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518" w:type="pct"/>
            <w:tcBorders>
              <w:tl2br w:val="nil"/>
              <w:tr2bl w:val="nil"/>
            </w:tcBorders>
            <w:shd w:val="clear" w:color="auto" w:fill="auto"/>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c>
          <w:tcPr>
            <w:tcW w:w="709" w:type="pct"/>
            <w:tcBorders>
              <w:tl2br w:val="nil"/>
              <w:tr2bl w:val="nil"/>
            </w:tcBorders>
            <w:shd w:val="clear" w:color="auto" w:fill="auto"/>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shd w:val="clear" w:color="auto" w:fill="auto"/>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梅丘1973线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518"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元崇1015线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3</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洛山1716线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5</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大余1725线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3</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5</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广济1724线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6</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五杭1722线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7</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大云1740线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9</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会长1734线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9</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大凤1729线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10</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勾庄1713线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长桥1193线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12</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元横1016线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13</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仁镇1198线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14</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桃源1984线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15</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杭桃1147线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16</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潘板1742线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17</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高地1979线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德桑1335线外乔支线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10</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19</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五常1981线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创杭1980线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21</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油车1714线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22</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元建1013线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400" w:hRule="atLeast"/>
        </w:trPr>
        <w:tc>
          <w:tcPr>
            <w:tcW w:w="88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23</w:t>
            </w:r>
          </w:p>
        </w:tc>
        <w:tc>
          <w:tcPr>
            <w:tcW w:w="70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81"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崇畔1167线</w:t>
            </w:r>
          </w:p>
        </w:tc>
        <w:tc>
          <w:tcPr>
            <w:tcW w:w="112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2m*1.8m*1.5m</w:t>
            </w:r>
          </w:p>
        </w:tc>
        <w:tc>
          <w:tcPr>
            <w:tcW w:w="817"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0.5m</w:t>
            </w:r>
          </w:p>
        </w:tc>
        <w:tc>
          <w:tcPr>
            <w:tcW w:w="1510"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r>
    </w:tbl>
    <w:p>
      <w:pPr>
        <w:pStyle w:val="27"/>
        <w:widowControl w:val="0"/>
        <w:spacing w:before="0" w:beforeAutospacing="0" w:after="0" w:afterAutospacing="0" w:line="360" w:lineRule="auto"/>
        <w:ind w:firstLine="640"/>
        <w:jc w:val="center"/>
        <w:rPr>
          <w:rFonts w:ascii="仿宋_GB2312" w:eastAsia="仿宋_GB2312"/>
          <w:bCs/>
          <w:color w:val="auto"/>
          <w:sz w:val="32"/>
          <w:szCs w:val="32"/>
        </w:rPr>
      </w:pPr>
      <w:r>
        <w:rPr>
          <w:rFonts w:hint="eastAsia" w:ascii="仿宋_GB2312" w:eastAsia="仿宋_GB2312"/>
          <w:bCs/>
          <w:color w:val="auto"/>
          <w:sz w:val="32"/>
          <w:szCs w:val="32"/>
        </w:rPr>
        <w:t>表3.4-2 电缆盖板的更换清单</w:t>
      </w:r>
    </w:p>
    <w:tbl>
      <w:tblPr>
        <w:tblStyle w:val="30"/>
        <w:tblW w:w="4997" w:type="pct"/>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564"/>
        <w:gridCol w:w="1004"/>
        <w:gridCol w:w="1505"/>
        <w:gridCol w:w="1978"/>
        <w:gridCol w:w="1656"/>
        <w:gridCol w:w="1810"/>
      </w:tblGrid>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cantSplit/>
          <w:trHeight w:val="590" w:hRule="atLeast"/>
          <w:tblHeader/>
        </w:trPr>
        <w:tc>
          <w:tcPr>
            <w:tcW w:w="33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序号</w:t>
            </w:r>
          </w:p>
        </w:tc>
        <w:tc>
          <w:tcPr>
            <w:tcW w:w="589"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电压</w:t>
            </w:r>
          </w:p>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等级</w:t>
            </w:r>
          </w:p>
        </w:tc>
        <w:tc>
          <w:tcPr>
            <w:tcW w:w="883"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线路名称</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规格</w:t>
            </w:r>
          </w:p>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（长×宽×厚）</w:t>
            </w:r>
          </w:p>
        </w:tc>
        <w:tc>
          <w:tcPr>
            <w:tcW w:w="97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电缆盖板的更换（块）</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bCs/>
                <w:color w:val="auto"/>
                <w:sz w:val="24"/>
                <w:szCs w:val="24"/>
                <w:lang w:val="en-US" w:eastAsia="zh-CN"/>
              </w:rPr>
            </w:pPr>
            <w:r>
              <w:rPr>
                <w:rFonts w:hint="eastAsia" w:ascii="仿宋_GB2312" w:hAnsi="仿宋_GB2312" w:eastAsia="仿宋_GB2312" w:cs="仿宋_GB2312"/>
                <w:b/>
                <w:bCs/>
                <w:color w:val="auto"/>
                <w:sz w:val="24"/>
                <w:szCs w:val="24"/>
                <w:lang w:val="en-US" w:eastAsia="zh-CN"/>
              </w:rPr>
              <w:t>备注</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梅丘1973线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default"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w:t>
            </w:r>
          </w:p>
        </w:tc>
        <w:tc>
          <w:tcPr>
            <w:tcW w:w="1004" w:type="dxa"/>
            <w:tcBorders>
              <w:tl2br w:val="nil"/>
              <w:tr2bl w:val="nil"/>
            </w:tcBorders>
            <w:vAlign w:val="center"/>
          </w:tcPr>
          <w:p>
            <w:pPr>
              <w:spacing w:line="360" w:lineRule="auto"/>
              <w:ind w:left="0" w:leftChars="0" w:firstLine="0" w:firstLineChars="0"/>
              <w:jc w:val="center"/>
              <w:rPr>
                <w:rFonts w:hint="default"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元崇1015线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default"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3</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洛山1716线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100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大余1725线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60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5</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广济1724线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6</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五杭1722线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7</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大云1740线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会长1734线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9</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大凤1729线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10</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勾庄1713线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长桥1193线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12</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元横1016线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13</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仁镇1198线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160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14</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桃源1984线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15</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杭桃1147线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16</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潘板1742线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17</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高地1979线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德桑1335线外乔支线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19</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五常1981线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80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创杭1980线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160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21</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油车1714线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40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22</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元建1013线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r>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27" w:hRule="atLeast"/>
        </w:trPr>
        <w:tc>
          <w:tcPr>
            <w:tcW w:w="56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23</w:t>
            </w:r>
          </w:p>
        </w:tc>
        <w:tc>
          <w:tcPr>
            <w:tcW w:w="1004"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110</w:t>
            </w:r>
          </w:p>
        </w:tc>
        <w:tc>
          <w:tcPr>
            <w:tcW w:w="1505" w:type="dxa"/>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崇畔1167线</w:t>
            </w:r>
          </w:p>
        </w:tc>
        <w:tc>
          <w:tcPr>
            <w:tcW w:w="1161"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1.8m*0.3m*0.2m</w:t>
            </w:r>
          </w:p>
        </w:tc>
        <w:tc>
          <w:tcPr>
            <w:tcW w:w="1656" w:type="dxa"/>
            <w:tcBorders>
              <w:tl2br w:val="nil"/>
              <w:tr2bl w:val="nil"/>
            </w:tcBorders>
            <w:vAlign w:val="top"/>
          </w:tcPr>
          <w:p>
            <w:pPr>
              <w:keepNext w:val="0"/>
              <w:keepLines w:val="0"/>
              <w:widowControl/>
              <w:suppressLineNumbers w:val="0"/>
              <w:ind w:firstLine="480" w:firstLineChars="200"/>
              <w:jc w:val="both"/>
              <w:textAlignment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20</w:t>
            </w:r>
          </w:p>
        </w:tc>
        <w:tc>
          <w:tcPr>
            <w:tcW w:w="1062" w:type="pct"/>
            <w:tcBorders>
              <w:tl2br w:val="nil"/>
              <w:tr2bl w:val="nil"/>
            </w:tcBorders>
            <w:vAlign w:val="center"/>
          </w:tcPr>
          <w:p>
            <w:pPr>
              <w:spacing w:line="360" w:lineRule="auto"/>
              <w:ind w:left="0" w:leftChars="0" w:firstLine="0" w:firstLineChars="0"/>
              <w:jc w:val="center"/>
              <w:rPr>
                <w:rFonts w:hint="eastAsia" w:ascii="仿宋_GB2312" w:hAnsi="仿宋_GB2312" w:eastAsia="仿宋_GB2312" w:cs="仿宋_GB2312"/>
                <w:b w:val="0"/>
                <w:bCs w:val="0"/>
                <w:color w:val="auto"/>
                <w:sz w:val="24"/>
                <w:szCs w:val="24"/>
                <w:lang w:val="en-US" w:eastAsia="zh-CN"/>
              </w:rPr>
            </w:pPr>
            <w:r>
              <w:rPr>
                <w:rFonts w:hint="eastAsia" w:ascii="仿宋_GB2312" w:hAnsi="仿宋_GB2312" w:eastAsia="仿宋_GB2312" w:cs="仿宋_GB2312"/>
                <w:b w:val="0"/>
                <w:bCs w:val="0"/>
                <w:color w:val="auto"/>
                <w:sz w:val="24"/>
                <w:szCs w:val="24"/>
                <w:lang w:val="en-US" w:eastAsia="zh-CN"/>
              </w:rPr>
              <w:t>盖板破损、起拱</w:t>
            </w:r>
          </w:p>
        </w:tc>
      </w:tr>
    </w:tbl>
    <w:p>
      <w:pPr>
        <w:pStyle w:val="11"/>
        <w:ind w:firstLine="560"/>
        <w:rPr>
          <w:highlight w:val="none"/>
        </w:rPr>
      </w:pPr>
    </w:p>
    <w:p>
      <w:pPr>
        <w:spacing w:line="460" w:lineRule="exact"/>
        <w:ind w:firstLine="0" w:firstLineChars="0"/>
        <w:outlineLvl w:val="0"/>
        <w:rPr>
          <w:rFonts w:ascii="黑体" w:eastAsia="黑体" w:cs="黑体"/>
          <w:sz w:val="32"/>
          <w:szCs w:val="32"/>
          <w:highlight w:val="none"/>
        </w:rPr>
      </w:pPr>
      <w:bookmarkStart w:id="32" w:name="_Toc26920"/>
      <w:r>
        <w:rPr>
          <w:rFonts w:hint="eastAsia" w:ascii="黑体" w:eastAsia="黑体" w:cs="黑体"/>
          <w:sz w:val="32"/>
          <w:szCs w:val="32"/>
          <w:highlight w:val="none"/>
        </w:rPr>
        <w:t>4．经济性与财务合规性</w:t>
      </w:r>
      <w:bookmarkEnd w:id="32"/>
    </w:p>
    <w:p>
      <w:pPr>
        <w:spacing w:line="360" w:lineRule="auto"/>
        <w:ind w:firstLine="0" w:firstLineChars="0"/>
        <w:outlineLvl w:val="1"/>
        <w:rPr>
          <w:rFonts w:ascii="仿宋_GB2312" w:hAnsi="仿宋_GB2312" w:eastAsia="仿宋_GB2312" w:cs="仿宋_GB2312"/>
          <w:b/>
          <w:kern w:val="1"/>
          <w:sz w:val="32"/>
          <w:szCs w:val="32"/>
          <w:highlight w:val="none"/>
        </w:rPr>
      </w:pPr>
      <w:bookmarkStart w:id="33" w:name="_Toc457384617"/>
      <w:bookmarkStart w:id="34" w:name="_Toc458072557"/>
      <w:bookmarkStart w:id="35" w:name="_Toc21832"/>
      <w:bookmarkStart w:id="36" w:name="_Toc24010"/>
      <w:bookmarkStart w:id="37" w:name="_Toc456690082"/>
      <w:bookmarkStart w:id="38" w:name="_Toc18288"/>
      <w:r>
        <w:rPr>
          <w:rFonts w:hint="eastAsia" w:ascii="仿宋_GB2312" w:hAnsi="仿宋_GB2312" w:eastAsia="仿宋_GB2312" w:cs="仿宋_GB2312"/>
          <w:b/>
          <w:kern w:val="1"/>
          <w:sz w:val="32"/>
          <w:szCs w:val="32"/>
          <w:highlight w:val="none"/>
        </w:rPr>
        <w:t>4.1 项目设计依据</w:t>
      </w:r>
      <w:bookmarkEnd w:id="33"/>
      <w:bookmarkEnd w:id="34"/>
      <w:bookmarkEnd w:id="35"/>
      <w:bookmarkEnd w:id="36"/>
      <w:bookmarkEnd w:id="37"/>
      <w:bookmarkEnd w:id="38"/>
    </w:p>
    <w:p>
      <w:pPr>
        <w:spacing w:line="360" w:lineRule="auto"/>
        <w:ind w:firstLine="640"/>
        <w:rPr>
          <w:rFonts w:ascii="仿宋_GB2312" w:hAnsi="宋体" w:eastAsia="仿宋_GB2312" w:cs="宋体"/>
          <w:bCs/>
          <w:color w:val="000000"/>
          <w:sz w:val="32"/>
          <w:szCs w:val="32"/>
          <w:highlight w:val="none"/>
        </w:rPr>
      </w:pPr>
      <w:r>
        <w:rPr>
          <w:rFonts w:hint="eastAsia" w:ascii="仿宋_GB2312" w:hAnsi="宋体" w:eastAsia="仿宋_GB2312" w:cs="宋体"/>
          <w:bCs/>
          <w:color w:val="000000"/>
          <w:sz w:val="32"/>
          <w:szCs w:val="32"/>
          <w:highlight w:val="none"/>
        </w:rPr>
        <w:t>根据《</w:t>
      </w:r>
      <w:r>
        <w:rPr>
          <w:highlight w:val="none"/>
        </w:rPr>
        <w:fldChar w:fldCharType="begin"/>
      </w:r>
      <w:r>
        <w:rPr>
          <w:highlight w:val="none"/>
        </w:rPr>
        <w:instrText xml:space="preserve"> HYPERLINK "javascript:openAttachment(%22国家电网公司项目可研经济性与财务合规性评价指导意见（修订版）.doc%22)" </w:instrText>
      </w:r>
      <w:r>
        <w:rPr>
          <w:highlight w:val="none"/>
        </w:rPr>
        <w:fldChar w:fldCharType="separate"/>
      </w:r>
      <w:r>
        <w:rPr>
          <w:rFonts w:hint="eastAsia" w:ascii="仿宋_GB2312" w:hAnsi="宋体" w:eastAsia="仿宋_GB2312" w:cs="宋体"/>
          <w:bCs/>
          <w:color w:val="000000"/>
          <w:sz w:val="32"/>
          <w:szCs w:val="32"/>
          <w:highlight w:val="none"/>
        </w:rPr>
        <w:t>国家电网公司项目可研经济性与财务合规性评价指导意见</w:t>
      </w:r>
      <w:r>
        <w:rPr>
          <w:rFonts w:hint="eastAsia" w:ascii="仿宋_GB2312" w:hAnsi="宋体" w:eastAsia="仿宋_GB2312" w:cs="宋体"/>
          <w:bCs/>
          <w:color w:val="000000"/>
          <w:sz w:val="32"/>
          <w:szCs w:val="32"/>
          <w:highlight w:val="none"/>
        </w:rPr>
        <w:fldChar w:fldCharType="end"/>
      </w:r>
      <w:r>
        <w:rPr>
          <w:rFonts w:hint="eastAsia" w:ascii="仿宋_GB2312" w:hAnsi="宋体" w:eastAsia="仿宋_GB2312" w:cs="宋体"/>
          <w:bCs/>
          <w:color w:val="000000"/>
          <w:sz w:val="32"/>
          <w:szCs w:val="32"/>
          <w:highlight w:val="none"/>
        </w:rPr>
        <w:t>》（国家电网财〔2015〕536号）要求，本项目符合生产大修项目适用范围，符合财务合规性中的不增加固定资产原值规定，符合可研经济性中所规定的审核费用计列工程量与技术方案及相关设计资料的一致性、准确性。设备及材料价格参考国省网近期物资中标价格。</w:t>
      </w:r>
    </w:p>
    <w:p>
      <w:pPr>
        <w:spacing w:line="360" w:lineRule="auto"/>
        <w:ind w:firstLine="0" w:firstLineChars="0"/>
        <w:outlineLvl w:val="1"/>
        <w:rPr>
          <w:rFonts w:ascii="仿宋_GB2312" w:hAnsi="仿宋_GB2312" w:eastAsia="仿宋_GB2312" w:cs="仿宋_GB2312"/>
          <w:b/>
          <w:kern w:val="1"/>
          <w:sz w:val="32"/>
          <w:szCs w:val="32"/>
          <w:highlight w:val="none"/>
        </w:rPr>
      </w:pPr>
      <w:bookmarkStart w:id="39" w:name="_Toc457384618"/>
      <w:bookmarkStart w:id="40" w:name="_Toc456690083"/>
      <w:bookmarkStart w:id="41" w:name="_Toc13063"/>
      <w:bookmarkStart w:id="42" w:name="_Toc458072558"/>
      <w:bookmarkStart w:id="43" w:name="_Toc21806"/>
      <w:bookmarkStart w:id="44" w:name="_Toc10057"/>
      <w:r>
        <w:rPr>
          <w:rFonts w:hint="eastAsia" w:ascii="仿宋_GB2312" w:hAnsi="仿宋_GB2312" w:eastAsia="仿宋_GB2312" w:cs="仿宋_GB2312"/>
          <w:b/>
          <w:kern w:val="1"/>
          <w:sz w:val="32"/>
          <w:szCs w:val="32"/>
          <w:highlight w:val="none"/>
        </w:rPr>
        <w:t>4.2 本项目政策适应性</w:t>
      </w:r>
      <w:bookmarkEnd w:id="39"/>
      <w:bookmarkEnd w:id="40"/>
      <w:bookmarkEnd w:id="41"/>
      <w:bookmarkEnd w:id="42"/>
      <w:bookmarkEnd w:id="43"/>
      <w:bookmarkEnd w:id="44"/>
    </w:p>
    <w:p>
      <w:pPr>
        <w:spacing w:line="360" w:lineRule="auto"/>
        <w:ind w:firstLine="640"/>
        <w:rPr>
          <w:rFonts w:ascii="仿宋_GB2312" w:hAnsi="宋体" w:eastAsia="仿宋_GB2312" w:cs="宋体"/>
          <w:bCs/>
          <w:color w:val="000000"/>
          <w:sz w:val="32"/>
          <w:szCs w:val="32"/>
          <w:highlight w:val="none"/>
        </w:rPr>
      </w:pPr>
      <w:r>
        <w:rPr>
          <w:rFonts w:hint="eastAsia" w:ascii="仿宋_GB2312" w:hAnsi="宋体" w:eastAsia="仿宋_GB2312" w:cs="宋体"/>
          <w:bCs/>
          <w:color w:val="000000"/>
          <w:sz w:val="32"/>
          <w:szCs w:val="32"/>
          <w:highlight w:val="none"/>
        </w:rPr>
        <w:t>项目依据国家电网公司生产技改工作管理规定等相关规章制度编制，符合相关国家法律、法规、政策以及公司有关管理制度等要求。</w:t>
      </w:r>
    </w:p>
    <w:p>
      <w:pPr>
        <w:spacing w:line="360" w:lineRule="auto"/>
        <w:ind w:firstLine="0" w:firstLineChars="0"/>
        <w:jc w:val="left"/>
        <w:outlineLvl w:val="0"/>
        <w:rPr>
          <w:rFonts w:ascii="黑体" w:hAnsi="黑体" w:eastAsia="黑体" w:cs="黑体"/>
          <w:bCs/>
          <w:sz w:val="32"/>
          <w:szCs w:val="32"/>
          <w:highlight w:val="none"/>
        </w:rPr>
      </w:pPr>
      <w:bookmarkStart w:id="45" w:name="_Toc11648"/>
      <w:bookmarkStart w:id="46" w:name="_Toc2378"/>
      <w:r>
        <w:rPr>
          <w:rFonts w:hint="eastAsia" w:ascii="黑体" w:hAnsi="黑体" w:eastAsia="黑体" w:cs="黑体"/>
          <w:bCs/>
          <w:sz w:val="32"/>
          <w:szCs w:val="32"/>
          <w:highlight w:val="none"/>
        </w:rPr>
        <w:t>5. 拟拆除</w:t>
      </w:r>
      <w:bookmarkEnd w:id="45"/>
      <w:r>
        <w:rPr>
          <w:rFonts w:hint="eastAsia" w:ascii="黑体" w:hAnsi="黑体" w:eastAsia="黑体" w:cs="黑体"/>
          <w:bCs/>
          <w:sz w:val="32"/>
          <w:szCs w:val="32"/>
          <w:highlight w:val="none"/>
        </w:rPr>
        <w:t>材料处置意见</w:t>
      </w:r>
      <w:bookmarkEnd w:id="46"/>
    </w:p>
    <w:p>
      <w:pPr>
        <w:spacing w:line="360" w:lineRule="auto"/>
        <w:ind w:firstLine="0" w:firstLineChars="0"/>
        <w:outlineLvl w:val="1"/>
        <w:rPr>
          <w:rFonts w:hint="eastAsia" w:ascii="仿宋_GB2312" w:hAnsi="仿宋_GB2312" w:eastAsia="仿宋_GB2312" w:cs="仿宋_GB2312"/>
          <w:b/>
          <w:kern w:val="1"/>
          <w:sz w:val="32"/>
          <w:szCs w:val="32"/>
          <w:highlight w:val="none"/>
        </w:rPr>
      </w:pPr>
      <w:bookmarkStart w:id="47" w:name="_Toc455648691"/>
      <w:bookmarkStart w:id="48" w:name="_Toc22460"/>
      <w:bookmarkStart w:id="49" w:name="_Toc25460"/>
      <w:bookmarkStart w:id="50" w:name="_Toc18873"/>
      <w:r>
        <w:rPr>
          <w:rFonts w:hint="eastAsia" w:ascii="仿宋_GB2312" w:hAnsi="仿宋_GB2312" w:eastAsia="仿宋_GB2312" w:cs="仿宋_GB2312"/>
          <w:b/>
          <w:kern w:val="1"/>
          <w:sz w:val="32"/>
          <w:szCs w:val="32"/>
          <w:highlight w:val="none"/>
        </w:rPr>
        <w:t xml:space="preserve">5.1  </w:t>
      </w:r>
      <w:bookmarkEnd w:id="47"/>
      <w:r>
        <w:rPr>
          <w:rFonts w:hint="eastAsia" w:ascii="仿宋_GB2312" w:hAnsi="仿宋_GB2312" w:eastAsia="仿宋_GB2312" w:cs="仿宋_GB2312"/>
          <w:b/>
          <w:kern w:val="1"/>
          <w:sz w:val="32"/>
          <w:szCs w:val="32"/>
          <w:highlight w:val="none"/>
        </w:rPr>
        <w:t>拟拆除材料清单</w:t>
      </w:r>
      <w:bookmarkEnd w:id="48"/>
      <w:bookmarkEnd w:id="49"/>
      <w:bookmarkEnd w:id="50"/>
    </w:p>
    <w:p>
      <w:pPr>
        <w:pStyle w:val="11"/>
        <w:rPr>
          <w:rFonts w:hint="eastAsia" w:eastAsia="仿宋_GB2312"/>
          <w:highlight w:val="none"/>
          <w:lang w:val="en-US" w:eastAsia="zh-CN"/>
        </w:rPr>
      </w:pPr>
      <w:r>
        <w:rPr>
          <w:rFonts w:hint="eastAsia" w:ascii="仿宋_GB2312" w:hAnsi="仿宋_GB2312" w:eastAsia="仿宋_GB2312" w:cs="仿宋_GB2312"/>
          <w:b/>
          <w:kern w:val="1"/>
          <w:sz w:val="32"/>
          <w:szCs w:val="32"/>
          <w:highlight w:val="none"/>
          <w:lang w:val="en-US" w:eastAsia="zh-CN"/>
        </w:rPr>
        <w:t>无。</w:t>
      </w:r>
    </w:p>
    <w:p>
      <w:pPr>
        <w:spacing w:line="360" w:lineRule="auto"/>
        <w:ind w:firstLine="0" w:firstLineChars="0"/>
        <w:outlineLvl w:val="1"/>
        <w:rPr>
          <w:rFonts w:ascii="仿宋_GB2312" w:hAnsi="仿宋_GB2312" w:eastAsia="仿宋_GB2312" w:cs="仿宋_GB2312"/>
          <w:b/>
          <w:kern w:val="1"/>
          <w:sz w:val="32"/>
          <w:szCs w:val="32"/>
          <w:highlight w:val="none"/>
        </w:rPr>
      </w:pPr>
      <w:bookmarkStart w:id="51" w:name="_Toc455648692"/>
      <w:bookmarkStart w:id="52" w:name="_Toc25130"/>
      <w:bookmarkStart w:id="53" w:name="_Toc31608"/>
      <w:bookmarkStart w:id="54" w:name="_Toc12104"/>
      <w:bookmarkStart w:id="55" w:name="_Toc450904333"/>
      <w:bookmarkStart w:id="56" w:name="_Toc4717"/>
      <w:r>
        <w:rPr>
          <w:rFonts w:hint="eastAsia" w:ascii="仿宋_GB2312" w:hAnsi="仿宋_GB2312" w:eastAsia="仿宋_GB2312" w:cs="仿宋_GB2312"/>
          <w:b/>
          <w:kern w:val="1"/>
          <w:sz w:val="32"/>
          <w:szCs w:val="32"/>
          <w:highlight w:val="none"/>
        </w:rPr>
        <w:t xml:space="preserve">5.2  </w:t>
      </w:r>
      <w:bookmarkEnd w:id="51"/>
      <w:r>
        <w:rPr>
          <w:rFonts w:hint="eastAsia" w:ascii="仿宋_GB2312" w:hAnsi="仿宋_GB2312" w:eastAsia="仿宋_GB2312" w:cs="仿宋_GB2312"/>
          <w:b/>
          <w:kern w:val="1"/>
          <w:sz w:val="32"/>
          <w:szCs w:val="32"/>
          <w:highlight w:val="none"/>
        </w:rPr>
        <w:t>拟拆除材料状态评价</w:t>
      </w:r>
      <w:bookmarkEnd w:id="52"/>
      <w:bookmarkEnd w:id="53"/>
      <w:bookmarkEnd w:id="54"/>
    </w:p>
    <w:bookmarkEnd w:id="55"/>
    <w:p>
      <w:pPr>
        <w:topLinePunct/>
        <w:spacing w:line="360" w:lineRule="auto"/>
        <w:ind w:firstLine="640"/>
        <w:rPr>
          <w:rFonts w:ascii="仿宋_GB2312" w:hAnsi="宋体" w:eastAsia="仿宋_GB2312"/>
          <w:color w:val="000000"/>
          <w:sz w:val="32"/>
          <w:szCs w:val="32"/>
          <w:highlight w:val="none"/>
        </w:rPr>
      </w:pPr>
      <w:r>
        <w:rPr>
          <w:rFonts w:hint="eastAsia" w:ascii="仿宋_GB2312" w:hAnsi="宋体" w:eastAsia="仿宋_GB2312"/>
          <w:color w:val="000000"/>
          <w:sz w:val="32"/>
          <w:szCs w:val="32"/>
          <w:highlight w:val="none"/>
        </w:rPr>
        <w:t>本项目拆除的材料已无法利用，按照废旧物资管理的相关规定建议报废。</w:t>
      </w:r>
    </w:p>
    <w:p>
      <w:pPr>
        <w:spacing w:line="360" w:lineRule="auto"/>
        <w:ind w:firstLine="0" w:firstLineChars="0"/>
        <w:jc w:val="left"/>
        <w:outlineLvl w:val="0"/>
        <w:rPr>
          <w:rFonts w:ascii="黑体" w:hAnsi="黑体" w:eastAsia="黑体" w:cs="黑体"/>
          <w:bCs/>
          <w:sz w:val="32"/>
          <w:szCs w:val="32"/>
          <w:highlight w:val="none"/>
        </w:rPr>
      </w:pPr>
      <w:bookmarkStart w:id="57" w:name="_Toc15218"/>
      <w:r>
        <w:rPr>
          <w:rFonts w:hint="eastAsia" w:ascii="黑体" w:hAnsi="黑体" w:eastAsia="黑体" w:cs="黑体"/>
          <w:bCs/>
          <w:sz w:val="32"/>
          <w:szCs w:val="32"/>
          <w:highlight w:val="none"/>
        </w:rPr>
        <w:t>6．项目实施安排</w:t>
      </w:r>
      <w:bookmarkEnd w:id="56"/>
      <w:bookmarkEnd w:id="57"/>
    </w:p>
    <w:p>
      <w:pPr>
        <w:spacing w:line="360" w:lineRule="auto"/>
        <w:ind w:firstLine="0" w:firstLineChars="0"/>
        <w:outlineLvl w:val="1"/>
        <w:rPr>
          <w:rFonts w:ascii="仿宋_GB2312" w:hAnsi="仿宋_GB2312" w:eastAsia="仿宋_GB2312" w:cs="仿宋_GB2312"/>
          <w:b/>
          <w:kern w:val="1"/>
          <w:sz w:val="32"/>
          <w:szCs w:val="32"/>
          <w:highlight w:val="none"/>
        </w:rPr>
      </w:pPr>
      <w:bookmarkStart w:id="58" w:name="_Toc30768"/>
      <w:bookmarkStart w:id="59" w:name="_Toc3103"/>
      <w:r>
        <w:rPr>
          <w:rFonts w:hint="eastAsia" w:ascii="仿宋_GB2312" w:hAnsi="仿宋_GB2312" w:eastAsia="仿宋_GB2312" w:cs="仿宋_GB2312"/>
          <w:b/>
          <w:kern w:val="1"/>
          <w:sz w:val="32"/>
          <w:szCs w:val="32"/>
          <w:highlight w:val="none"/>
        </w:rPr>
        <w:t>6.1 外部环境落实条件</w:t>
      </w:r>
      <w:bookmarkEnd w:id="58"/>
      <w:bookmarkEnd w:id="59"/>
    </w:p>
    <w:p>
      <w:pPr>
        <w:pStyle w:val="27"/>
        <w:widowControl w:val="0"/>
        <w:spacing w:before="0" w:beforeAutospacing="0" w:after="0" w:afterAutospacing="0" w:line="360" w:lineRule="auto"/>
        <w:ind w:firstLine="640"/>
        <w:jc w:val="both"/>
        <w:rPr>
          <w:rFonts w:ascii="仿宋_GB2312" w:eastAsia="仿宋_GB2312"/>
          <w:bCs/>
          <w:color w:val="000000"/>
          <w:sz w:val="32"/>
          <w:szCs w:val="32"/>
          <w:highlight w:val="none"/>
        </w:rPr>
      </w:pPr>
      <w:r>
        <w:rPr>
          <w:rFonts w:hint="eastAsia" w:ascii="仿宋_GB2312" w:eastAsia="仿宋_GB2312"/>
          <w:bCs/>
          <w:color w:val="000000"/>
          <w:sz w:val="32"/>
          <w:szCs w:val="32"/>
          <w:highlight w:val="none"/>
        </w:rPr>
        <w:t>本项目无需停电施工，需满足外部施工作业所需条件。</w:t>
      </w:r>
    </w:p>
    <w:p>
      <w:pPr>
        <w:spacing w:line="360" w:lineRule="auto"/>
        <w:ind w:firstLine="0" w:firstLineChars="0"/>
        <w:outlineLvl w:val="1"/>
        <w:rPr>
          <w:rFonts w:ascii="仿宋_GB2312" w:hAnsi="仿宋_GB2312" w:eastAsia="仿宋_GB2312" w:cs="仿宋_GB2312"/>
          <w:b/>
          <w:kern w:val="1"/>
          <w:sz w:val="32"/>
          <w:szCs w:val="32"/>
          <w:highlight w:val="none"/>
        </w:rPr>
      </w:pPr>
      <w:bookmarkStart w:id="60" w:name="_Toc30601"/>
      <w:bookmarkStart w:id="61" w:name="_Toc11958"/>
      <w:r>
        <w:rPr>
          <w:rFonts w:hint="eastAsia" w:ascii="仿宋_GB2312" w:hAnsi="仿宋_GB2312" w:eastAsia="仿宋_GB2312" w:cs="仿宋_GB2312"/>
          <w:b/>
          <w:kern w:val="1"/>
          <w:sz w:val="32"/>
          <w:szCs w:val="32"/>
          <w:highlight w:val="none"/>
        </w:rPr>
        <w:t>6.2 施工过渡措施</w:t>
      </w:r>
      <w:bookmarkEnd w:id="60"/>
      <w:bookmarkEnd w:id="61"/>
    </w:p>
    <w:p>
      <w:pPr>
        <w:pStyle w:val="27"/>
        <w:widowControl w:val="0"/>
        <w:spacing w:before="0" w:beforeAutospacing="0" w:after="0" w:afterAutospacing="0" w:line="360" w:lineRule="auto"/>
        <w:ind w:firstLine="616"/>
        <w:jc w:val="both"/>
        <w:rPr>
          <w:rFonts w:ascii="仿宋_GB2312" w:eastAsia="仿宋_GB2312"/>
          <w:bCs/>
          <w:color w:val="000000"/>
          <w:spacing w:val="-6"/>
          <w:sz w:val="32"/>
          <w:szCs w:val="32"/>
          <w:highlight w:val="none"/>
        </w:rPr>
      </w:pPr>
      <w:r>
        <w:rPr>
          <w:rFonts w:hint="eastAsia" w:ascii="仿宋_GB2312" w:eastAsia="仿宋_GB2312"/>
          <w:bCs/>
          <w:color w:val="000000"/>
          <w:spacing w:val="-6"/>
          <w:sz w:val="32"/>
          <w:szCs w:val="32"/>
          <w:highlight w:val="none"/>
        </w:rPr>
        <w:t>无施工过渡措施。</w:t>
      </w:r>
    </w:p>
    <w:p>
      <w:pPr>
        <w:spacing w:line="360" w:lineRule="auto"/>
        <w:ind w:firstLine="0" w:firstLineChars="0"/>
        <w:outlineLvl w:val="1"/>
        <w:rPr>
          <w:rFonts w:ascii="仿宋_GB2312" w:hAnsi="仿宋_GB2312" w:eastAsia="仿宋_GB2312" w:cs="仿宋_GB2312"/>
          <w:b/>
          <w:kern w:val="1"/>
          <w:sz w:val="32"/>
          <w:szCs w:val="32"/>
          <w:highlight w:val="none"/>
        </w:rPr>
      </w:pPr>
      <w:bookmarkStart w:id="62" w:name="_Toc9060"/>
      <w:bookmarkStart w:id="63" w:name="_Toc9768"/>
      <w:r>
        <w:rPr>
          <w:rFonts w:hint="eastAsia" w:ascii="仿宋_GB2312" w:hAnsi="仿宋_GB2312" w:eastAsia="仿宋_GB2312" w:cs="仿宋_GB2312"/>
          <w:b/>
          <w:kern w:val="1"/>
          <w:sz w:val="32"/>
          <w:szCs w:val="32"/>
          <w:highlight w:val="none"/>
        </w:rPr>
        <w:t>6.3 项目实施计划安排</w:t>
      </w:r>
      <w:bookmarkEnd w:id="62"/>
      <w:bookmarkEnd w:id="63"/>
    </w:p>
    <w:p>
      <w:pPr>
        <w:pStyle w:val="27"/>
        <w:widowControl w:val="0"/>
        <w:spacing w:before="0" w:beforeAutospacing="0" w:after="0" w:afterAutospacing="0" w:line="360" w:lineRule="auto"/>
        <w:ind w:firstLine="640"/>
        <w:jc w:val="both"/>
        <w:rPr>
          <w:rFonts w:ascii="仿宋_GB2312" w:eastAsia="仿宋_GB2312"/>
          <w:bCs/>
          <w:color w:val="000000"/>
          <w:sz w:val="32"/>
          <w:szCs w:val="32"/>
          <w:highlight w:val="none"/>
        </w:rPr>
      </w:pPr>
      <w:r>
        <w:rPr>
          <w:rFonts w:hint="eastAsia" w:ascii="仿宋_GB2312" w:eastAsia="仿宋_GB2312"/>
          <w:bCs/>
          <w:color w:val="000000"/>
          <w:sz w:val="32"/>
          <w:szCs w:val="32"/>
          <w:highlight w:val="none"/>
        </w:rPr>
        <w:t>本项目检修工作需结合202</w:t>
      </w:r>
      <w:r>
        <w:rPr>
          <w:rFonts w:hint="eastAsia" w:ascii="仿宋_GB2312" w:eastAsia="仿宋_GB2312"/>
          <w:bCs/>
          <w:color w:val="000000"/>
          <w:sz w:val="32"/>
          <w:szCs w:val="32"/>
          <w:highlight w:val="none"/>
          <w:lang w:val="en-US" w:eastAsia="zh-CN"/>
        </w:rPr>
        <w:t>4</w:t>
      </w:r>
      <w:r>
        <w:rPr>
          <w:rFonts w:hint="eastAsia" w:ascii="仿宋_GB2312" w:eastAsia="仿宋_GB2312"/>
          <w:bCs/>
          <w:color w:val="000000"/>
          <w:sz w:val="32"/>
          <w:szCs w:val="32"/>
          <w:highlight w:val="none"/>
        </w:rPr>
        <w:t>年杭州供电公司大修的计划进行。</w:t>
      </w:r>
    </w:p>
    <w:p>
      <w:pPr>
        <w:spacing w:line="360" w:lineRule="auto"/>
        <w:ind w:firstLine="0" w:firstLineChars="0"/>
        <w:outlineLvl w:val="1"/>
        <w:rPr>
          <w:rFonts w:ascii="仿宋_GB2312" w:hAnsi="仿宋_GB2312" w:eastAsia="仿宋_GB2312" w:cs="仿宋_GB2312"/>
          <w:b/>
          <w:kern w:val="1"/>
          <w:sz w:val="32"/>
          <w:szCs w:val="32"/>
          <w:highlight w:val="none"/>
        </w:rPr>
      </w:pPr>
      <w:bookmarkStart w:id="64" w:name="_Toc27681"/>
      <w:bookmarkStart w:id="65" w:name="_Toc19851"/>
      <w:r>
        <w:rPr>
          <w:rFonts w:hint="eastAsia" w:ascii="仿宋_GB2312" w:hAnsi="仿宋_GB2312" w:eastAsia="仿宋_GB2312" w:cs="仿宋_GB2312"/>
          <w:b/>
          <w:kern w:val="1"/>
          <w:sz w:val="32"/>
          <w:szCs w:val="32"/>
          <w:highlight w:val="none"/>
        </w:rPr>
        <w:t>6.4 环境影响预测及采取措施</w:t>
      </w:r>
      <w:bookmarkEnd w:id="64"/>
      <w:bookmarkEnd w:id="65"/>
    </w:p>
    <w:p>
      <w:pPr>
        <w:spacing w:line="360" w:lineRule="auto"/>
        <w:ind w:firstLine="0" w:firstLineChars="0"/>
        <w:outlineLvl w:val="1"/>
        <w:rPr>
          <w:rFonts w:ascii="仿宋_GB2312" w:hAnsi="仿宋_GB2312" w:eastAsia="仿宋_GB2312" w:cs="仿宋_GB2312"/>
          <w:bCs/>
          <w:kern w:val="1"/>
          <w:sz w:val="32"/>
          <w:szCs w:val="32"/>
          <w:highlight w:val="none"/>
        </w:rPr>
      </w:pPr>
      <w:bookmarkStart w:id="66" w:name="_Toc947"/>
      <w:bookmarkStart w:id="67" w:name="_Toc30568"/>
      <w:r>
        <w:rPr>
          <w:rFonts w:hint="eastAsia" w:ascii="仿宋_GB2312" w:hAnsi="仿宋_GB2312" w:eastAsia="仿宋_GB2312" w:cs="仿宋_GB2312"/>
          <w:bCs/>
          <w:kern w:val="1"/>
          <w:sz w:val="32"/>
          <w:szCs w:val="32"/>
          <w:highlight w:val="none"/>
        </w:rPr>
        <w:t>6.4.1环境影响预测</w:t>
      </w:r>
      <w:bookmarkEnd w:id="66"/>
      <w:bookmarkEnd w:id="67"/>
    </w:p>
    <w:p>
      <w:pPr>
        <w:spacing w:line="360" w:lineRule="auto"/>
        <w:ind w:firstLine="640"/>
        <w:rPr>
          <w:rFonts w:ascii="仿宋_GB2312" w:hAnsi="宋体" w:eastAsia="仿宋_GB2312"/>
          <w:bCs/>
          <w:color w:val="000000"/>
          <w:sz w:val="32"/>
          <w:szCs w:val="32"/>
          <w:highlight w:val="none"/>
        </w:rPr>
      </w:pPr>
      <w:r>
        <w:rPr>
          <w:rFonts w:hint="eastAsia" w:ascii="仿宋_GB2312" w:hAnsi="宋体" w:eastAsia="仿宋_GB2312"/>
          <w:sz w:val="32"/>
          <w:szCs w:val="32"/>
          <w:highlight w:val="none"/>
        </w:rPr>
        <w:t>部分工井被绿化带覆盖，会占用一部分用地</w:t>
      </w:r>
      <w:r>
        <w:rPr>
          <w:rFonts w:hint="eastAsia" w:ascii="仿宋_GB2312" w:hAnsi="宋体" w:eastAsia="仿宋_GB2312"/>
          <w:bCs/>
          <w:color w:val="000000"/>
          <w:sz w:val="32"/>
          <w:szCs w:val="32"/>
          <w:highlight w:val="none"/>
        </w:rPr>
        <w:t>。</w:t>
      </w:r>
    </w:p>
    <w:p>
      <w:pPr>
        <w:spacing w:line="360" w:lineRule="auto"/>
        <w:ind w:firstLine="0" w:firstLineChars="0"/>
        <w:outlineLvl w:val="1"/>
        <w:rPr>
          <w:rFonts w:ascii="仿宋_GB2312" w:hAnsi="仿宋_GB2312" w:eastAsia="仿宋_GB2312" w:cs="仿宋_GB2312"/>
          <w:bCs/>
          <w:kern w:val="1"/>
          <w:sz w:val="32"/>
          <w:szCs w:val="32"/>
          <w:highlight w:val="none"/>
        </w:rPr>
      </w:pPr>
      <w:bookmarkStart w:id="68" w:name="_Toc1519"/>
      <w:bookmarkStart w:id="69" w:name="_Toc7128"/>
      <w:r>
        <w:rPr>
          <w:rFonts w:hint="eastAsia" w:ascii="仿宋_GB2312" w:hAnsi="仿宋_GB2312" w:eastAsia="仿宋_GB2312" w:cs="仿宋_GB2312"/>
          <w:bCs/>
          <w:kern w:val="1"/>
          <w:sz w:val="32"/>
          <w:szCs w:val="32"/>
          <w:highlight w:val="none"/>
        </w:rPr>
        <w:t>6.4.2采取措施</w:t>
      </w:r>
      <w:bookmarkEnd w:id="68"/>
      <w:bookmarkEnd w:id="69"/>
    </w:p>
    <w:p>
      <w:pPr>
        <w:spacing w:line="360" w:lineRule="auto"/>
        <w:ind w:firstLine="640"/>
        <w:rPr>
          <w:rFonts w:ascii="仿宋_GB2312" w:hAnsi="宋体" w:eastAsia="仿宋_GB2312"/>
          <w:bCs/>
          <w:color w:val="000000"/>
          <w:sz w:val="32"/>
          <w:szCs w:val="32"/>
          <w:highlight w:val="none"/>
        </w:rPr>
      </w:pPr>
      <w:r>
        <w:rPr>
          <w:rFonts w:hint="eastAsia" w:ascii="仿宋_GB2312" w:hAnsi="宋体" w:eastAsia="仿宋_GB2312"/>
          <w:sz w:val="32"/>
          <w:szCs w:val="32"/>
          <w:highlight w:val="none"/>
        </w:rPr>
        <w:t>对改造工井范围内存在的植被增加青苗补偿费</w:t>
      </w:r>
      <w:r>
        <w:rPr>
          <w:rFonts w:hint="eastAsia" w:ascii="仿宋_GB2312" w:hAnsi="宋体" w:eastAsia="仿宋_GB2312"/>
          <w:bCs/>
          <w:color w:val="000000"/>
          <w:sz w:val="32"/>
          <w:szCs w:val="32"/>
          <w:highlight w:val="none"/>
        </w:rPr>
        <w:t>。</w:t>
      </w:r>
    </w:p>
    <w:p>
      <w:pPr>
        <w:numPr>
          <w:ilvl w:val="0"/>
          <w:numId w:val="1"/>
        </w:numPr>
        <w:spacing w:line="360" w:lineRule="auto"/>
        <w:ind w:firstLine="0" w:firstLineChars="0"/>
        <w:jc w:val="left"/>
        <w:outlineLvl w:val="0"/>
        <w:rPr>
          <w:rFonts w:ascii="黑体" w:hAnsi="黑体" w:eastAsia="黑体" w:cs="黑体"/>
          <w:bCs/>
          <w:sz w:val="32"/>
          <w:szCs w:val="32"/>
          <w:highlight w:val="none"/>
        </w:rPr>
      </w:pPr>
      <w:bookmarkStart w:id="70" w:name="_Toc25625"/>
      <w:bookmarkStart w:id="71" w:name="_Toc12660"/>
      <w:r>
        <w:rPr>
          <w:rFonts w:hint="eastAsia" w:ascii="黑体" w:hAnsi="黑体" w:eastAsia="黑体" w:cs="黑体"/>
          <w:bCs/>
          <w:sz w:val="32"/>
          <w:szCs w:val="32"/>
          <w:highlight w:val="none"/>
        </w:rPr>
        <w:t>特别事项说明</w:t>
      </w:r>
      <w:bookmarkEnd w:id="70"/>
      <w:bookmarkEnd w:id="71"/>
    </w:p>
    <w:p>
      <w:pPr>
        <w:pStyle w:val="2"/>
        <w:ind w:firstLine="640"/>
        <w:jc w:val="both"/>
        <w:rPr>
          <w:highlight w:val="none"/>
        </w:rPr>
      </w:pPr>
      <w:bookmarkStart w:id="72" w:name="_Toc12549"/>
      <w:r>
        <w:rPr>
          <w:rFonts w:hint="eastAsia" w:ascii="仿宋_GB2312" w:hAnsi="宋体" w:eastAsia="仿宋_GB2312"/>
          <w:b w:val="0"/>
          <w:szCs w:val="32"/>
          <w:highlight w:val="none"/>
        </w:rPr>
        <w:t>无</w:t>
      </w:r>
      <w:bookmarkEnd w:id="72"/>
    </w:p>
    <w:p>
      <w:pPr>
        <w:spacing w:line="360" w:lineRule="auto"/>
        <w:ind w:firstLine="0" w:firstLineChars="0"/>
        <w:jc w:val="left"/>
        <w:outlineLvl w:val="0"/>
        <w:rPr>
          <w:rFonts w:ascii="黑体" w:hAnsi="黑体" w:eastAsia="黑体" w:cs="黑体"/>
          <w:bCs/>
          <w:sz w:val="32"/>
          <w:szCs w:val="32"/>
          <w:highlight w:val="none"/>
        </w:rPr>
      </w:pPr>
      <w:bookmarkStart w:id="73" w:name="_Toc15782"/>
      <w:bookmarkStart w:id="74" w:name="_Toc5295"/>
      <w:bookmarkStart w:id="75" w:name="_Toc21927"/>
      <w:r>
        <w:rPr>
          <w:rFonts w:hint="eastAsia" w:ascii="黑体" w:hAnsi="黑体" w:eastAsia="黑体" w:cs="黑体"/>
          <w:bCs/>
          <w:sz w:val="32"/>
          <w:szCs w:val="32"/>
          <w:highlight w:val="none"/>
        </w:rPr>
        <w:t>8. 附表</w:t>
      </w:r>
      <w:bookmarkEnd w:id="73"/>
      <w:bookmarkEnd w:id="74"/>
      <w:bookmarkEnd w:id="75"/>
    </w:p>
    <w:p>
      <w:pPr>
        <w:pStyle w:val="2"/>
        <w:ind w:firstLine="640"/>
        <w:jc w:val="both"/>
        <w:rPr>
          <w:rFonts w:ascii="仿宋_GB2312" w:hAnsi="宋体" w:eastAsia="仿宋_GB2312"/>
          <w:b w:val="0"/>
          <w:szCs w:val="32"/>
          <w:highlight w:val="none"/>
        </w:rPr>
      </w:pPr>
      <w:r>
        <w:rPr>
          <w:rFonts w:hint="eastAsia" w:ascii="仿宋_GB2312" w:hAnsi="宋体" w:eastAsia="仿宋_GB2312"/>
          <w:b w:val="0"/>
          <w:szCs w:val="32"/>
          <w:highlight w:val="none"/>
        </w:rPr>
        <w:t>检修工程总估算详见估算表</w:t>
      </w:r>
    </w:p>
    <w:p>
      <w:pPr>
        <w:pStyle w:val="15"/>
        <w:spacing w:line="360" w:lineRule="auto"/>
        <w:ind w:firstLine="0" w:firstLineChars="0"/>
        <w:rPr>
          <w:rFonts w:hAnsi="宋体" w:cs="宋体"/>
          <w:b/>
          <w:sz w:val="28"/>
          <w:szCs w:val="28"/>
          <w:highlight w:val="none"/>
        </w:rPr>
      </w:pPr>
    </w:p>
    <w:sectPr>
      <w:headerReference r:id="rId12" w:type="default"/>
      <w:footerReference r:id="rId13"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34"/>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细黑">
    <w:altName w:val="微软雅黑"/>
    <w:panose1 w:val="02010600040101010101"/>
    <w:charset w:val="86"/>
    <w:family w:val="auto"/>
    <w:pitch w:val="default"/>
    <w:sig w:usb0="00000000" w:usb1="00000000" w:usb2="00000000" w:usb3="00000000" w:csb0="0004009F" w:csb1="DFD70000"/>
  </w:font>
  <w:font w:name="E-F1">
    <w:altName w:val="Malgun Gothic"/>
    <w:panose1 w:val="00000000000000000000"/>
    <w:charset w:val="81"/>
    <w:family w:val="roman"/>
    <w:pitch w:val="default"/>
    <w:sig w:usb0="00000000" w:usb1="00000000" w:usb2="00000033" w:usb3="00000000" w:csb0="00080000" w:csb1="00000000"/>
  </w:font>
  <w:font w:name="EU-F1">
    <w:altName w:val="宋体"/>
    <w:panose1 w:val="00000000000000000000"/>
    <w:charset w:val="86"/>
    <w:family w:val="script"/>
    <w:pitch w:val="default"/>
    <w:sig w:usb0="00000000" w:usb1="00000000" w:usb2="0000001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algun Gothic">
    <w:panose1 w:val="020B0503020000020004"/>
    <w:charset w:val="81"/>
    <w:family w:val="auto"/>
    <w:pitch w:val="default"/>
    <w:sig w:usb0="9000002F" w:usb1="29D77CFB" w:usb2="00000012" w:usb3="00000000" w:csb0="0008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19"/>
                            <w:rPr>
                              <w:rFonts w:eastAsia="宋体"/>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e/RKhzgCAABvBAAADgAAAAAAAAABACAAAAAfAQAAZHJzL2Uyb0RvYy54&#10;bWxQSwUGAAAAAAYABgBZAQAAyQUAAAAA&#10;">
              <v:fill on="f" focussize="0,0"/>
              <v:stroke on="f" weight="0.5pt"/>
              <v:imagedata o:title=""/>
              <o:lock v:ext="edit" aspectratio="f"/>
              <v:textbox inset="0mm,0mm,0mm,0mm" style="mso-fit-shape-to-text:t;">
                <w:txbxContent>
                  <w:p>
                    <w:pPr>
                      <w:pStyle w:val="19"/>
                      <w:rPr>
                        <w:rFonts w:eastAsia="宋体"/>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480"/>
      <w:jc w:val="center"/>
      <w:rPr>
        <w:sz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a:effectLst/>
                    </wps:spPr>
                    <wps:txbx>
                      <w:txbxContent>
                        <w:p>
                          <w:pPr>
                            <w:pStyle w:val="19"/>
                            <w:ind w:firstLine="480"/>
                            <w:jc w:val="center"/>
                          </w:pPr>
                          <w:r>
                            <w:rPr>
                              <w:sz w:val="24"/>
                            </w:rPr>
                            <w:fldChar w:fldCharType="begin"/>
                          </w:r>
                          <w:r>
                            <w:rPr>
                              <w:sz w:val="24"/>
                            </w:rPr>
                            <w:instrText xml:space="preserve"> PAGE   \* MERGEFORMAT </w:instrText>
                          </w:r>
                          <w:r>
                            <w:rPr>
                              <w:sz w:val="24"/>
                            </w:rPr>
                            <w:fldChar w:fldCharType="separate"/>
                          </w:r>
                          <w:r>
                            <w:rPr>
                              <w:sz w:val="24"/>
                              <w:lang w:val="zh-CN"/>
                            </w:rPr>
                            <w:t>12</w:t>
                          </w:r>
                          <w:r>
                            <w:rPr>
                              <w:sz w:val="24"/>
                            </w:rPr>
                            <w:fldChar w:fldCharType="end"/>
                          </w:r>
                        </w:p>
                      </w:txbxContent>
                    </wps:txbx>
                    <wps:bodyPr wrap="none" lIns="0" tIns="0" rIns="0" bIns="0" upright="1">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GhpgkvTAAAABQEAAA8AAAAAAAAAAQAgAAAA&#10;IgAAAGRycy9kb3ducmV2LnhtbFBLAQIUABQAAAAIAIdO4kBGDOm51wEAALEDAAAOAAAAAAAAAAEA&#10;IAAAACIBAABkcnMvZTJvRG9jLnhtbFBLBQYAAAAABgAGAFkBAABrBQAAAAA=&#10;">
              <v:fill on="f" focussize="0,0"/>
              <v:stroke on="f" weight="1.25pt"/>
              <v:imagedata o:title=""/>
              <o:lock v:ext="edit" aspectratio="f"/>
              <v:textbox inset="0mm,0mm,0mm,0mm" style="mso-fit-shape-to-text:t;">
                <w:txbxContent>
                  <w:p>
                    <w:pPr>
                      <w:pStyle w:val="19"/>
                      <w:ind w:firstLine="480"/>
                      <w:jc w:val="center"/>
                    </w:pPr>
                    <w:r>
                      <w:rPr>
                        <w:sz w:val="24"/>
                      </w:rPr>
                      <w:fldChar w:fldCharType="begin"/>
                    </w:r>
                    <w:r>
                      <w:rPr>
                        <w:sz w:val="24"/>
                      </w:rPr>
                      <w:instrText xml:space="preserve"> PAGE   \* MERGEFORMAT </w:instrText>
                    </w:r>
                    <w:r>
                      <w:rPr>
                        <w:sz w:val="24"/>
                      </w:rPr>
                      <w:fldChar w:fldCharType="separate"/>
                    </w:r>
                    <w:r>
                      <w:rPr>
                        <w:sz w:val="24"/>
                        <w:lang w:val="zh-CN"/>
                      </w:rPr>
                      <w:t>12</w:t>
                    </w:r>
                    <w:r>
                      <w:rPr>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bottom w:val="none" w:color="auto" w:sz="0" w:space="0"/>
      </w:pBdr>
      <w:ind w:firstLine="400"/>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framePr w:wrap="around" w:vAnchor="text" w:hAnchor="margin" w:xAlign="right" w:y="1"/>
      <w:ind w:firstLine="360"/>
      <w:rPr>
        <w:rStyle w:val="33"/>
      </w:rPr>
    </w:pPr>
    <w:r>
      <w:fldChar w:fldCharType="begin"/>
    </w:r>
    <w:r>
      <w:rPr>
        <w:rStyle w:val="33"/>
      </w:rPr>
      <w:instrText xml:space="preserve">PAGE  </w:instrText>
    </w:r>
    <w:r>
      <w:fldChar w:fldCharType="separate"/>
    </w:r>
    <w:r>
      <w:rPr>
        <w:rStyle w:val="33"/>
      </w:rPr>
      <w:t>35</w:t>
    </w:r>
    <w:r>
      <w:fldChar w:fldCharType="end"/>
    </w:r>
  </w:p>
  <w:p>
    <w:pPr>
      <w:pStyle w:val="20"/>
      <w:ind w:right="360"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bottom w:val="none" w:color="auto" w:sz="0" w:space="0"/>
      </w:pBdr>
      <w:ind w:firstLine="40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3860A1"/>
    <w:multiLevelType w:val="singleLevel"/>
    <w:tmpl w:val="AE3860A1"/>
    <w:lvl w:ilvl="0" w:tentative="0">
      <w:start w:val="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U1NmFkYjM2ZjVlNjlhYTExODFlMTExZDY5YzQ0NzkifQ=="/>
  </w:docVars>
  <w:rsids>
    <w:rsidRoot w:val="00BB7C00"/>
    <w:rsid w:val="00001423"/>
    <w:rsid w:val="0001602F"/>
    <w:rsid w:val="00035216"/>
    <w:rsid w:val="00047A52"/>
    <w:rsid w:val="00053ACC"/>
    <w:rsid w:val="00055C3A"/>
    <w:rsid w:val="0005743D"/>
    <w:rsid w:val="000866C5"/>
    <w:rsid w:val="00094952"/>
    <w:rsid w:val="000A0328"/>
    <w:rsid w:val="000A196A"/>
    <w:rsid w:val="000A3ABA"/>
    <w:rsid w:val="000D0117"/>
    <w:rsid w:val="000D0BD4"/>
    <w:rsid w:val="000D4DD4"/>
    <w:rsid w:val="000F42F3"/>
    <w:rsid w:val="000F67CF"/>
    <w:rsid w:val="00103DFF"/>
    <w:rsid w:val="00111455"/>
    <w:rsid w:val="00115DCA"/>
    <w:rsid w:val="00122B27"/>
    <w:rsid w:val="001476D0"/>
    <w:rsid w:val="0014798B"/>
    <w:rsid w:val="00162407"/>
    <w:rsid w:val="00173090"/>
    <w:rsid w:val="00176435"/>
    <w:rsid w:val="001776BA"/>
    <w:rsid w:val="001A5A5D"/>
    <w:rsid w:val="001A77F4"/>
    <w:rsid w:val="001B6298"/>
    <w:rsid w:val="001D1A79"/>
    <w:rsid w:val="001E3883"/>
    <w:rsid w:val="0021091A"/>
    <w:rsid w:val="00213B3D"/>
    <w:rsid w:val="00217241"/>
    <w:rsid w:val="0022330F"/>
    <w:rsid w:val="00226133"/>
    <w:rsid w:val="00226E1D"/>
    <w:rsid w:val="00233FC0"/>
    <w:rsid w:val="00236959"/>
    <w:rsid w:val="00242ABF"/>
    <w:rsid w:val="00247B01"/>
    <w:rsid w:val="00277447"/>
    <w:rsid w:val="00283DD0"/>
    <w:rsid w:val="00286BC2"/>
    <w:rsid w:val="002A1D91"/>
    <w:rsid w:val="002B0293"/>
    <w:rsid w:val="002C36FB"/>
    <w:rsid w:val="002D0537"/>
    <w:rsid w:val="002F4FB6"/>
    <w:rsid w:val="00312935"/>
    <w:rsid w:val="00320741"/>
    <w:rsid w:val="00333A69"/>
    <w:rsid w:val="00342E79"/>
    <w:rsid w:val="00346ADD"/>
    <w:rsid w:val="00364DDE"/>
    <w:rsid w:val="00366DEE"/>
    <w:rsid w:val="0037739B"/>
    <w:rsid w:val="00390731"/>
    <w:rsid w:val="003B2A8B"/>
    <w:rsid w:val="003C12E0"/>
    <w:rsid w:val="003C12FA"/>
    <w:rsid w:val="003C7B4A"/>
    <w:rsid w:val="003D6351"/>
    <w:rsid w:val="00412EF7"/>
    <w:rsid w:val="0041595A"/>
    <w:rsid w:val="00416AD3"/>
    <w:rsid w:val="004378C9"/>
    <w:rsid w:val="004400F6"/>
    <w:rsid w:val="00455B99"/>
    <w:rsid w:val="004614D9"/>
    <w:rsid w:val="00462624"/>
    <w:rsid w:val="00465678"/>
    <w:rsid w:val="0047314E"/>
    <w:rsid w:val="004860AD"/>
    <w:rsid w:val="004924FB"/>
    <w:rsid w:val="004A0E76"/>
    <w:rsid w:val="004B3743"/>
    <w:rsid w:val="004D24DE"/>
    <w:rsid w:val="004D59BC"/>
    <w:rsid w:val="005050E0"/>
    <w:rsid w:val="00514420"/>
    <w:rsid w:val="00547335"/>
    <w:rsid w:val="005607F7"/>
    <w:rsid w:val="00572ABC"/>
    <w:rsid w:val="0057382D"/>
    <w:rsid w:val="005977B3"/>
    <w:rsid w:val="005B523D"/>
    <w:rsid w:val="005C1D3A"/>
    <w:rsid w:val="005D1B0E"/>
    <w:rsid w:val="005E7BA5"/>
    <w:rsid w:val="005F6517"/>
    <w:rsid w:val="00610636"/>
    <w:rsid w:val="0061686D"/>
    <w:rsid w:val="00633B01"/>
    <w:rsid w:val="006431D3"/>
    <w:rsid w:val="00647F8F"/>
    <w:rsid w:val="00652CBA"/>
    <w:rsid w:val="00656405"/>
    <w:rsid w:val="00683828"/>
    <w:rsid w:val="00686AED"/>
    <w:rsid w:val="006C02AE"/>
    <w:rsid w:val="006D434C"/>
    <w:rsid w:val="006E2D2F"/>
    <w:rsid w:val="006E48C4"/>
    <w:rsid w:val="006F5AF3"/>
    <w:rsid w:val="007152C9"/>
    <w:rsid w:val="00720A2E"/>
    <w:rsid w:val="0074404A"/>
    <w:rsid w:val="00747159"/>
    <w:rsid w:val="007567F7"/>
    <w:rsid w:val="007754BC"/>
    <w:rsid w:val="00785BAF"/>
    <w:rsid w:val="00786CEF"/>
    <w:rsid w:val="00797E35"/>
    <w:rsid w:val="007A34C1"/>
    <w:rsid w:val="007A7B22"/>
    <w:rsid w:val="007D2043"/>
    <w:rsid w:val="007D76E9"/>
    <w:rsid w:val="007E0485"/>
    <w:rsid w:val="007E2B13"/>
    <w:rsid w:val="007E4F5F"/>
    <w:rsid w:val="007F4A4A"/>
    <w:rsid w:val="007F69FD"/>
    <w:rsid w:val="00815CC2"/>
    <w:rsid w:val="008232E4"/>
    <w:rsid w:val="008274C0"/>
    <w:rsid w:val="0084369F"/>
    <w:rsid w:val="008606F7"/>
    <w:rsid w:val="00863575"/>
    <w:rsid w:val="008716BE"/>
    <w:rsid w:val="0087602B"/>
    <w:rsid w:val="00887E9A"/>
    <w:rsid w:val="0089045F"/>
    <w:rsid w:val="00893C0A"/>
    <w:rsid w:val="008959AA"/>
    <w:rsid w:val="008A312A"/>
    <w:rsid w:val="008B1DBA"/>
    <w:rsid w:val="008B32E5"/>
    <w:rsid w:val="008B3F6B"/>
    <w:rsid w:val="008B4948"/>
    <w:rsid w:val="008C2630"/>
    <w:rsid w:val="008D0A68"/>
    <w:rsid w:val="008D2DAA"/>
    <w:rsid w:val="008D6620"/>
    <w:rsid w:val="008D78B6"/>
    <w:rsid w:val="008E3C3F"/>
    <w:rsid w:val="008E7E4E"/>
    <w:rsid w:val="008F6F2E"/>
    <w:rsid w:val="00913792"/>
    <w:rsid w:val="009173A3"/>
    <w:rsid w:val="0093412E"/>
    <w:rsid w:val="009651A9"/>
    <w:rsid w:val="00985B0F"/>
    <w:rsid w:val="00987E90"/>
    <w:rsid w:val="009A5F30"/>
    <w:rsid w:val="009A6510"/>
    <w:rsid w:val="009B267E"/>
    <w:rsid w:val="009B546D"/>
    <w:rsid w:val="009C4470"/>
    <w:rsid w:val="009D18D2"/>
    <w:rsid w:val="009D4637"/>
    <w:rsid w:val="009E120C"/>
    <w:rsid w:val="00A01B3E"/>
    <w:rsid w:val="00A14FCD"/>
    <w:rsid w:val="00A234CD"/>
    <w:rsid w:val="00A404BE"/>
    <w:rsid w:val="00A544FA"/>
    <w:rsid w:val="00A81850"/>
    <w:rsid w:val="00AA019A"/>
    <w:rsid w:val="00AA2C0F"/>
    <w:rsid w:val="00AB659E"/>
    <w:rsid w:val="00AC78E5"/>
    <w:rsid w:val="00AD57CA"/>
    <w:rsid w:val="00AE160C"/>
    <w:rsid w:val="00AE2469"/>
    <w:rsid w:val="00AF4615"/>
    <w:rsid w:val="00B271B6"/>
    <w:rsid w:val="00B42313"/>
    <w:rsid w:val="00B441CD"/>
    <w:rsid w:val="00B565FE"/>
    <w:rsid w:val="00B60833"/>
    <w:rsid w:val="00B64B12"/>
    <w:rsid w:val="00B65535"/>
    <w:rsid w:val="00B91D45"/>
    <w:rsid w:val="00B92FC6"/>
    <w:rsid w:val="00B9548F"/>
    <w:rsid w:val="00BA5F8A"/>
    <w:rsid w:val="00BB7C00"/>
    <w:rsid w:val="00BC1623"/>
    <w:rsid w:val="00BD2BA3"/>
    <w:rsid w:val="00BF1039"/>
    <w:rsid w:val="00BF1569"/>
    <w:rsid w:val="00BF51CB"/>
    <w:rsid w:val="00C03ECF"/>
    <w:rsid w:val="00C10299"/>
    <w:rsid w:val="00C20D34"/>
    <w:rsid w:val="00C31916"/>
    <w:rsid w:val="00C3594B"/>
    <w:rsid w:val="00C36996"/>
    <w:rsid w:val="00C41A72"/>
    <w:rsid w:val="00C51491"/>
    <w:rsid w:val="00C63FEC"/>
    <w:rsid w:val="00C67ACD"/>
    <w:rsid w:val="00C70A57"/>
    <w:rsid w:val="00C75F7A"/>
    <w:rsid w:val="00C8198A"/>
    <w:rsid w:val="00C87E92"/>
    <w:rsid w:val="00CA25F8"/>
    <w:rsid w:val="00CA56D4"/>
    <w:rsid w:val="00CB05B7"/>
    <w:rsid w:val="00CB4E20"/>
    <w:rsid w:val="00CC2647"/>
    <w:rsid w:val="00CC3219"/>
    <w:rsid w:val="00CE435D"/>
    <w:rsid w:val="00CE6ED8"/>
    <w:rsid w:val="00D05001"/>
    <w:rsid w:val="00D26529"/>
    <w:rsid w:val="00D4164F"/>
    <w:rsid w:val="00D51CE0"/>
    <w:rsid w:val="00D63BC8"/>
    <w:rsid w:val="00D6426A"/>
    <w:rsid w:val="00D73666"/>
    <w:rsid w:val="00D815A0"/>
    <w:rsid w:val="00DA214C"/>
    <w:rsid w:val="00DA27E7"/>
    <w:rsid w:val="00DB6D60"/>
    <w:rsid w:val="00DC1130"/>
    <w:rsid w:val="00DC222A"/>
    <w:rsid w:val="00DE3A3E"/>
    <w:rsid w:val="00DE4229"/>
    <w:rsid w:val="00DF25AF"/>
    <w:rsid w:val="00DF571B"/>
    <w:rsid w:val="00E0127F"/>
    <w:rsid w:val="00E033E7"/>
    <w:rsid w:val="00E03F99"/>
    <w:rsid w:val="00E05EFD"/>
    <w:rsid w:val="00E1367B"/>
    <w:rsid w:val="00E16AED"/>
    <w:rsid w:val="00E369C0"/>
    <w:rsid w:val="00E4077E"/>
    <w:rsid w:val="00E41ABD"/>
    <w:rsid w:val="00E5165C"/>
    <w:rsid w:val="00E57AC1"/>
    <w:rsid w:val="00E654ED"/>
    <w:rsid w:val="00E703A0"/>
    <w:rsid w:val="00E756E2"/>
    <w:rsid w:val="00EA2B11"/>
    <w:rsid w:val="00EB35EB"/>
    <w:rsid w:val="00EC1335"/>
    <w:rsid w:val="00EE3BF5"/>
    <w:rsid w:val="00EE714E"/>
    <w:rsid w:val="00EE7698"/>
    <w:rsid w:val="00F11918"/>
    <w:rsid w:val="00F22D62"/>
    <w:rsid w:val="00F34718"/>
    <w:rsid w:val="00F37177"/>
    <w:rsid w:val="00F413BB"/>
    <w:rsid w:val="00F436AE"/>
    <w:rsid w:val="00F60182"/>
    <w:rsid w:val="00F626B6"/>
    <w:rsid w:val="00F74821"/>
    <w:rsid w:val="00F8021A"/>
    <w:rsid w:val="00F906DE"/>
    <w:rsid w:val="00F972B6"/>
    <w:rsid w:val="00FA16F3"/>
    <w:rsid w:val="00FA22F0"/>
    <w:rsid w:val="00FB1936"/>
    <w:rsid w:val="00FD24EE"/>
    <w:rsid w:val="00FD4EE4"/>
    <w:rsid w:val="00FE1AA2"/>
    <w:rsid w:val="00FE5392"/>
    <w:rsid w:val="00FF3D16"/>
    <w:rsid w:val="012D7DB8"/>
    <w:rsid w:val="01942526"/>
    <w:rsid w:val="02005373"/>
    <w:rsid w:val="024C0ED1"/>
    <w:rsid w:val="028C2367"/>
    <w:rsid w:val="03B73D17"/>
    <w:rsid w:val="03B90A0F"/>
    <w:rsid w:val="03D91BE1"/>
    <w:rsid w:val="04840F62"/>
    <w:rsid w:val="04F96258"/>
    <w:rsid w:val="04FE3859"/>
    <w:rsid w:val="051F4113"/>
    <w:rsid w:val="0523067A"/>
    <w:rsid w:val="05425FA3"/>
    <w:rsid w:val="057D5FEB"/>
    <w:rsid w:val="057F610B"/>
    <w:rsid w:val="05816264"/>
    <w:rsid w:val="059437AB"/>
    <w:rsid w:val="059762BE"/>
    <w:rsid w:val="05A049AE"/>
    <w:rsid w:val="05CC6944"/>
    <w:rsid w:val="05E6352D"/>
    <w:rsid w:val="06090422"/>
    <w:rsid w:val="06326CD0"/>
    <w:rsid w:val="06384487"/>
    <w:rsid w:val="06A25328"/>
    <w:rsid w:val="06E8399C"/>
    <w:rsid w:val="070D1524"/>
    <w:rsid w:val="07A73C1C"/>
    <w:rsid w:val="07D846F5"/>
    <w:rsid w:val="07EE01A2"/>
    <w:rsid w:val="08651C9C"/>
    <w:rsid w:val="089E0AE9"/>
    <w:rsid w:val="08AE7889"/>
    <w:rsid w:val="09222B82"/>
    <w:rsid w:val="093A65B1"/>
    <w:rsid w:val="093E08B6"/>
    <w:rsid w:val="09567DEC"/>
    <w:rsid w:val="097B1E6B"/>
    <w:rsid w:val="098434DF"/>
    <w:rsid w:val="099B646C"/>
    <w:rsid w:val="09BE6791"/>
    <w:rsid w:val="09CD70D7"/>
    <w:rsid w:val="0A4212E6"/>
    <w:rsid w:val="0A475E67"/>
    <w:rsid w:val="0A5A5D82"/>
    <w:rsid w:val="0B1244C3"/>
    <w:rsid w:val="0B22254B"/>
    <w:rsid w:val="0B31337C"/>
    <w:rsid w:val="0B445F0F"/>
    <w:rsid w:val="0B517FBC"/>
    <w:rsid w:val="0BB11F01"/>
    <w:rsid w:val="0BB9314C"/>
    <w:rsid w:val="0C214742"/>
    <w:rsid w:val="0C41536B"/>
    <w:rsid w:val="0C601136"/>
    <w:rsid w:val="0D05400B"/>
    <w:rsid w:val="0D2842D6"/>
    <w:rsid w:val="0D5D2394"/>
    <w:rsid w:val="0D9B1BA7"/>
    <w:rsid w:val="0E560192"/>
    <w:rsid w:val="0EF51763"/>
    <w:rsid w:val="0F20295B"/>
    <w:rsid w:val="0F9B5AE9"/>
    <w:rsid w:val="0FDE177C"/>
    <w:rsid w:val="0FE65637"/>
    <w:rsid w:val="10701989"/>
    <w:rsid w:val="107211CE"/>
    <w:rsid w:val="10782ED0"/>
    <w:rsid w:val="10871B64"/>
    <w:rsid w:val="109B5738"/>
    <w:rsid w:val="10A25833"/>
    <w:rsid w:val="11126A02"/>
    <w:rsid w:val="1277445A"/>
    <w:rsid w:val="12811E16"/>
    <w:rsid w:val="128B129E"/>
    <w:rsid w:val="12E41F2D"/>
    <w:rsid w:val="1302672A"/>
    <w:rsid w:val="14B958E1"/>
    <w:rsid w:val="14BE701A"/>
    <w:rsid w:val="14C136EA"/>
    <w:rsid w:val="14CE33B1"/>
    <w:rsid w:val="14F27D89"/>
    <w:rsid w:val="15864977"/>
    <w:rsid w:val="15CF2B50"/>
    <w:rsid w:val="15D03B4D"/>
    <w:rsid w:val="163C6EF1"/>
    <w:rsid w:val="1669562E"/>
    <w:rsid w:val="16D541A5"/>
    <w:rsid w:val="16DB6FDF"/>
    <w:rsid w:val="170D16B9"/>
    <w:rsid w:val="1727268D"/>
    <w:rsid w:val="17297F2F"/>
    <w:rsid w:val="173B2834"/>
    <w:rsid w:val="173F3106"/>
    <w:rsid w:val="17570405"/>
    <w:rsid w:val="175D0BB4"/>
    <w:rsid w:val="178850F8"/>
    <w:rsid w:val="17BB575D"/>
    <w:rsid w:val="17DF56E7"/>
    <w:rsid w:val="184B70EB"/>
    <w:rsid w:val="188846EB"/>
    <w:rsid w:val="18A41A3D"/>
    <w:rsid w:val="1923293F"/>
    <w:rsid w:val="199D4115"/>
    <w:rsid w:val="19E2468D"/>
    <w:rsid w:val="1A943CA8"/>
    <w:rsid w:val="1ACD7654"/>
    <w:rsid w:val="1AD055C4"/>
    <w:rsid w:val="1B0E4C4E"/>
    <w:rsid w:val="1B9E1BFD"/>
    <w:rsid w:val="1BC16F1B"/>
    <w:rsid w:val="1C1D035E"/>
    <w:rsid w:val="1C790E3C"/>
    <w:rsid w:val="1C807D78"/>
    <w:rsid w:val="1CF73476"/>
    <w:rsid w:val="1D6477EF"/>
    <w:rsid w:val="1DA35F8B"/>
    <w:rsid w:val="1E2F350A"/>
    <w:rsid w:val="1E7E58D9"/>
    <w:rsid w:val="1E9C6A9D"/>
    <w:rsid w:val="1F064EC7"/>
    <w:rsid w:val="1F790C72"/>
    <w:rsid w:val="1FD16EB1"/>
    <w:rsid w:val="1FEA4512"/>
    <w:rsid w:val="1FF13285"/>
    <w:rsid w:val="20CE2BDF"/>
    <w:rsid w:val="20D138DE"/>
    <w:rsid w:val="20D24055"/>
    <w:rsid w:val="20FE6C4B"/>
    <w:rsid w:val="21137D66"/>
    <w:rsid w:val="21BE7138"/>
    <w:rsid w:val="220D0751"/>
    <w:rsid w:val="222045A5"/>
    <w:rsid w:val="224D19D0"/>
    <w:rsid w:val="225B3E86"/>
    <w:rsid w:val="22B369B7"/>
    <w:rsid w:val="22CA4177"/>
    <w:rsid w:val="238665FB"/>
    <w:rsid w:val="23954CE9"/>
    <w:rsid w:val="23C54768"/>
    <w:rsid w:val="23D0321B"/>
    <w:rsid w:val="23E21B6C"/>
    <w:rsid w:val="249065CA"/>
    <w:rsid w:val="249D5117"/>
    <w:rsid w:val="24B606D5"/>
    <w:rsid w:val="24BE1E9E"/>
    <w:rsid w:val="24CA00FB"/>
    <w:rsid w:val="24DF150B"/>
    <w:rsid w:val="253650E5"/>
    <w:rsid w:val="2553114A"/>
    <w:rsid w:val="25C70572"/>
    <w:rsid w:val="25C94D9F"/>
    <w:rsid w:val="264D6FD0"/>
    <w:rsid w:val="26914384"/>
    <w:rsid w:val="26A95D66"/>
    <w:rsid w:val="27133A29"/>
    <w:rsid w:val="27463EEB"/>
    <w:rsid w:val="2759637F"/>
    <w:rsid w:val="28347384"/>
    <w:rsid w:val="28603067"/>
    <w:rsid w:val="28864857"/>
    <w:rsid w:val="288D31B4"/>
    <w:rsid w:val="289D533A"/>
    <w:rsid w:val="28C76A53"/>
    <w:rsid w:val="28FB03E4"/>
    <w:rsid w:val="29290B96"/>
    <w:rsid w:val="29BE214E"/>
    <w:rsid w:val="29BE42BC"/>
    <w:rsid w:val="2A090527"/>
    <w:rsid w:val="2A4711C0"/>
    <w:rsid w:val="2A5E40EA"/>
    <w:rsid w:val="2A5E691D"/>
    <w:rsid w:val="2AA91199"/>
    <w:rsid w:val="2AAF6413"/>
    <w:rsid w:val="2AC24A2F"/>
    <w:rsid w:val="2ADF36BB"/>
    <w:rsid w:val="2B626A18"/>
    <w:rsid w:val="2B7816DF"/>
    <w:rsid w:val="2B873457"/>
    <w:rsid w:val="2BEC3DA2"/>
    <w:rsid w:val="2C27030C"/>
    <w:rsid w:val="2C420DA8"/>
    <w:rsid w:val="2CB43C57"/>
    <w:rsid w:val="2D1F1D4E"/>
    <w:rsid w:val="2D3F14BE"/>
    <w:rsid w:val="2DAA5040"/>
    <w:rsid w:val="2DDA4914"/>
    <w:rsid w:val="2E1E090F"/>
    <w:rsid w:val="2E4717FE"/>
    <w:rsid w:val="2E8F1C72"/>
    <w:rsid w:val="2E947258"/>
    <w:rsid w:val="2EAB6790"/>
    <w:rsid w:val="2EBA6F6C"/>
    <w:rsid w:val="2F572651"/>
    <w:rsid w:val="30285E2D"/>
    <w:rsid w:val="302D19EC"/>
    <w:rsid w:val="305C7BE2"/>
    <w:rsid w:val="30631038"/>
    <w:rsid w:val="308D38CC"/>
    <w:rsid w:val="30D30FBC"/>
    <w:rsid w:val="312D448E"/>
    <w:rsid w:val="312D4744"/>
    <w:rsid w:val="31331B8F"/>
    <w:rsid w:val="317E21CF"/>
    <w:rsid w:val="31885E49"/>
    <w:rsid w:val="319E4AB2"/>
    <w:rsid w:val="321813F6"/>
    <w:rsid w:val="32A53361"/>
    <w:rsid w:val="333F12A2"/>
    <w:rsid w:val="333F2EEE"/>
    <w:rsid w:val="335F7BE2"/>
    <w:rsid w:val="33884AB7"/>
    <w:rsid w:val="33AC3A74"/>
    <w:rsid w:val="33B22855"/>
    <w:rsid w:val="34147DAB"/>
    <w:rsid w:val="34411728"/>
    <w:rsid w:val="346B5AA3"/>
    <w:rsid w:val="347562B9"/>
    <w:rsid w:val="348A4DFD"/>
    <w:rsid w:val="34FF2DB0"/>
    <w:rsid w:val="351431AF"/>
    <w:rsid w:val="35536904"/>
    <w:rsid w:val="359C320A"/>
    <w:rsid w:val="35A12A09"/>
    <w:rsid w:val="35AF69D1"/>
    <w:rsid w:val="35BD70D5"/>
    <w:rsid w:val="37672B95"/>
    <w:rsid w:val="37986007"/>
    <w:rsid w:val="380A1799"/>
    <w:rsid w:val="381A5422"/>
    <w:rsid w:val="381D310C"/>
    <w:rsid w:val="38227814"/>
    <w:rsid w:val="384F62A7"/>
    <w:rsid w:val="38A464F9"/>
    <w:rsid w:val="38C10F84"/>
    <w:rsid w:val="38E51E64"/>
    <w:rsid w:val="39280C25"/>
    <w:rsid w:val="393C440D"/>
    <w:rsid w:val="399649BD"/>
    <w:rsid w:val="399A0B7D"/>
    <w:rsid w:val="39E8110F"/>
    <w:rsid w:val="3A117AE1"/>
    <w:rsid w:val="3A235E98"/>
    <w:rsid w:val="3AC9786E"/>
    <w:rsid w:val="3B10582B"/>
    <w:rsid w:val="3B452D2C"/>
    <w:rsid w:val="3B632B7A"/>
    <w:rsid w:val="3B8A2BC1"/>
    <w:rsid w:val="3BC67895"/>
    <w:rsid w:val="3C712C19"/>
    <w:rsid w:val="3C893B32"/>
    <w:rsid w:val="3D2A7F67"/>
    <w:rsid w:val="3D3E1F3C"/>
    <w:rsid w:val="3D4F60BE"/>
    <w:rsid w:val="3D8F4FD6"/>
    <w:rsid w:val="3DC347B5"/>
    <w:rsid w:val="3DFA2AAA"/>
    <w:rsid w:val="3E1B4A6E"/>
    <w:rsid w:val="3EF50561"/>
    <w:rsid w:val="3F2120FE"/>
    <w:rsid w:val="3F530728"/>
    <w:rsid w:val="3F854869"/>
    <w:rsid w:val="3FF05430"/>
    <w:rsid w:val="3FF14524"/>
    <w:rsid w:val="40787309"/>
    <w:rsid w:val="40B56BBE"/>
    <w:rsid w:val="4109366E"/>
    <w:rsid w:val="41432B88"/>
    <w:rsid w:val="418E755A"/>
    <w:rsid w:val="41D16ACB"/>
    <w:rsid w:val="42167226"/>
    <w:rsid w:val="42813217"/>
    <w:rsid w:val="428B6DBD"/>
    <w:rsid w:val="42F0670D"/>
    <w:rsid w:val="439D76C9"/>
    <w:rsid w:val="43D71474"/>
    <w:rsid w:val="44910092"/>
    <w:rsid w:val="449E71FB"/>
    <w:rsid w:val="44BE0B96"/>
    <w:rsid w:val="44D202F8"/>
    <w:rsid w:val="45834982"/>
    <w:rsid w:val="45B1228B"/>
    <w:rsid w:val="45C221A6"/>
    <w:rsid w:val="45FF4E5D"/>
    <w:rsid w:val="463E3069"/>
    <w:rsid w:val="468E0FA4"/>
    <w:rsid w:val="46D263D2"/>
    <w:rsid w:val="46F30224"/>
    <w:rsid w:val="474D5485"/>
    <w:rsid w:val="47616B81"/>
    <w:rsid w:val="47B24BD8"/>
    <w:rsid w:val="47BA7CB5"/>
    <w:rsid w:val="47BD3266"/>
    <w:rsid w:val="49212EE7"/>
    <w:rsid w:val="49B578B4"/>
    <w:rsid w:val="49FC761B"/>
    <w:rsid w:val="4A294E4C"/>
    <w:rsid w:val="4AD92E4F"/>
    <w:rsid w:val="4AF70BB4"/>
    <w:rsid w:val="4B1B7E71"/>
    <w:rsid w:val="4B5E7B32"/>
    <w:rsid w:val="4BEE46F2"/>
    <w:rsid w:val="4C0A3B7A"/>
    <w:rsid w:val="4C394760"/>
    <w:rsid w:val="4C671475"/>
    <w:rsid w:val="4CBB1B2A"/>
    <w:rsid w:val="4D203656"/>
    <w:rsid w:val="4D29607D"/>
    <w:rsid w:val="4DAC47C5"/>
    <w:rsid w:val="4E4F56A8"/>
    <w:rsid w:val="4E6520E9"/>
    <w:rsid w:val="4EBB426F"/>
    <w:rsid w:val="4ECC4356"/>
    <w:rsid w:val="4EF41D44"/>
    <w:rsid w:val="4F617199"/>
    <w:rsid w:val="50036CA2"/>
    <w:rsid w:val="50564C81"/>
    <w:rsid w:val="50A83DFD"/>
    <w:rsid w:val="50DE238A"/>
    <w:rsid w:val="50EE12D1"/>
    <w:rsid w:val="50FC1A3E"/>
    <w:rsid w:val="512A61D2"/>
    <w:rsid w:val="51687D9F"/>
    <w:rsid w:val="51CD0017"/>
    <w:rsid w:val="525E19A8"/>
    <w:rsid w:val="527A5416"/>
    <w:rsid w:val="52970F1E"/>
    <w:rsid w:val="52BE5067"/>
    <w:rsid w:val="52F61E27"/>
    <w:rsid w:val="53080E48"/>
    <w:rsid w:val="532C204B"/>
    <w:rsid w:val="53933555"/>
    <w:rsid w:val="53C25FFD"/>
    <w:rsid w:val="545D6132"/>
    <w:rsid w:val="54B22C5F"/>
    <w:rsid w:val="54B3535C"/>
    <w:rsid w:val="54BF0491"/>
    <w:rsid w:val="54C71A43"/>
    <w:rsid w:val="54E64567"/>
    <w:rsid w:val="56560685"/>
    <w:rsid w:val="57C067F9"/>
    <w:rsid w:val="583177CA"/>
    <w:rsid w:val="586D6D61"/>
    <w:rsid w:val="58D54940"/>
    <w:rsid w:val="58EA0B31"/>
    <w:rsid w:val="591171FE"/>
    <w:rsid w:val="5940300C"/>
    <w:rsid w:val="594D4291"/>
    <w:rsid w:val="597C62BA"/>
    <w:rsid w:val="59ED33D6"/>
    <w:rsid w:val="5A914D2B"/>
    <w:rsid w:val="5AAA4975"/>
    <w:rsid w:val="5AB4634F"/>
    <w:rsid w:val="5AC35217"/>
    <w:rsid w:val="5ACD17FF"/>
    <w:rsid w:val="5AD16ADE"/>
    <w:rsid w:val="5BA4212B"/>
    <w:rsid w:val="5BB50BB2"/>
    <w:rsid w:val="5BCC3A1F"/>
    <w:rsid w:val="5C065CF7"/>
    <w:rsid w:val="5C0F6FDD"/>
    <w:rsid w:val="5C6433D8"/>
    <w:rsid w:val="5CB029F7"/>
    <w:rsid w:val="5CCF1C38"/>
    <w:rsid w:val="5CCF2B56"/>
    <w:rsid w:val="5D722290"/>
    <w:rsid w:val="5D8B6D48"/>
    <w:rsid w:val="5E9E2BFD"/>
    <w:rsid w:val="5EA31D76"/>
    <w:rsid w:val="5F2651BE"/>
    <w:rsid w:val="5F2D0B68"/>
    <w:rsid w:val="5F392336"/>
    <w:rsid w:val="5F8E39C0"/>
    <w:rsid w:val="5FE049D5"/>
    <w:rsid w:val="5FEF1505"/>
    <w:rsid w:val="60414703"/>
    <w:rsid w:val="6049619B"/>
    <w:rsid w:val="60A534F2"/>
    <w:rsid w:val="60BF037A"/>
    <w:rsid w:val="61000456"/>
    <w:rsid w:val="610B1437"/>
    <w:rsid w:val="618A1AE9"/>
    <w:rsid w:val="61F44355"/>
    <w:rsid w:val="625772C1"/>
    <w:rsid w:val="628B4C5F"/>
    <w:rsid w:val="62EA7E43"/>
    <w:rsid w:val="631104A8"/>
    <w:rsid w:val="635537B7"/>
    <w:rsid w:val="636E7329"/>
    <w:rsid w:val="637B07BF"/>
    <w:rsid w:val="639B16C2"/>
    <w:rsid w:val="641D434E"/>
    <w:rsid w:val="64697F08"/>
    <w:rsid w:val="64780794"/>
    <w:rsid w:val="64C2733C"/>
    <w:rsid w:val="64D259D2"/>
    <w:rsid w:val="64E41D86"/>
    <w:rsid w:val="64F27812"/>
    <w:rsid w:val="64F82A19"/>
    <w:rsid w:val="652F24B8"/>
    <w:rsid w:val="65A73C6C"/>
    <w:rsid w:val="66837E1B"/>
    <w:rsid w:val="66AA6F72"/>
    <w:rsid w:val="66D64245"/>
    <w:rsid w:val="67217E74"/>
    <w:rsid w:val="674817B0"/>
    <w:rsid w:val="67804E8E"/>
    <w:rsid w:val="678B52EF"/>
    <w:rsid w:val="67C3337E"/>
    <w:rsid w:val="67CA6C14"/>
    <w:rsid w:val="68641F1B"/>
    <w:rsid w:val="68941484"/>
    <w:rsid w:val="68D855AE"/>
    <w:rsid w:val="692012F9"/>
    <w:rsid w:val="699E4AAB"/>
    <w:rsid w:val="69B90F75"/>
    <w:rsid w:val="6A196502"/>
    <w:rsid w:val="6A1B0750"/>
    <w:rsid w:val="6A2946D1"/>
    <w:rsid w:val="6A931070"/>
    <w:rsid w:val="6AE82773"/>
    <w:rsid w:val="6B335F23"/>
    <w:rsid w:val="6BA92BF3"/>
    <w:rsid w:val="6BFB6795"/>
    <w:rsid w:val="6C4464B2"/>
    <w:rsid w:val="6C4D1953"/>
    <w:rsid w:val="6CA401C8"/>
    <w:rsid w:val="6CA535E4"/>
    <w:rsid w:val="6CAF473C"/>
    <w:rsid w:val="6CB96674"/>
    <w:rsid w:val="6D0C285D"/>
    <w:rsid w:val="6D502986"/>
    <w:rsid w:val="6DFC356F"/>
    <w:rsid w:val="6E39263E"/>
    <w:rsid w:val="6E7957F8"/>
    <w:rsid w:val="6EBB0EBA"/>
    <w:rsid w:val="6ED25E40"/>
    <w:rsid w:val="6EF836AF"/>
    <w:rsid w:val="6FDA4BFA"/>
    <w:rsid w:val="702857C3"/>
    <w:rsid w:val="7041771D"/>
    <w:rsid w:val="70593135"/>
    <w:rsid w:val="70D44DE6"/>
    <w:rsid w:val="70ED24B7"/>
    <w:rsid w:val="717158ED"/>
    <w:rsid w:val="71733631"/>
    <w:rsid w:val="719D759C"/>
    <w:rsid w:val="71AF6705"/>
    <w:rsid w:val="71B729FB"/>
    <w:rsid w:val="71FE1020"/>
    <w:rsid w:val="7216071E"/>
    <w:rsid w:val="72341327"/>
    <w:rsid w:val="72437027"/>
    <w:rsid w:val="724C3845"/>
    <w:rsid w:val="72814D04"/>
    <w:rsid w:val="72E41DC5"/>
    <w:rsid w:val="72EB68A8"/>
    <w:rsid w:val="737D663A"/>
    <w:rsid w:val="73F11447"/>
    <w:rsid w:val="742B4DDB"/>
    <w:rsid w:val="7463775B"/>
    <w:rsid w:val="749619F3"/>
    <w:rsid w:val="750821FE"/>
    <w:rsid w:val="75133EC3"/>
    <w:rsid w:val="756E505A"/>
    <w:rsid w:val="757F2008"/>
    <w:rsid w:val="75C96ACE"/>
    <w:rsid w:val="75EC7694"/>
    <w:rsid w:val="76475823"/>
    <w:rsid w:val="76DF4509"/>
    <w:rsid w:val="76F95F10"/>
    <w:rsid w:val="77395517"/>
    <w:rsid w:val="776D717F"/>
    <w:rsid w:val="77D73700"/>
    <w:rsid w:val="77F9022C"/>
    <w:rsid w:val="7801636E"/>
    <w:rsid w:val="784B197E"/>
    <w:rsid w:val="7868219E"/>
    <w:rsid w:val="786B16CB"/>
    <w:rsid w:val="78720A4F"/>
    <w:rsid w:val="78B448D4"/>
    <w:rsid w:val="78B77B4D"/>
    <w:rsid w:val="78D969E9"/>
    <w:rsid w:val="78DB52F2"/>
    <w:rsid w:val="78FC7459"/>
    <w:rsid w:val="790B204F"/>
    <w:rsid w:val="790E27A2"/>
    <w:rsid w:val="793B49FB"/>
    <w:rsid w:val="793C3007"/>
    <w:rsid w:val="7967161C"/>
    <w:rsid w:val="79A50CC5"/>
    <w:rsid w:val="79FF4207"/>
    <w:rsid w:val="7A7E3449"/>
    <w:rsid w:val="7A993214"/>
    <w:rsid w:val="7ACE6D01"/>
    <w:rsid w:val="7AE27B28"/>
    <w:rsid w:val="7AF918CE"/>
    <w:rsid w:val="7B074986"/>
    <w:rsid w:val="7B1B1908"/>
    <w:rsid w:val="7B257084"/>
    <w:rsid w:val="7B4D2EC8"/>
    <w:rsid w:val="7BCC76A3"/>
    <w:rsid w:val="7C406C6D"/>
    <w:rsid w:val="7CB951EC"/>
    <w:rsid w:val="7CBD46AE"/>
    <w:rsid w:val="7D210798"/>
    <w:rsid w:val="7D2221D8"/>
    <w:rsid w:val="7D4D418A"/>
    <w:rsid w:val="7D6C7A15"/>
    <w:rsid w:val="7D8A46D9"/>
    <w:rsid w:val="7D8B228D"/>
    <w:rsid w:val="7DA64047"/>
    <w:rsid w:val="7DA81920"/>
    <w:rsid w:val="7E035792"/>
    <w:rsid w:val="7E921135"/>
    <w:rsid w:val="7EA63836"/>
    <w:rsid w:val="7ED31B5D"/>
    <w:rsid w:val="7ED45300"/>
    <w:rsid w:val="7F791635"/>
    <w:rsid w:val="7F925CF7"/>
    <w:rsid w:val="7FDE458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nhideWhenUsed="0" w:uiPriority="0"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0" w:semiHidden="0"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600" w:lineRule="exact"/>
      <w:ind w:firstLine="200" w:firstLineChars="20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40"/>
    <w:qFormat/>
    <w:uiPriority w:val="0"/>
    <w:pPr>
      <w:keepNext/>
      <w:keepLines/>
      <w:spacing w:before="340" w:after="330" w:line="578" w:lineRule="atLeast"/>
      <w:outlineLvl w:val="0"/>
    </w:pPr>
    <w:rPr>
      <w:b/>
      <w:bCs/>
      <w:kern w:val="44"/>
      <w:sz w:val="44"/>
      <w:szCs w:val="44"/>
    </w:rPr>
  </w:style>
  <w:style w:type="paragraph" w:styleId="4">
    <w:name w:val="heading 2"/>
    <w:basedOn w:val="1"/>
    <w:next w:val="1"/>
    <w:link w:val="50"/>
    <w:qFormat/>
    <w:uiPriority w:val="0"/>
    <w:pPr>
      <w:keepNext/>
      <w:keepLines/>
      <w:spacing w:line="416" w:lineRule="auto"/>
      <w:outlineLvl w:val="1"/>
    </w:pPr>
    <w:rPr>
      <w:rFonts w:ascii="Arial" w:hAnsi="Arial" w:eastAsia="黑体" w:cs="Arial"/>
      <w:b/>
      <w:bCs/>
      <w:sz w:val="32"/>
      <w:szCs w:val="32"/>
    </w:rPr>
  </w:style>
  <w:style w:type="paragraph" w:styleId="5">
    <w:name w:val="heading 3"/>
    <w:basedOn w:val="1"/>
    <w:next w:val="1"/>
    <w:link w:val="41"/>
    <w:qFormat/>
    <w:uiPriority w:val="9"/>
    <w:pPr>
      <w:keepNext/>
      <w:keepLines/>
      <w:spacing w:before="260" w:after="260" w:line="416" w:lineRule="atLeast"/>
      <w:outlineLvl w:val="2"/>
    </w:pPr>
    <w:rPr>
      <w:b/>
      <w:bCs/>
      <w:sz w:val="32"/>
      <w:szCs w:val="32"/>
    </w:rPr>
  </w:style>
  <w:style w:type="paragraph" w:styleId="6">
    <w:name w:val="heading 4"/>
    <w:basedOn w:val="1"/>
    <w:next w:val="1"/>
    <w:link w:val="42"/>
    <w:qFormat/>
    <w:uiPriority w:val="9"/>
    <w:pPr>
      <w:keepNext/>
      <w:keepLines/>
      <w:spacing w:before="280" w:after="290" w:line="376" w:lineRule="atLeast"/>
      <w:outlineLvl w:val="3"/>
    </w:pPr>
    <w:rPr>
      <w:rFonts w:ascii="Cambria" w:hAnsi="Cambria"/>
      <w:b/>
      <w:bCs/>
      <w:sz w:val="28"/>
      <w:szCs w:val="28"/>
    </w:rPr>
  </w:style>
  <w:style w:type="paragraph" w:styleId="7">
    <w:name w:val="heading 5"/>
    <w:basedOn w:val="1"/>
    <w:next w:val="1"/>
    <w:link w:val="43"/>
    <w:qFormat/>
    <w:uiPriority w:val="9"/>
    <w:pPr>
      <w:keepNext/>
      <w:keepLines/>
      <w:spacing w:before="280" w:after="290" w:line="376" w:lineRule="atLeast"/>
      <w:outlineLvl w:val="4"/>
    </w:pPr>
    <w:rPr>
      <w:b/>
      <w:bCs/>
      <w:sz w:val="28"/>
      <w:szCs w:val="28"/>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0"/>
    <w:pPr>
      <w:jc w:val="center"/>
      <w:outlineLvl w:val="0"/>
    </w:pPr>
    <w:rPr>
      <w:rFonts w:ascii="Cambria" w:hAnsi="Cambria"/>
      <w:b/>
      <w:sz w:val="32"/>
    </w:rPr>
  </w:style>
  <w:style w:type="paragraph" w:styleId="8">
    <w:name w:val="toc 7"/>
    <w:basedOn w:val="1"/>
    <w:next w:val="1"/>
    <w:unhideWhenUsed/>
    <w:qFormat/>
    <w:uiPriority w:val="39"/>
    <w:pPr>
      <w:ind w:left="2520" w:leftChars="1200"/>
    </w:pPr>
  </w:style>
  <w:style w:type="paragraph" w:styleId="9">
    <w:name w:val="Document Map"/>
    <w:basedOn w:val="1"/>
    <w:link w:val="69"/>
    <w:qFormat/>
    <w:uiPriority w:val="0"/>
    <w:rPr>
      <w:rFonts w:ascii="宋体"/>
      <w:sz w:val="18"/>
      <w:szCs w:val="18"/>
    </w:rPr>
  </w:style>
  <w:style w:type="paragraph" w:styleId="10">
    <w:name w:val="annotation text"/>
    <w:basedOn w:val="1"/>
    <w:link w:val="58"/>
    <w:unhideWhenUsed/>
    <w:qFormat/>
    <w:uiPriority w:val="99"/>
    <w:pPr>
      <w:jc w:val="left"/>
    </w:pPr>
  </w:style>
  <w:style w:type="paragraph" w:styleId="11">
    <w:name w:val="Body Text"/>
    <w:basedOn w:val="1"/>
    <w:next w:val="1"/>
    <w:link w:val="38"/>
    <w:qFormat/>
    <w:uiPriority w:val="0"/>
    <w:pPr>
      <w:adjustRightInd w:val="0"/>
      <w:spacing w:line="360" w:lineRule="auto"/>
      <w:jc w:val="left"/>
      <w:textAlignment w:val="baseline"/>
      <w:outlineLvl w:val="0"/>
    </w:pPr>
    <w:rPr>
      <w:snapToGrid w:val="0"/>
      <w:kern w:val="0"/>
      <w:sz w:val="28"/>
    </w:rPr>
  </w:style>
  <w:style w:type="paragraph" w:styleId="12">
    <w:name w:val="Body Text Indent"/>
    <w:basedOn w:val="1"/>
    <w:link w:val="68"/>
    <w:qFormat/>
    <w:uiPriority w:val="0"/>
    <w:pPr>
      <w:spacing w:after="120"/>
      <w:ind w:left="420" w:leftChars="200"/>
    </w:pPr>
  </w:style>
  <w:style w:type="paragraph" w:styleId="13">
    <w:name w:val="toc 5"/>
    <w:basedOn w:val="1"/>
    <w:next w:val="1"/>
    <w:unhideWhenUsed/>
    <w:qFormat/>
    <w:uiPriority w:val="39"/>
    <w:pPr>
      <w:ind w:left="840"/>
      <w:jc w:val="left"/>
    </w:pPr>
    <w:rPr>
      <w:rFonts w:ascii="Calibri" w:hAnsi="Calibri" w:cs="Calibri"/>
      <w:sz w:val="18"/>
      <w:szCs w:val="18"/>
    </w:rPr>
  </w:style>
  <w:style w:type="paragraph" w:styleId="14">
    <w:name w:val="toc 3"/>
    <w:basedOn w:val="1"/>
    <w:next w:val="1"/>
    <w:qFormat/>
    <w:uiPriority w:val="0"/>
    <w:pPr>
      <w:ind w:left="420"/>
      <w:jc w:val="left"/>
    </w:pPr>
    <w:rPr>
      <w:rFonts w:ascii="Calibri" w:hAnsi="Calibri" w:cs="Calibri"/>
      <w:i/>
      <w:iCs/>
      <w:sz w:val="20"/>
      <w:szCs w:val="20"/>
    </w:rPr>
  </w:style>
  <w:style w:type="paragraph" w:styleId="15">
    <w:name w:val="Plain Text"/>
    <w:basedOn w:val="1"/>
    <w:link w:val="48"/>
    <w:qFormat/>
    <w:uiPriority w:val="0"/>
    <w:rPr>
      <w:rFonts w:ascii="宋体" w:hAnsi="Courier New" w:cs="Courier New"/>
      <w:szCs w:val="21"/>
    </w:rPr>
  </w:style>
  <w:style w:type="paragraph" w:styleId="16">
    <w:name w:val="toc 8"/>
    <w:basedOn w:val="1"/>
    <w:next w:val="1"/>
    <w:unhideWhenUsed/>
    <w:qFormat/>
    <w:uiPriority w:val="39"/>
    <w:pPr>
      <w:ind w:left="1470"/>
      <w:jc w:val="left"/>
    </w:pPr>
    <w:rPr>
      <w:rFonts w:ascii="Calibri" w:hAnsi="Calibri" w:cs="Calibri"/>
      <w:sz w:val="18"/>
      <w:szCs w:val="18"/>
    </w:rPr>
  </w:style>
  <w:style w:type="paragraph" w:styleId="17">
    <w:name w:val="Date"/>
    <w:basedOn w:val="1"/>
    <w:next w:val="1"/>
    <w:link w:val="62"/>
    <w:unhideWhenUsed/>
    <w:qFormat/>
    <w:uiPriority w:val="0"/>
    <w:pPr>
      <w:spacing w:line="315" w:lineRule="atLeast"/>
      <w:textAlignment w:val="baseline"/>
    </w:pPr>
    <w:rPr>
      <w:sz w:val="28"/>
    </w:rPr>
  </w:style>
  <w:style w:type="paragraph" w:styleId="18">
    <w:name w:val="Balloon Text"/>
    <w:basedOn w:val="1"/>
    <w:link w:val="39"/>
    <w:unhideWhenUsed/>
    <w:qFormat/>
    <w:uiPriority w:val="0"/>
    <w:pPr>
      <w:spacing w:line="240" w:lineRule="auto"/>
    </w:pPr>
    <w:rPr>
      <w:sz w:val="18"/>
      <w:szCs w:val="18"/>
    </w:rPr>
  </w:style>
  <w:style w:type="paragraph" w:styleId="19">
    <w:name w:val="footer"/>
    <w:basedOn w:val="1"/>
    <w:link w:val="37"/>
    <w:unhideWhenUsed/>
    <w:qFormat/>
    <w:uiPriority w:val="99"/>
    <w:pPr>
      <w:tabs>
        <w:tab w:val="center" w:pos="4153"/>
        <w:tab w:val="right" w:pos="8306"/>
      </w:tabs>
      <w:snapToGrid w:val="0"/>
      <w:spacing w:line="240" w:lineRule="auto"/>
      <w:ind w:firstLine="0" w:firstLineChars="0"/>
      <w:jc w:val="left"/>
    </w:pPr>
    <w:rPr>
      <w:rFonts w:asciiTheme="minorHAnsi" w:hAnsiTheme="minorHAnsi" w:eastAsiaTheme="minorEastAsia" w:cstheme="minorBidi"/>
      <w:sz w:val="18"/>
      <w:szCs w:val="18"/>
    </w:rPr>
  </w:style>
  <w:style w:type="paragraph" w:styleId="20">
    <w:name w:val="header"/>
    <w:basedOn w:val="1"/>
    <w:link w:val="36"/>
    <w:unhideWhenUsed/>
    <w:qFormat/>
    <w:uiPriority w:val="0"/>
    <w:pPr>
      <w:pBdr>
        <w:bottom w:val="single" w:color="auto" w:sz="6" w:space="1"/>
      </w:pBdr>
      <w:tabs>
        <w:tab w:val="center" w:pos="4153"/>
        <w:tab w:val="right" w:pos="8306"/>
      </w:tabs>
      <w:snapToGrid w:val="0"/>
      <w:spacing w:line="240" w:lineRule="auto"/>
      <w:ind w:firstLine="0" w:firstLineChars="0"/>
      <w:jc w:val="center"/>
    </w:pPr>
    <w:rPr>
      <w:rFonts w:asciiTheme="minorHAnsi" w:hAnsiTheme="minorHAnsi" w:eastAsiaTheme="minorEastAsia" w:cstheme="minorBidi"/>
      <w:sz w:val="18"/>
      <w:szCs w:val="18"/>
    </w:rPr>
  </w:style>
  <w:style w:type="paragraph" w:styleId="21">
    <w:name w:val="toc 1"/>
    <w:basedOn w:val="1"/>
    <w:next w:val="1"/>
    <w:unhideWhenUsed/>
    <w:qFormat/>
    <w:uiPriority w:val="39"/>
    <w:pPr>
      <w:tabs>
        <w:tab w:val="right" w:leader="dot" w:pos="8268"/>
      </w:tabs>
      <w:jc w:val="center"/>
    </w:pPr>
    <w:rPr>
      <w:sz w:val="24"/>
    </w:rPr>
  </w:style>
  <w:style w:type="paragraph" w:styleId="22">
    <w:name w:val="toc 4"/>
    <w:basedOn w:val="1"/>
    <w:next w:val="1"/>
    <w:unhideWhenUsed/>
    <w:qFormat/>
    <w:uiPriority w:val="39"/>
    <w:pPr>
      <w:ind w:left="630"/>
      <w:jc w:val="left"/>
    </w:pPr>
    <w:rPr>
      <w:rFonts w:ascii="Calibri" w:hAnsi="Calibri" w:cs="Calibri"/>
      <w:sz w:val="18"/>
      <w:szCs w:val="18"/>
    </w:rPr>
  </w:style>
  <w:style w:type="paragraph" w:styleId="23">
    <w:name w:val="toc 6"/>
    <w:basedOn w:val="1"/>
    <w:next w:val="1"/>
    <w:unhideWhenUsed/>
    <w:qFormat/>
    <w:uiPriority w:val="39"/>
    <w:pPr>
      <w:ind w:left="1050"/>
      <w:jc w:val="left"/>
    </w:pPr>
    <w:rPr>
      <w:rFonts w:ascii="Calibri" w:hAnsi="Calibri" w:cs="Calibri"/>
      <w:sz w:val="18"/>
      <w:szCs w:val="18"/>
    </w:rPr>
  </w:style>
  <w:style w:type="paragraph" w:styleId="24">
    <w:name w:val="toc 2"/>
    <w:basedOn w:val="1"/>
    <w:next w:val="1"/>
    <w:unhideWhenUsed/>
    <w:qFormat/>
    <w:uiPriority w:val="39"/>
    <w:pPr>
      <w:tabs>
        <w:tab w:val="right" w:leader="dot" w:pos="8268"/>
      </w:tabs>
      <w:spacing w:line="360" w:lineRule="auto"/>
      <w:ind w:left="200" w:leftChars="200"/>
    </w:pPr>
    <w:rPr>
      <w:sz w:val="24"/>
    </w:rPr>
  </w:style>
  <w:style w:type="paragraph" w:styleId="25">
    <w:name w:val="toc 9"/>
    <w:basedOn w:val="1"/>
    <w:next w:val="1"/>
    <w:unhideWhenUsed/>
    <w:qFormat/>
    <w:uiPriority w:val="39"/>
    <w:pPr>
      <w:ind w:left="1680"/>
      <w:jc w:val="left"/>
    </w:pPr>
    <w:rPr>
      <w:rFonts w:ascii="Calibri" w:hAnsi="Calibri" w:cs="Calibri"/>
      <w:sz w:val="18"/>
      <w:szCs w:val="18"/>
    </w:rPr>
  </w:style>
  <w:style w:type="paragraph" w:styleId="26">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7">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8">
    <w:name w:val="annotation subject"/>
    <w:basedOn w:val="10"/>
    <w:next w:val="10"/>
    <w:link w:val="61"/>
    <w:unhideWhenUsed/>
    <w:qFormat/>
    <w:uiPriority w:val="99"/>
    <w:rPr>
      <w:b/>
      <w:bCs/>
    </w:rPr>
  </w:style>
  <w:style w:type="paragraph" w:styleId="29">
    <w:name w:val="Body Text First Indent"/>
    <w:basedOn w:val="11"/>
    <w:link w:val="52"/>
    <w:unhideWhenUsed/>
    <w:qFormat/>
    <w:uiPriority w:val="99"/>
    <w:pPr>
      <w:adjustRightInd/>
      <w:spacing w:after="120" w:line="240" w:lineRule="auto"/>
      <w:ind w:firstLine="420" w:firstLineChars="100"/>
      <w:jc w:val="both"/>
      <w:textAlignment w:val="auto"/>
      <w:outlineLvl w:val="9"/>
    </w:pPr>
    <w:rPr>
      <w:kern w:val="2"/>
      <w:sz w:val="21"/>
      <w:szCs w:val="21"/>
    </w:rPr>
  </w:style>
  <w:style w:type="table" w:styleId="31">
    <w:name w:val="Table Grid"/>
    <w:basedOn w:val="30"/>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Hyperlink"/>
    <w:qFormat/>
    <w:uiPriority w:val="99"/>
    <w:rPr>
      <w:color w:val="0000FF"/>
      <w:u w:val="single"/>
    </w:rPr>
  </w:style>
  <w:style w:type="character" w:styleId="35">
    <w:name w:val="annotation reference"/>
    <w:unhideWhenUsed/>
    <w:qFormat/>
    <w:uiPriority w:val="99"/>
    <w:rPr>
      <w:sz w:val="21"/>
      <w:szCs w:val="21"/>
    </w:rPr>
  </w:style>
  <w:style w:type="character" w:customStyle="1" w:styleId="36">
    <w:name w:val="页眉 Char"/>
    <w:basedOn w:val="32"/>
    <w:link w:val="20"/>
    <w:qFormat/>
    <w:uiPriority w:val="0"/>
    <w:rPr>
      <w:sz w:val="18"/>
      <w:szCs w:val="18"/>
    </w:rPr>
  </w:style>
  <w:style w:type="character" w:customStyle="1" w:styleId="37">
    <w:name w:val="页脚 Char"/>
    <w:basedOn w:val="32"/>
    <w:link w:val="19"/>
    <w:qFormat/>
    <w:uiPriority w:val="99"/>
    <w:rPr>
      <w:sz w:val="18"/>
      <w:szCs w:val="18"/>
    </w:rPr>
  </w:style>
  <w:style w:type="character" w:customStyle="1" w:styleId="38">
    <w:name w:val="正文文本 Char"/>
    <w:basedOn w:val="32"/>
    <w:link w:val="11"/>
    <w:qFormat/>
    <w:uiPriority w:val="0"/>
    <w:rPr>
      <w:rFonts w:ascii="Times New Roman" w:hAnsi="Times New Roman" w:eastAsia="宋体" w:cs="Times New Roman"/>
      <w:snapToGrid w:val="0"/>
      <w:kern w:val="0"/>
      <w:sz w:val="28"/>
      <w:szCs w:val="24"/>
    </w:rPr>
  </w:style>
  <w:style w:type="character" w:customStyle="1" w:styleId="39">
    <w:name w:val="批注框文本 Char"/>
    <w:basedOn w:val="32"/>
    <w:link w:val="18"/>
    <w:qFormat/>
    <w:uiPriority w:val="0"/>
    <w:rPr>
      <w:kern w:val="2"/>
      <w:sz w:val="18"/>
      <w:szCs w:val="18"/>
    </w:rPr>
  </w:style>
  <w:style w:type="character" w:customStyle="1" w:styleId="40">
    <w:name w:val="标题 1 Char"/>
    <w:basedOn w:val="32"/>
    <w:link w:val="3"/>
    <w:qFormat/>
    <w:uiPriority w:val="0"/>
    <w:rPr>
      <w:b/>
      <w:bCs/>
      <w:kern w:val="44"/>
      <w:sz w:val="44"/>
      <w:szCs w:val="44"/>
    </w:rPr>
  </w:style>
  <w:style w:type="character" w:customStyle="1" w:styleId="41">
    <w:name w:val="标题 3 Char"/>
    <w:basedOn w:val="32"/>
    <w:link w:val="5"/>
    <w:qFormat/>
    <w:uiPriority w:val="9"/>
    <w:rPr>
      <w:b/>
      <w:bCs/>
      <w:kern w:val="2"/>
      <w:sz w:val="32"/>
      <w:szCs w:val="32"/>
    </w:rPr>
  </w:style>
  <w:style w:type="character" w:customStyle="1" w:styleId="42">
    <w:name w:val="标题 4 Char"/>
    <w:basedOn w:val="32"/>
    <w:link w:val="6"/>
    <w:qFormat/>
    <w:uiPriority w:val="9"/>
    <w:rPr>
      <w:rFonts w:ascii="Cambria" w:hAnsi="Cambria"/>
      <w:b/>
      <w:bCs/>
      <w:kern w:val="2"/>
      <w:sz w:val="28"/>
      <w:szCs w:val="28"/>
    </w:rPr>
  </w:style>
  <w:style w:type="character" w:customStyle="1" w:styleId="43">
    <w:name w:val="标题 5 Char"/>
    <w:basedOn w:val="32"/>
    <w:link w:val="7"/>
    <w:qFormat/>
    <w:uiPriority w:val="9"/>
    <w:rPr>
      <w:b/>
      <w:bCs/>
      <w:kern w:val="2"/>
      <w:sz w:val="28"/>
      <w:szCs w:val="28"/>
    </w:rPr>
  </w:style>
  <w:style w:type="character" w:customStyle="1" w:styleId="44">
    <w:name w:val="样式 段落 + 首行缩进:  2 字符 Char Char"/>
    <w:link w:val="45"/>
    <w:qFormat/>
    <w:uiPriority w:val="0"/>
    <w:rPr>
      <w:rFonts w:eastAsia="华文细黑" w:cs="宋体"/>
      <w:sz w:val="28"/>
    </w:rPr>
  </w:style>
  <w:style w:type="paragraph" w:customStyle="1" w:styleId="45">
    <w:name w:val="样式 段落 + 首行缩进:  2 字符"/>
    <w:basedOn w:val="1"/>
    <w:link w:val="44"/>
    <w:qFormat/>
    <w:uiPriority w:val="0"/>
    <w:pPr>
      <w:adjustRightInd w:val="0"/>
      <w:textAlignment w:val="baseline"/>
    </w:pPr>
    <w:rPr>
      <w:rFonts w:eastAsia="华文细黑" w:cs="宋体"/>
      <w:kern w:val="0"/>
      <w:sz w:val="28"/>
      <w:szCs w:val="20"/>
    </w:rPr>
  </w:style>
  <w:style w:type="character" w:customStyle="1" w:styleId="46">
    <w:name w:val="表头 Char Char"/>
    <w:link w:val="47"/>
    <w:qFormat/>
    <w:uiPriority w:val="0"/>
    <w:rPr>
      <w:rFonts w:ascii="E-F1" w:eastAsia="黑体"/>
      <w:kern w:val="2"/>
      <w:sz w:val="21"/>
      <w:szCs w:val="21"/>
    </w:rPr>
  </w:style>
  <w:style w:type="paragraph" w:customStyle="1" w:styleId="47">
    <w:name w:val="表头"/>
    <w:basedOn w:val="1"/>
    <w:link w:val="46"/>
    <w:qFormat/>
    <w:uiPriority w:val="0"/>
    <w:pPr>
      <w:tabs>
        <w:tab w:val="center" w:pos="4706"/>
        <w:tab w:val="right" w:pos="9044"/>
      </w:tabs>
      <w:topLinePunct/>
      <w:spacing w:before="160" w:after="60" w:line="312" w:lineRule="exact"/>
      <w:jc w:val="center"/>
    </w:pPr>
    <w:rPr>
      <w:rFonts w:ascii="E-F1" w:eastAsia="黑体"/>
      <w:szCs w:val="21"/>
    </w:rPr>
  </w:style>
  <w:style w:type="character" w:customStyle="1" w:styleId="48">
    <w:name w:val="纯文本 Char"/>
    <w:link w:val="15"/>
    <w:qFormat/>
    <w:uiPriority w:val="0"/>
    <w:rPr>
      <w:rFonts w:ascii="宋体" w:hAnsi="Courier New" w:cs="Courier New"/>
      <w:kern w:val="2"/>
      <w:sz w:val="21"/>
      <w:szCs w:val="21"/>
    </w:rPr>
  </w:style>
  <w:style w:type="character" w:customStyle="1" w:styleId="49">
    <w:name w:val="10"/>
    <w:qFormat/>
    <w:uiPriority w:val="0"/>
    <w:rPr>
      <w:rFonts w:hint="default" w:ascii="Times New Roman" w:hAnsi="Times New Roman" w:cs="Times New Roman"/>
      <w:sz w:val="20"/>
      <w:szCs w:val="20"/>
    </w:rPr>
  </w:style>
  <w:style w:type="character" w:customStyle="1" w:styleId="50">
    <w:name w:val="标题 2 Char"/>
    <w:link w:val="4"/>
    <w:qFormat/>
    <w:uiPriority w:val="0"/>
    <w:rPr>
      <w:rFonts w:ascii="Arial" w:hAnsi="Arial" w:eastAsia="黑体" w:cs="Arial"/>
      <w:b/>
      <w:bCs/>
      <w:kern w:val="2"/>
      <w:sz w:val="32"/>
      <w:szCs w:val="32"/>
    </w:rPr>
  </w:style>
  <w:style w:type="character" w:customStyle="1" w:styleId="51">
    <w:name w:val="标题 1 Char Char"/>
    <w:qFormat/>
    <w:uiPriority w:val="0"/>
    <w:rPr>
      <w:b/>
      <w:bCs/>
      <w:kern w:val="44"/>
      <w:sz w:val="44"/>
      <w:szCs w:val="44"/>
    </w:rPr>
  </w:style>
  <w:style w:type="character" w:customStyle="1" w:styleId="52">
    <w:name w:val="正文首行缩进 Char"/>
    <w:link w:val="29"/>
    <w:qFormat/>
    <w:uiPriority w:val="99"/>
    <w:rPr>
      <w:snapToGrid w:val="0"/>
      <w:kern w:val="2"/>
      <w:sz w:val="21"/>
      <w:szCs w:val="21"/>
    </w:rPr>
  </w:style>
  <w:style w:type="character" w:customStyle="1" w:styleId="53">
    <w:name w:val="wzw Char Char"/>
    <w:link w:val="54"/>
    <w:qFormat/>
    <w:uiPriority w:val="0"/>
    <w:rPr>
      <w:rFonts w:hAnsi="华文细黑" w:eastAsia="华文细黑"/>
      <w:kern w:val="2"/>
      <w:sz w:val="28"/>
      <w:szCs w:val="28"/>
    </w:rPr>
  </w:style>
  <w:style w:type="paragraph" w:customStyle="1" w:styleId="54">
    <w:name w:val="wzw"/>
    <w:basedOn w:val="1"/>
    <w:link w:val="53"/>
    <w:qFormat/>
    <w:uiPriority w:val="0"/>
    <w:pPr>
      <w:spacing w:line="360" w:lineRule="auto"/>
    </w:pPr>
    <w:rPr>
      <w:rFonts w:hAnsi="华文细黑" w:eastAsia="华文细黑"/>
      <w:sz w:val="28"/>
      <w:szCs w:val="28"/>
    </w:rPr>
  </w:style>
  <w:style w:type="character" w:customStyle="1" w:styleId="55">
    <w:name w:val="15"/>
    <w:qFormat/>
    <w:uiPriority w:val="0"/>
    <w:rPr>
      <w:rFonts w:hint="default" w:ascii="Times New Roman" w:hAnsi="Times New Roman" w:cs="Times New Roman"/>
      <w:sz w:val="20"/>
      <w:szCs w:val="20"/>
    </w:rPr>
  </w:style>
  <w:style w:type="character" w:customStyle="1" w:styleId="56">
    <w:name w:val="附录一 Char Char"/>
    <w:link w:val="57"/>
    <w:qFormat/>
    <w:uiPriority w:val="0"/>
    <w:rPr>
      <w:rFonts w:ascii="EU-F1" w:eastAsia="黑体"/>
      <w:kern w:val="2"/>
      <w:sz w:val="21"/>
      <w:szCs w:val="21"/>
    </w:rPr>
  </w:style>
  <w:style w:type="paragraph" w:customStyle="1" w:styleId="57">
    <w:name w:val="附录一"/>
    <w:basedOn w:val="15"/>
    <w:link w:val="56"/>
    <w:qFormat/>
    <w:uiPriority w:val="0"/>
    <w:pPr>
      <w:spacing w:line="480" w:lineRule="auto"/>
    </w:pPr>
    <w:rPr>
      <w:rFonts w:ascii="EU-F1" w:hAnsi="Times New Roman" w:eastAsia="黑体" w:cs="Times New Roman"/>
    </w:rPr>
  </w:style>
  <w:style w:type="character" w:customStyle="1" w:styleId="58">
    <w:name w:val="批注文字 Char"/>
    <w:link w:val="10"/>
    <w:qFormat/>
    <w:uiPriority w:val="99"/>
    <w:rPr>
      <w:kern w:val="2"/>
      <w:sz w:val="21"/>
      <w:szCs w:val="24"/>
    </w:rPr>
  </w:style>
  <w:style w:type="character" w:customStyle="1" w:styleId="59">
    <w:name w:val="段落 Char1"/>
    <w:link w:val="60"/>
    <w:qFormat/>
    <w:uiPriority w:val="0"/>
    <w:rPr>
      <w:rFonts w:eastAsia="仿宋_GB2312"/>
      <w:sz w:val="21"/>
      <w:szCs w:val="28"/>
    </w:rPr>
  </w:style>
  <w:style w:type="paragraph" w:customStyle="1" w:styleId="60">
    <w:name w:val="段落"/>
    <w:basedOn w:val="1"/>
    <w:link w:val="59"/>
    <w:qFormat/>
    <w:uiPriority w:val="0"/>
    <w:pPr>
      <w:adjustRightInd w:val="0"/>
      <w:spacing w:line="360" w:lineRule="auto"/>
      <w:ind w:firstLine="420"/>
      <w:textAlignment w:val="baseline"/>
    </w:pPr>
    <w:rPr>
      <w:rFonts w:eastAsia="仿宋_GB2312"/>
      <w:kern w:val="0"/>
      <w:szCs w:val="28"/>
    </w:rPr>
  </w:style>
  <w:style w:type="character" w:customStyle="1" w:styleId="61">
    <w:name w:val="批注主题 Char"/>
    <w:link w:val="28"/>
    <w:qFormat/>
    <w:uiPriority w:val="99"/>
    <w:rPr>
      <w:b/>
      <w:bCs/>
      <w:kern w:val="2"/>
      <w:sz w:val="21"/>
      <w:szCs w:val="24"/>
    </w:rPr>
  </w:style>
  <w:style w:type="character" w:customStyle="1" w:styleId="62">
    <w:name w:val="日期 Char"/>
    <w:link w:val="17"/>
    <w:qFormat/>
    <w:uiPriority w:val="0"/>
    <w:rPr>
      <w:kern w:val="2"/>
      <w:sz w:val="28"/>
      <w:szCs w:val="24"/>
    </w:rPr>
  </w:style>
  <w:style w:type="character" w:customStyle="1" w:styleId="63">
    <w:name w:val="页码1"/>
    <w:basedOn w:val="32"/>
    <w:qFormat/>
    <w:uiPriority w:val="0"/>
  </w:style>
  <w:style w:type="character" w:customStyle="1" w:styleId="64">
    <w:name w:val="附录二 Char Char"/>
    <w:link w:val="65"/>
    <w:qFormat/>
    <w:uiPriority w:val="0"/>
    <w:rPr>
      <w:rFonts w:ascii="EU-F1" w:eastAsia="黑体"/>
      <w:kern w:val="21"/>
      <w:sz w:val="21"/>
      <w:szCs w:val="21"/>
    </w:rPr>
  </w:style>
  <w:style w:type="paragraph" w:customStyle="1" w:styleId="65">
    <w:name w:val="附录二"/>
    <w:basedOn w:val="15"/>
    <w:link w:val="64"/>
    <w:qFormat/>
    <w:uiPriority w:val="0"/>
    <w:pPr>
      <w:spacing w:line="312" w:lineRule="exact"/>
    </w:pPr>
    <w:rPr>
      <w:rFonts w:ascii="EU-F1" w:hAnsi="Times New Roman" w:eastAsia="黑体" w:cs="Times New Roman"/>
      <w:kern w:val="21"/>
    </w:rPr>
  </w:style>
  <w:style w:type="character" w:customStyle="1" w:styleId="66">
    <w:name w:val="Normal Char"/>
    <w:link w:val="67"/>
    <w:qFormat/>
    <w:uiPriority w:val="0"/>
    <w:rPr>
      <w:rFonts w:ascii="宋体"/>
      <w:sz w:val="24"/>
    </w:rPr>
  </w:style>
  <w:style w:type="paragraph" w:customStyle="1" w:styleId="67">
    <w:name w:val="正文1"/>
    <w:link w:val="66"/>
    <w:qFormat/>
    <w:uiPriority w:val="0"/>
    <w:pPr>
      <w:widowControl w:val="0"/>
      <w:adjustRightInd w:val="0"/>
      <w:spacing w:line="360" w:lineRule="atLeast"/>
      <w:textAlignment w:val="baseline"/>
    </w:pPr>
    <w:rPr>
      <w:rFonts w:ascii="宋体" w:hAnsi="Times New Roman" w:eastAsia="宋体" w:cs="Times New Roman"/>
      <w:sz w:val="24"/>
      <w:lang w:val="en-US" w:eastAsia="zh-CN" w:bidi="ar-SA"/>
    </w:rPr>
  </w:style>
  <w:style w:type="character" w:customStyle="1" w:styleId="68">
    <w:name w:val="正文文本缩进 Char"/>
    <w:link w:val="12"/>
    <w:qFormat/>
    <w:uiPriority w:val="0"/>
    <w:rPr>
      <w:kern w:val="2"/>
      <w:sz w:val="21"/>
      <w:szCs w:val="24"/>
    </w:rPr>
  </w:style>
  <w:style w:type="character" w:customStyle="1" w:styleId="69">
    <w:name w:val="文档结构图 Char"/>
    <w:link w:val="9"/>
    <w:qFormat/>
    <w:uiPriority w:val="0"/>
    <w:rPr>
      <w:rFonts w:ascii="宋体"/>
      <w:kern w:val="2"/>
      <w:sz w:val="18"/>
      <w:szCs w:val="18"/>
    </w:rPr>
  </w:style>
  <w:style w:type="character" w:customStyle="1" w:styleId="70">
    <w:name w:val="批注文字 Char1"/>
    <w:basedOn w:val="32"/>
    <w:semiHidden/>
    <w:qFormat/>
    <w:uiPriority w:val="99"/>
    <w:rPr>
      <w:kern w:val="2"/>
      <w:sz w:val="21"/>
      <w:szCs w:val="24"/>
    </w:rPr>
  </w:style>
  <w:style w:type="character" w:customStyle="1" w:styleId="71">
    <w:name w:val="批注主题 Char1"/>
    <w:basedOn w:val="70"/>
    <w:semiHidden/>
    <w:qFormat/>
    <w:uiPriority w:val="99"/>
    <w:rPr>
      <w:b/>
      <w:bCs/>
      <w:kern w:val="2"/>
      <w:sz w:val="21"/>
      <w:szCs w:val="24"/>
    </w:rPr>
  </w:style>
  <w:style w:type="character" w:customStyle="1" w:styleId="72">
    <w:name w:val="正文文本缩进 Char1"/>
    <w:basedOn w:val="32"/>
    <w:semiHidden/>
    <w:qFormat/>
    <w:uiPriority w:val="99"/>
    <w:rPr>
      <w:kern w:val="2"/>
      <w:sz w:val="21"/>
      <w:szCs w:val="24"/>
    </w:rPr>
  </w:style>
  <w:style w:type="character" w:customStyle="1" w:styleId="73">
    <w:name w:val="文档结构图 Char1"/>
    <w:basedOn w:val="32"/>
    <w:semiHidden/>
    <w:qFormat/>
    <w:uiPriority w:val="99"/>
    <w:rPr>
      <w:rFonts w:ascii="Microsoft YaHei UI" w:eastAsia="Microsoft YaHei UI"/>
      <w:kern w:val="2"/>
      <w:sz w:val="18"/>
      <w:szCs w:val="18"/>
    </w:rPr>
  </w:style>
  <w:style w:type="character" w:customStyle="1" w:styleId="74">
    <w:name w:val="正文首行缩进 Char1"/>
    <w:basedOn w:val="38"/>
    <w:semiHidden/>
    <w:qFormat/>
    <w:uiPriority w:val="99"/>
    <w:rPr>
      <w:rFonts w:ascii="Times New Roman" w:hAnsi="Times New Roman" w:eastAsia="宋体" w:cs="Times New Roman"/>
      <w:snapToGrid/>
      <w:kern w:val="2"/>
      <w:sz w:val="21"/>
      <w:szCs w:val="24"/>
    </w:rPr>
  </w:style>
  <w:style w:type="character" w:customStyle="1" w:styleId="75">
    <w:name w:val="纯文本 Char1"/>
    <w:basedOn w:val="32"/>
    <w:semiHidden/>
    <w:qFormat/>
    <w:uiPriority w:val="99"/>
    <w:rPr>
      <w:rFonts w:ascii="宋体" w:hAnsi="Courier New" w:cs="Courier New"/>
      <w:kern w:val="2"/>
      <w:sz w:val="21"/>
      <w:szCs w:val="21"/>
    </w:rPr>
  </w:style>
  <w:style w:type="paragraph" w:customStyle="1" w:styleId="76">
    <w:name w:val="p16"/>
    <w:basedOn w:val="1"/>
    <w:qFormat/>
    <w:uiPriority w:val="0"/>
    <w:pPr>
      <w:widowControl/>
      <w:pBdr>
        <w:bottom w:val="single" w:color="000000" w:sz="6" w:space="1"/>
      </w:pBdr>
      <w:jc w:val="center"/>
    </w:pPr>
    <w:rPr>
      <w:kern w:val="0"/>
      <w:sz w:val="18"/>
      <w:szCs w:val="18"/>
    </w:rPr>
  </w:style>
  <w:style w:type="paragraph" w:customStyle="1" w:styleId="77">
    <w:name w:val="TOC 标题1"/>
    <w:basedOn w:val="3"/>
    <w:next w:val="1"/>
    <w:qFormat/>
    <w:uiPriority w:val="0"/>
    <w:pPr>
      <w:widowControl/>
      <w:spacing w:before="480" w:after="0" w:line="276" w:lineRule="auto"/>
      <w:ind w:firstLine="0"/>
      <w:jc w:val="left"/>
      <w:outlineLvl w:val="9"/>
    </w:pPr>
    <w:rPr>
      <w:rFonts w:ascii="Cambria" w:hAnsi="Cambria"/>
      <w:color w:val="365F91"/>
      <w:kern w:val="0"/>
      <w:sz w:val="28"/>
      <w:szCs w:val="28"/>
    </w:rPr>
  </w:style>
  <w:style w:type="paragraph" w:customStyle="1" w:styleId="78">
    <w:name w:val="p0"/>
    <w:basedOn w:val="1"/>
    <w:qFormat/>
    <w:uiPriority w:val="0"/>
    <w:pPr>
      <w:widowControl/>
    </w:pPr>
    <w:rPr>
      <w:rFonts w:ascii="Calibri" w:hAnsi="Calibri" w:cs="Calibri"/>
      <w:kern w:val="0"/>
      <w:szCs w:val="21"/>
    </w:rPr>
  </w:style>
  <w:style w:type="paragraph" w:customStyle="1" w:styleId="79">
    <w:name w:val="页脚1"/>
    <w:basedOn w:val="1"/>
    <w:qFormat/>
    <w:uiPriority w:val="0"/>
    <w:pPr>
      <w:tabs>
        <w:tab w:val="center" w:pos="4153"/>
        <w:tab w:val="right" w:pos="8306"/>
      </w:tabs>
      <w:snapToGrid w:val="0"/>
      <w:jc w:val="left"/>
    </w:pPr>
    <w:rPr>
      <w:rFonts w:eastAsia="仿宋_GB2312"/>
      <w:sz w:val="18"/>
      <w:szCs w:val="20"/>
    </w:rPr>
  </w:style>
  <w:style w:type="paragraph" w:customStyle="1" w:styleId="80">
    <w:name w:val="zw"/>
    <w:basedOn w:val="1"/>
    <w:qFormat/>
    <w:uiPriority w:val="0"/>
    <w:pPr>
      <w:adjustRightInd w:val="0"/>
      <w:snapToGrid w:val="0"/>
      <w:spacing w:line="360" w:lineRule="auto"/>
      <w:jc w:val="left"/>
    </w:pPr>
    <w:rPr>
      <w:rFonts w:hAnsi="宋体"/>
      <w:snapToGrid w:val="0"/>
      <w:spacing w:val="10"/>
      <w:kern w:val="0"/>
      <w:sz w:val="24"/>
      <w:szCs w:val="28"/>
    </w:rPr>
  </w:style>
  <w:style w:type="paragraph" w:customStyle="1" w:styleId="81">
    <w:name w:val="页眉1"/>
    <w:basedOn w:val="1"/>
    <w:qFormat/>
    <w:uiPriority w:val="0"/>
    <w:pPr>
      <w:pBdr>
        <w:bottom w:val="single" w:color="auto" w:sz="6" w:space="1"/>
      </w:pBdr>
      <w:tabs>
        <w:tab w:val="center" w:pos="4153"/>
        <w:tab w:val="right" w:pos="8306"/>
      </w:tabs>
      <w:snapToGrid w:val="0"/>
      <w:jc w:val="center"/>
    </w:pPr>
    <w:rPr>
      <w:sz w:val="18"/>
      <w:szCs w:val="20"/>
    </w:rPr>
  </w:style>
  <w:style w:type="paragraph" w:customStyle="1" w:styleId="82">
    <w:name w:val="普通(网站)1"/>
    <w:basedOn w:val="1"/>
    <w:qFormat/>
    <w:uiPriority w:val="0"/>
    <w:pPr>
      <w:widowControl/>
      <w:spacing w:before="100" w:beforeAutospacing="1" w:after="100" w:afterAutospacing="1" w:line="240" w:lineRule="auto"/>
      <w:ind w:firstLine="0" w:firstLineChars="0"/>
      <w:jc w:val="left"/>
    </w:pPr>
    <w:rPr>
      <w:rFonts w:ascii="宋体" w:hAnsi="宋体" w:cs="宋体"/>
      <w:kern w:val="0"/>
      <w:sz w:val="24"/>
    </w:rPr>
  </w:style>
  <w:style w:type="paragraph" w:customStyle="1" w:styleId="83">
    <w:name w:val="TABT"/>
    <w:basedOn w:val="1"/>
    <w:qFormat/>
    <w:uiPriority w:val="0"/>
    <w:pPr>
      <w:spacing w:line="240" w:lineRule="auto"/>
      <w:ind w:firstLine="0" w:firstLineChars="0"/>
      <w:jc w:val="center"/>
    </w:pPr>
    <w:rPr>
      <w:szCs w:val="21"/>
    </w:rPr>
  </w:style>
  <w:style w:type="paragraph" w:customStyle="1" w:styleId="84">
    <w:name w:val="样式 段落 + (符号) 华文细黑 黑色 首行缩进:  2 字符"/>
    <w:basedOn w:val="60"/>
    <w:qFormat/>
    <w:uiPriority w:val="0"/>
    <w:pPr>
      <w:ind w:firstLine="200"/>
    </w:pPr>
    <w:rPr>
      <w:rFonts w:hAnsi="华文细黑" w:eastAsia="华文细黑" w:cs="宋体"/>
      <w:color w:val="000000"/>
      <w:sz w:val="28"/>
      <w:szCs w:val="20"/>
    </w:rPr>
  </w:style>
  <w:style w:type="paragraph" w:styleId="85">
    <w:name w:val="List Paragraph"/>
    <w:basedOn w:val="1"/>
    <w:qFormat/>
    <w:uiPriority w:val="0"/>
    <w:pPr>
      <w:ind w:firstLine="420"/>
    </w:pPr>
  </w:style>
  <w:style w:type="paragraph" w:customStyle="1" w:styleId="86">
    <w:name w:val="p17"/>
    <w:basedOn w:val="1"/>
    <w:qFormat/>
    <w:uiPriority w:val="0"/>
    <w:pPr>
      <w:widowControl/>
      <w:jc w:val="left"/>
    </w:pPr>
    <w:rPr>
      <w:kern w:val="0"/>
      <w:sz w:val="18"/>
      <w:szCs w:val="18"/>
    </w:rPr>
  </w:style>
  <w:style w:type="paragraph" w:styleId="87">
    <w:name w:val="No Spacing"/>
    <w:qFormat/>
    <w:uiPriority w:val="1"/>
    <w:pPr>
      <w:widowControl w:val="0"/>
      <w:ind w:firstLine="200" w:firstLineChars="200"/>
      <w:jc w:val="both"/>
    </w:pPr>
    <w:rPr>
      <w:rFonts w:ascii="Times New Roman" w:hAnsi="Times New Roman" w:eastAsia="宋体" w:cs="Times New Roman"/>
      <w:kern w:val="2"/>
      <w:sz w:val="21"/>
      <w:szCs w:val="24"/>
      <w:lang w:val="en-US" w:eastAsia="zh-CN" w:bidi="ar-SA"/>
    </w:rPr>
  </w:style>
  <w:style w:type="paragraph" w:customStyle="1" w:styleId="88">
    <w:name w:val="Char1"/>
    <w:basedOn w:val="1"/>
    <w:qFormat/>
    <w:uiPriority w:val="0"/>
    <w:pPr>
      <w:keepNext/>
      <w:widowControl/>
      <w:tabs>
        <w:tab w:val="left" w:pos="425"/>
      </w:tabs>
      <w:autoSpaceDE w:val="0"/>
      <w:autoSpaceDN w:val="0"/>
      <w:adjustRightInd w:val="0"/>
      <w:spacing w:before="80" w:after="80"/>
      <w:ind w:hanging="425"/>
    </w:pPr>
    <w:rPr>
      <w:rFonts w:ascii="Arial" w:hAnsi="Arial" w:cs="Arial"/>
      <w:sz w:val="20"/>
      <w:szCs w:val="20"/>
    </w:rPr>
  </w:style>
  <w:style w:type="paragraph" w:customStyle="1" w:styleId="89">
    <w:name w:val="Char"/>
    <w:basedOn w:val="1"/>
    <w:qFormat/>
    <w:uiPriority w:val="0"/>
    <w:pPr>
      <w:spacing w:line="360" w:lineRule="auto"/>
    </w:pPr>
    <w:rPr>
      <w:rFonts w:ascii="宋体" w:hAnsi="宋体" w:cs="宋体"/>
      <w:sz w:val="24"/>
    </w:rPr>
  </w:style>
  <w:style w:type="paragraph" w:customStyle="1" w:styleId="90">
    <w:name w:val="正文+宋体 Char Char Char1 Char Char Char Char Char Char"/>
    <w:basedOn w:val="1"/>
    <w:qFormat/>
    <w:uiPriority w:val="0"/>
    <w:pPr>
      <w:spacing w:line="360" w:lineRule="auto"/>
      <w:ind w:firstLine="0" w:firstLineChars="0"/>
    </w:pPr>
    <w:rPr>
      <w:rFonts w:eastAsia="楷体_GB2312"/>
      <w:sz w:val="32"/>
      <w:szCs w:val="20"/>
    </w:rPr>
  </w:style>
  <w:style w:type="paragraph" w:customStyle="1" w:styleId="91">
    <w:name w:val="正文文本1"/>
    <w:basedOn w:val="1"/>
    <w:qFormat/>
    <w:uiPriority w:val="0"/>
    <w:rPr>
      <w:rFonts w:ascii="仿宋_GB2312" w:eastAsia="仿宋_GB2312"/>
      <w:sz w:val="32"/>
      <w:szCs w:val="20"/>
    </w:rPr>
  </w:style>
  <w:style w:type="paragraph" w:customStyle="1" w:styleId="92">
    <w:name w:val="Char2"/>
    <w:basedOn w:val="1"/>
    <w:qFormat/>
    <w:uiPriority w:val="0"/>
    <w:pPr>
      <w:keepNext/>
      <w:widowControl/>
      <w:tabs>
        <w:tab w:val="left" w:pos="425"/>
      </w:tabs>
      <w:autoSpaceDE w:val="0"/>
      <w:autoSpaceDN w:val="0"/>
      <w:adjustRightInd w:val="0"/>
      <w:spacing w:before="80" w:after="80" w:line="240" w:lineRule="auto"/>
      <w:ind w:hanging="425" w:firstLineChars="0"/>
    </w:pPr>
    <w:rPr>
      <w:rFonts w:ascii="Arial" w:hAnsi="Arial" w:cs="Arial"/>
      <w:sz w:val="20"/>
      <w:szCs w:val="20"/>
    </w:rPr>
  </w:style>
  <w:style w:type="paragraph" w:customStyle="1" w:styleId="93">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94">
    <w:name w:val="正文2"/>
    <w:qFormat/>
    <w:uiPriority w:val="0"/>
    <w:pPr>
      <w:widowControl w:val="0"/>
      <w:adjustRightInd w:val="0"/>
      <w:spacing w:line="360" w:lineRule="atLeast"/>
      <w:textAlignment w:val="baseline"/>
    </w:pPr>
    <w:rPr>
      <w:rFonts w:ascii="宋体" w:hAnsi="Times New Roman" w:eastAsia="宋体" w:cs="Times New Roman"/>
      <w:sz w:val="24"/>
      <w:lang w:val="en-US" w:eastAsia="zh-CN" w:bidi="ar-SA"/>
    </w:rPr>
  </w:style>
  <w:style w:type="paragraph" w:customStyle="1" w:styleId="95">
    <w:name w:val="普通(网站)11"/>
    <w:basedOn w:val="1"/>
    <w:qFormat/>
    <w:uiPriority w:val="0"/>
    <w:pPr>
      <w:widowControl/>
      <w:spacing w:before="100" w:beforeAutospacing="1" w:after="100" w:afterAutospacing="1"/>
      <w:jc w:val="left"/>
    </w:pPr>
    <w:rPr>
      <w:rFonts w:ascii="宋体" w:hAnsi="宋体"/>
      <w:kern w:val="0"/>
      <w:sz w:val="24"/>
      <w:szCs w:val="20"/>
    </w:rPr>
  </w:style>
  <w:style w:type="character" w:customStyle="1" w:styleId="96">
    <w:name w:val="font01"/>
    <w:basedOn w:val="32"/>
    <w:qFormat/>
    <w:uiPriority w:val="0"/>
    <w:rPr>
      <w:rFonts w:hint="eastAsia" w:ascii="宋体" w:hAnsi="宋体" w:eastAsia="宋体" w:cs="宋体"/>
      <w:b/>
      <w:color w:val="000000"/>
      <w:sz w:val="20"/>
      <w:szCs w:val="20"/>
      <w:u w:val="none"/>
      <w:vertAlign w:val="superscript"/>
    </w:rPr>
  </w:style>
  <w:style w:type="character" w:customStyle="1" w:styleId="97">
    <w:name w:val="font41"/>
    <w:basedOn w:val="32"/>
    <w:qFormat/>
    <w:uiPriority w:val="0"/>
    <w:rPr>
      <w:rFonts w:hint="eastAsia" w:ascii="宋体" w:hAnsi="宋体" w:eastAsia="宋体" w:cs="宋体"/>
      <w:b/>
      <w:color w:val="000000"/>
      <w:sz w:val="20"/>
      <w:szCs w:val="20"/>
      <w:u w:val="none"/>
    </w:rPr>
  </w:style>
  <w:style w:type="character" w:customStyle="1" w:styleId="98">
    <w:name w:val="font11"/>
    <w:basedOn w:val="32"/>
    <w:qFormat/>
    <w:uiPriority w:val="0"/>
    <w:rPr>
      <w:rFonts w:hint="eastAsia" w:ascii="宋体" w:hAnsi="宋体" w:eastAsia="宋体" w:cs="宋体"/>
      <w:color w:val="000000"/>
      <w:sz w:val="20"/>
      <w:szCs w:val="20"/>
      <w:u w:val="none"/>
    </w:rPr>
  </w:style>
  <w:style w:type="character" w:customStyle="1" w:styleId="99">
    <w:name w:val="font51"/>
    <w:basedOn w:val="32"/>
    <w:qFormat/>
    <w:uiPriority w:val="0"/>
    <w:rPr>
      <w:rFonts w:hint="eastAsia" w:ascii="宋体" w:hAnsi="宋体" w:eastAsia="宋体" w:cs="宋体"/>
      <w:color w:val="000000"/>
      <w:sz w:val="18"/>
      <w:szCs w:val="18"/>
      <w:u w:val="none"/>
    </w:rPr>
  </w:style>
  <w:style w:type="character" w:customStyle="1" w:styleId="100">
    <w:name w:val="font21"/>
    <w:basedOn w:val="32"/>
    <w:qFormat/>
    <w:uiPriority w:val="0"/>
    <w:rPr>
      <w:rFonts w:hint="eastAsia" w:ascii="宋体" w:hAnsi="宋体" w:eastAsia="宋体" w:cs="宋体"/>
      <w:color w:val="000000"/>
      <w:sz w:val="22"/>
      <w:szCs w:val="22"/>
      <w:u w:val="none"/>
    </w:rPr>
  </w:style>
  <w:style w:type="character" w:customStyle="1" w:styleId="101">
    <w:name w:val="font31"/>
    <w:basedOn w:val="32"/>
    <w:qFormat/>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png"/><Relationship Id="rId17" Type="http://schemas.openxmlformats.org/officeDocument/2006/relationships/image" Target="media/image3.emf"/><Relationship Id="rId16" Type="http://schemas.openxmlformats.org/officeDocument/2006/relationships/image" Target="media/image2.emf"/><Relationship Id="rId15" Type="http://schemas.openxmlformats.org/officeDocument/2006/relationships/image" Target="media/image1.emf"/><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3763</Words>
  <Characters>5459</Characters>
  <Lines>46</Lines>
  <Paragraphs>13</Paragraphs>
  <TotalTime>1</TotalTime>
  <ScaleCrop>false</ScaleCrop>
  <LinksUpToDate>false</LinksUpToDate>
  <CharactersWithSpaces>5651</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2020-05-21T08:03:00Z</dcterms:created>
  <dc:creator>adminsys</dc:creator>
  <cp:lastModifiedBy>mnb</cp:lastModifiedBy>
  <cp:lastPrinted>2019-04-23T16:59:00Z</cp:lastPrinted>
  <dcterms:modified xsi:type="dcterms:W3CDTF">2026-09-24T01:42:23Z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157FEDBA51F44045833AE759FB2817F8_13</vt:lpwstr>
  </property>
</Properties>
</file>