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pPr>
        <w:pStyle w:val="Heading1"/>
      </w:pPr>
      <w:r>
        <w:t xml:space="preserve">Relazione di prova</w:t>
      </w:r>
    </w:p>
    <w:p>
      <w:r>
        <w:t xml:space="preserve">Un paragrafo di corpo con una nota.</w:t>
      </w:r>
      <w:r>
        <w:rPr>
          <w:rStyle w:val="FootnoteReference"/>
        </w:rPr>
        <w:footnoteReference w:id="1"/>
      </w:r>
    </w:p>
    <w:p>
      <w:pPr>
        <w:pStyle w:val="ListParagraph"/>
        <w:numPr>
          <w:ilvl w:val="0"/>
          <w:numId w:val="1"/>
        </w:numPr>
      </w:pPr>
      <w:r>
        <w:t>Prima voce</w:t>
      </w:r>
    </w:p>
    <w:p>
      <w:pPr>
        <w:pStyle w:val="ListParagraph"/>
        <w:numPr>
          <w:ilvl w:val="0"/>
          <w:numId w:val="1"/>
        </w:numPr>
      </w:pPr>
      <w:r>
        <w:t>Seconda voce</w:t>
      </w:r>
    </w:p>
    <w:tbl>
      <w:tblPr>
        <w:tblStyle w:val="TableNormal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gridSpan w:val="2"/>
          </w:tcPr>
          <w:p>
            <w:r>
              <w:t xml:space="preserve">Intestazione unita</w:t>
            </w:r>
          </w:p>
        </w:tc>
        <w:tc>
          <w:tcPr>
            <w:tcW w:w="3000" w:type="dxa"/>
          </w:tcPr>
          <w:p>
            <w:r>
              <w:t xml:space="preserve">Terza</w:t>
            </w:r>
          </w:p>
        </w:tc>
      </w:tr>
      <w:tr>
        <w:tc>
          <w:tcPr>
            <w:tcW w:w="3000" w:type="dxa"/>
            <w:vMerge w:val="restart"/>
          </w:tcPr>
          <w:p>
            <w:r>
              <w:t xml:space="preserve">Alta</w:t>
            </w:r>
          </w:p>
        </w:tc>
        <w:tc>
          <w:tcPr>
            <w:tcW w:w="3000" w:type="dxa"/>
          </w:tcPr>
          <w:p>
            <w:r>
              <w:t xml:space="preserve">Uno</w:t>
            </w:r>
          </w:p>
        </w:tc>
        <w:tc>
          <w:tcPr>
            <w:tcW w:w="3000" w:type="dxa"/>
          </w:tcPr>
          <w:p>
            <w:r>
              <w:t xml:space="preserve">Due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Tre</w:t>
            </w:r>
          </w:p>
        </w:tc>
        <w:tc>
          <w:tcPr>
            <w:tcW w:w="3000" w:type="dxa"/>
          </w:tcPr>
          <w:p>
            <w:r>
              <w:t xml:space="preserve">Quattro</w:t>
            </w:r>
          </w:p>
        </w:tc>
      </w:tr>
    </w:tbl>
    <w:p>
      <w:pPr>
        <w:sectPr>
          <w:headerReference w:type="default" r:id="rIdHeader"/>
          <w:pgSz w:w="11906" w:h="16838"/>
          <w:pgMar w:top="1417" w:right="1134" w:bottom="1134" w:left="1134" w:header="708" w:footer="708" w:gutter="0"/>
        </w:sectPr>
      </w:pPr>
      <w:r>
        <w:t>Fine della prima sezione.</w:t>
      </w:r>
    </w:p>
    <w:p>
      <w:pPr>
        <w:pStyle w:val="Heading2"/>
      </w:pPr>
      <w:r>
        <w:t xml:space="preserve">Una sezione orizzontale</w:t>
      </w:r>
    </w:p>
    <w:p>
      <w:r>
        <w:t xml:space="preserve">Il testo della seconda sezione.</w:t>
      </w:r>
    </w:p>
    <w:sectPr>
      <w:pgSz w:w="16838" w:h="11906" w:orient="landscape"/>
      <w:pgMar w:top="1134" w:right="1417" w:bottom="1134" w:left="1134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Il testo della nota.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footnotePr>
    <w:footnote w:id="-1"/>
    <w:footnote w:id="0"/>
  </w:footnotePr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Header" Type="http://schemas.openxmlformats.org/officeDocument/2006/relationships/header" Target="header1.xml"/><Relationship Id="rIdFootnotes" Type="http://schemas.openxmlformats.org/officeDocument/2006/relationships/footnotes" Target="footnotes.xml"/></Relationships>
</file>