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Pr="00EC2F5E" w:rsidRDefault="00EC2F5E" w:rsidP="00EC2F5E">
      <w:pPr>
        <w:jc w:val="both"/>
        <w:rPr>
          <w:rFonts w:ascii="Century" w:hAnsi="Century"/>
          <w:b/>
          <w:sz w:val="40"/>
          <w:szCs w:val="40"/>
        </w:rPr>
      </w:pPr>
      <w:r w:rsidRPr="00EC2F5E">
        <w:rPr>
          <w:rFonts w:ascii="Century" w:hAnsi="Century"/>
          <w:b/>
          <w:sz w:val="40"/>
          <w:szCs w:val="40"/>
        </w:rPr>
        <w:t>Estado del arte</w:t>
      </w:r>
    </w:p>
    <w:p w:rsidR="00EC2F5E" w:rsidRDefault="00EC2F5E" w:rsidP="00EC2F5E">
      <w:pPr>
        <w:jc w:val="both"/>
        <w:rPr>
          <w:rFonts w:ascii="Century" w:hAnsi="Century"/>
          <w:sz w:val="24"/>
          <w:szCs w:val="24"/>
        </w:rPr>
      </w:pPr>
      <w:r w:rsidRPr="00EC2F5E">
        <w:rPr>
          <w:rFonts w:ascii="Century" w:hAnsi="Century"/>
          <w:sz w:val="24"/>
          <w:szCs w:val="24"/>
        </w:rPr>
        <w:t>En este cap</w:t>
      </w:r>
      <w:r>
        <w:rPr>
          <w:rFonts w:ascii="Century" w:hAnsi="Century"/>
          <w:sz w:val="24"/>
          <w:szCs w:val="24"/>
        </w:rPr>
        <w:t>ítulo se presenta un estudio detallado de diversos trabajos realizados por varios autores relacionados con el uso de ultrasonido 2D y 3D y su implementación en aplicaciones de diagnóstico, monitoreo y tratamiento de tumores de mama.</w:t>
      </w:r>
    </w:p>
    <w:p w:rsidR="00EC2F5E" w:rsidRDefault="00EC2F5E" w:rsidP="00EC2F5E">
      <w:pPr>
        <w:tabs>
          <w:tab w:val="left" w:pos="851"/>
        </w:tabs>
        <w:jc w:val="both"/>
        <w:rPr>
          <w:rFonts w:ascii="Century" w:hAnsi="Century"/>
          <w:b/>
          <w:sz w:val="32"/>
          <w:szCs w:val="32"/>
        </w:rPr>
      </w:pPr>
      <w:r>
        <w:rPr>
          <w:rFonts w:ascii="Century" w:hAnsi="Century"/>
          <w:b/>
          <w:sz w:val="32"/>
          <w:szCs w:val="32"/>
        </w:rPr>
        <w:t>2.1    Ultrasonido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1. </w:t>
      </w:r>
    </w:p>
    <w:p w:rsidR="00EC2F5E" w:rsidRDefault="00EC2F5E" w:rsidP="00EC2F5E">
      <w:pPr>
        <w:jc w:val="center"/>
        <w:rPr>
          <w:rFonts w:ascii="Century" w:hAnsi="Century"/>
          <w:sz w:val="24"/>
          <w:szCs w:val="24"/>
        </w:rPr>
      </w:pPr>
      <w:r>
        <w:rPr>
          <w:rFonts w:ascii="Century" w:hAnsi="Century"/>
          <w:noProof/>
          <w:sz w:val="24"/>
          <w:szCs w:val="24"/>
          <w:lang w:val="en-US"/>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9">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Figura 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lastRenderedPageBreak/>
        <w:t xml:space="preserve">Reconstrucción del volumen.- Se utilizan las imágenes 2D adquiridas anteriormente, con su respectiva posición y orientación, para realizar el llenado de un arreglo regular de </w:t>
      </w:r>
      <w:proofErr w:type="spellStart"/>
      <w:r>
        <w:rPr>
          <w:rFonts w:ascii="Century" w:hAnsi="Century"/>
          <w:sz w:val="24"/>
          <w:szCs w:val="24"/>
        </w:rPr>
        <w:t>voxeles</w:t>
      </w:r>
      <w:proofErr w:type="spellEnd"/>
      <w:r>
        <w:rPr>
          <w:rFonts w:ascii="Century" w:hAnsi="Century"/>
          <w:sz w:val="24"/>
          <w:szCs w:val="24"/>
        </w:rPr>
        <w:t xml:space="preserve"> </w:t>
      </w:r>
      <w:r w:rsidR="001C11F6">
        <w:rPr>
          <w:rFonts w:ascii="Century" w:hAnsi="Century"/>
          <w:sz w:val="24"/>
          <w:szCs w:val="24"/>
        </w:rPr>
        <w:t xml:space="preserve">combinando la información de los pixeles de las imágenes para actualizar el valor de cada </w:t>
      </w:r>
      <w:proofErr w:type="spellStart"/>
      <w:r w:rsidR="001C11F6">
        <w:rPr>
          <w:rFonts w:ascii="Century" w:hAnsi="Century"/>
          <w:sz w:val="24"/>
          <w:szCs w:val="24"/>
        </w:rPr>
        <w:t>voxel</w:t>
      </w:r>
      <w:proofErr w:type="spellEnd"/>
      <w:r w:rsidR="001C11F6">
        <w:rPr>
          <w:rFonts w:ascii="Century" w:hAnsi="Century"/>
          <w:sz w:val="24"/>
          <w:szCs w:val="24"/>
        </w:rPr>
        <w:t xml:space="preserve">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 xml:space="preserve">Visualización.- Existen diferente técnicas de visualización de arreglos de </w:t>
      </w:r>
      <w:proofErr w:type="spellStart"/>
      <w:r>
        <w:rPr>
          <w:rFonts w:ascii="Century" w:hAnsi="Century"/>
          <w:sz w:val="24"/>
          <w:szCs w:val="24"/>
        </w:rPr>
        <w:t>voxeles</w:t>
      </w:r>
      <w:proofErr w:type="spellEnd"/>
      <w:r w:rsidR="00330BFC">
        <w:rPr>
          <w:rFonts w:ascii="Century" w:hAnsi="Century"/>
          <w:sz w:val="24"/>
          <w:szCs w:val="24"/>
        </w:rPr>
        <w:t xml:space="preserve"> usando técnicas de </w:t>
      </w:r>
      <w:proofErr w:type="spellStart"/>
      <w:r w:rsidR="00330BFC">
        <w:rPr>
          <w:rFonts w:ascii="Century" w:hAnsi="Century"/>
          <w:sz w:val="24"/>
          <w:szCs w:val="24"/>
        </w:rPr>
        <w:t>graficación</w:t>
      </w:r>
      <w:proofErr w:type="spellEnd"/>
      <w:r w:rsidR="00330BFC">
        <w:rPr>
          <w:rFonts w:ascii="Century" w:hAnsi="Century"/>
          <w:sz w:val="24"/>
          <w:szCs w:val="24"/>
        </w:rPr>
        <w:t xml:space="preserve"> computacional proyectando un set de datos multidimensional en una imagen 2D, incluyendo </w:t>
      </w:r>
      <w:proofErr w:type="spellStart"/>
      <w:r w:rsidR="00330BFC">
        <w:rPr>
          <w:rFonts w:ascii="Century" w:hAnsi="Century"/>
          <w:i/>
          <w:sz w:val="24"/>
          <w:szCs w:val="24"/>
        </w:rPr>
        <w:t>multiplanar</w:t>
      </w:r>
      <w:proofErr w:type="spellEnd"/>
      <w:r w:rsidR="00330BFC">
        <w:rPr>
          <w:rFonts w:ascii="Century" w:hAnsi="Century"/>
          <w:i/>
          <w:sz w:val="24"/>
          <w:szCs w:val="24"/>
        </w:rPr>
        <w:t xml:space="preserve"> </w:t>
      </w:r>
      <w:proofErr w:type="spellStart"/>
      <w:r w:rsidR="00330BFC">
        <w:rPr>
          <w:rFonts w:ascii="Century" w:hAnsi="Century"/>
          <w:i/>
          <w:sz w:val="24"/>
          <w:szCs w:val="24"/>
        </w:rPr>
        <w:t>slicing</w:t>
      </w:r>
      <w:proofErr w:type="spellEnd"/>
      <w:r w:rsidR="00330BFC">
        <w:rPr>
          <w:rFonts w:ascii="Century" w:hAnsi="Century"/>
          <w:sz w:val="24"/>
          <w:szCs w:val="24"/>
        </w:rPr>
        <w:t xml:space="preserve">, </w:t>
      </w:r>
      <w:proofErr w:type="spellStart"/>
      <w:r w:rsidR="00CF2AB3">
        <w:rPr>
          <w:rFonts w:ascii="Century" w:hAnsi="Century"/>
          <w:i/>
          <w:sz w:val="24"/>
          <w:szCs w:val="24"/>
        </w:rPr>
        <w:t>surface</w:t>
      </w:r>
      <w:proofErr w:type="spellEnd"/>
      <w:r w:rsidR="00CF2AB3">
        <w:rPr>
          <w:rFonts w:ascii="Century" w:hAnsi="Century"/>
          <w:i/>
          <w:sz w:val="24"/>
          <w:szCs w:val="24"/>
        </w:rPr>
        <w:t xml:space="preserve"> </w:t>
      </w:r>
      <w:proofErr w:type="spellStart"/>
      <w:r w:rsidR="00CF2AB3">
        <w:rPr>
          <w:rFonts w:ascii="Century" w:hAnsi="Century"/>
          <w:i/>
          <w:sz w:val="24"/>
          <w:szCs w:val="24"/>
        </w:rPr>
        <w:t>fitting</w:t>
      </w:r>
      <w:proofErr w:type="spellEnd"/>
      <w:r w:rsidR="00CF2AB3">
        <w:rPr>
          <w:rFonts w:ascii="Century" w:hAnsi="Century"/>
          <w:i/>
          <w:sz w:val="24"/>
          <w:szCs w:val="24"/>
        </w:rPr>
        <w:t xml:space="preserve"> </w:t>
      </w:r>
      <w:r w:rsidR="00CF2AB3">
        <w:rPr>
          <w:rFonts w:ascii="Century" w:hAnsi="Century"/>
          <w:sz w:val="24"/>
          <w:szCs w:val="24"/>
        </w:rPr>
        <w:t xml:space="preserve">y </w:t>
      </w:r>
      <w:proofErr w:type="spellStart"/>
      <w:r w:rsidR="00CF2AB3">
        <w:rPr>
          <w:rFonts w:ascii="Century" w:hAnsi="Century"/>
          <w:i/>
          <w:sz w:val="24"/>
          <w:szCs w:val="24"/>
        </w:rPr>
        <w:t>volume</w:t>
      </w:r>
      <w:proofErr w:type="spellEnd"/>
      <w:r w:rsidR="00CF2AB3">
        <w:rPr>
          <w:rFonts w:ascii="Century" w:hAnsi="Century"/>
          <w:i/>
          <w:sz w:val="24"/>
          <w:szCs w:val="24"/>
        </w:rPr>
        <w:t xml:space="preserve"> </w:t>
      </w:r>
      <w:proofErr w:type="spellStart"/>
      <w:r w:rsidR="00CF2AB3">
        <w:rPr>
          <w:rFonts w:ascii="Century" w:hAnsi="Century"/>
          <w:i/>
          <w:sz w:val="24"/>
          <w:szCs w:val="24"/>
        </w:rPr>
        <w:t>rendering</w:t>
      </w:r>
      <w:proofErr w:type="spellEnd"/>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CF2AB3" w:rsidRDefault="000D078E" w:rsidP="00CF2AB3">
      <w:pPr>
        <w:jc w:val="both"/>
        <w:rPr>
          <w:rFonts w:ascii="Century" w:hAnsi="Century"/>
          <w:sz w:val="24"/>
          <w:szCs w:val="24"/>
        </w:rPr>
      </w:pPr>
      <w:r>
        <w:rPr>
          <w:rFonts w:ascii="Century" w:hAnsi="Century"/>
          <w:i/>
          <w:sz w:val="24"/>
          <w:szCs w:val="24"/>
        </w:rPr>
        <w:t>2.1.1 Rastreo y c</w:t>
      </w:r>
      <w:r w:rsidR="00CF2AB3">
        <w:rPr>
          <w:rFonts w:ascii="Century" w:hAnsi="Century"/>
          <w:i/>
          <w:sz w:val="24"/>
          <w:szCs w:val="24"/>
        </w:rPr>
        <w:t>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w:t>
      </w:r>
      <w:proofErr w:type="spellStart"/>
      <w:r>
        <w:rPr>
          <w:rFonts w:ascii="Century" w:hAnsi="Century"/>
          <w:i/>
          <w:sz w:val="24"/>
          <w:szCs w:val="24"/>
        </w:rPr>
        <w:t>flight</w:t>
      </w:r>
      <w:proofErr w:type="spellEnd"/>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exacta para estas aplicaciones cuando existe una línea de vista entre los marcadores y las cámaras; por otro lado al no hacer uso de campos magnéticos </w:t>
      </w:r>
      <w:r>
        <w:rPr>
          <w:rFonts w:ascii="Century" w:hAnsi="Century"/>
          <w:sz w:val="24"/>
          <w:szCs w:val="24"/>
        </w:rPr>
        <w:lastRenderedPageBreak/>
        <w:t xml:space="preserve">para la determinación de los datos, esto significa que no existe ninguna deformación de los datos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realizar un volumen de ultrasonido es necesario conocer la posición y orientación de las imágenes 2D, sin embargo los rastreadores no proveen esta información, en cambio proveen la posición y orientación del sensor montado sobre la sonda. Par poder obtener esta información es necesario realizar un proceso de calibración, el cual permite encontrar una matriz de transformación rígida que relacione el sistema local de coordenadas de la imagen I con respecto al sistema del sensor S, como se muestra en la figura 2. </w:t>
      </w:r>
      <w:r w:rsidR="00AD7127">
        <w:rPr>
          <w:rFonts w:ascii="Century" w:hAnsi="Century"/>
          <w:sz w:val="24"/>
          <w:szCs w:val="24"/>
        </w:rPr>
        <w:t>Aunque</w:t>
      </w:r>
      <w:r>
        <w:rPr>
          <w:rFonts w:ascii="Century" w:hAnsi="Century"/>
          <w:sz w:val="24"/>
          <w:szCs w:val="24"/>
        </w:rPr>
        <w:t xml:space="preserve"> proceso se podría evitar si se tuviera la información de la construcción de la sonda, con las dimensiones y posición del arreglo de sensores dentro de esta, sin embargo esta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0D1DBB"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-sinβ</m:t>
                                    </m:r>
                                  </m:e>
                                </m:mr>
                                <m:mr>
                                  <m:e>
                                    <m:r>
                                      <w:rPr>
                                        <w:rFonts w:ascii="Cambria Math" w:hAnsi="Cambria Math"/>
                                        <w:sz w:val="20"/>
                                        <w:szCs w:val="20"/>
                                      </w:rPr>
                                      <m:t xml:space="preserve">                </m:t>
                                    </m:r>
                                    <m:r>
                                      <w:rPr>
                                        <w:rFonts w:ascii="Cambria Math" w:hAnsi="Cambria Math"/>
                                        <w:sz w:val="20"/>
                                        <w:szCs w:val="20"/>
                                      </w:rPr>
                                      <m:t xml:space="preserve">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m:t>
                                    </m:r>
                                    <m:r>
                                      <w:rPr>
                                        <w:rFonts w:ascii="Cambria Math" w:hAnsi="Cambria Math"/>
                                        <w:sz w:val="20"/>
                                        <w:szCs w:val="20"/>
                                      </w:rPr>
                                      <m:t>cosβ sinγ</m:t>
                                    </m:r>
                                  </m:e>
                                </m:mr>
                                <m:mr>
                                  <m:e>
                                    <m:r>
                                      <w:rPr>
                                        <w:rFonts w:ascii="Cambria Math" w:hAnsi="Cambria Math"/>
                                        <w:sz w:val="20"/>
                                        <w:szCs w:val="20"/>
                                      </w:rPr>
                                      <m:t xml:space="preserve">                                                 </m:t>
                                    </m:r>
                                    <m:r>
                                      <w:rPr>
                                        <w:rFonts w:ascii="Cambria Math" w:hAnsi="Cambria Math"/>
                                        <w:sz w:val="20"/>
                                        <w:szCs w:val="20"/>
                                      </w:rPr>
                                      <m:t>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m:t>
                                    </m:r>
                                    <m:r>
                                      <w:rPr>
                                        <w:rFonts w:ascii="Cambria Math" w:hAnsi="Cambria Math"/>
                                        <w:sz w:val="20"/>
                                        <w:szCs w:val="20"/>
                                      </w:rPr>
                                      <m:t>cosβ cosγ</m:t>
                                    </m:r>
                                  </m:e>
                                </m:mr>
                                <m:mr>
                                  <m:e>
                                    <m:r>
                                      <w:rPr>
                                        <w:rFonts w:ascii="Cambria Math" w:hAnsi="Cambria Math"/>
                                        <w:sz w:val="20"/>
                                        <w:szCs w:val="20"/>
                                      </w:rPr>
                                      <m:t xml:space="preserve">                                                   </m:t>
                                    </m:r>
                                    <m:r>
                                      <w:rPr>
                                        <w:rFonts w:ascii="Cambria Math" w:hAnsi="Cambria Math"/>
                                        <w:sz w:val="20"/>
                                        <w:szCs w:val="20"/>
                                      </w:rPr>
                                      <m:t>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0D078E" w:rsidRDefault="00C06C07" w:rsidP="000D078E">
      <w:pPr>
        <w:jc w:val="both"/>
        <w:rPr>
          <w:rFonts w:ascii="Century" w:eastAsiaTheme="minorEastAsia" w:hAnsi="Century"/>
          <w:sz w:val="24"/>
          <w:szCs w:val="24"/>
        </w:rPr>
      </w:pPr>
      <w:proofErr w:type="gramStart"/>
      <w:r>
        <w:rPr>
          <w:rFonts w:ascii="Century" w:hAnsi="Century"/>
          <w:sz w:val="24"/>
          <w:szCs w:val="24"/>
        </w:rPr>
        <w:t>donde</w:t>
      </w:r>
      <w:proofErr w:type="gramEnd"/>
      <w:r>
        <w:rPr>
          <w:rFonts w:ascii="Century" w:hAnsi="Century"/>
          <w:sz w:val="24"/>
          <w:szCs w:val="24"/>
        </w:rPr>
        <w:t xml:space="preserv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los sistemas locales I y S</w:t>
      </w:r>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xml:space="preserve">; </w:t>
      </w:r>
      <w:proofErr w:type="spellStart"/>
      <w:r>
        <w:rPr>
          <w:rFonts w:ascii="Century" w:eastAsiaTheme="minorEastAsia" w:hAnsi="Century"/>
          <w:sz w:val="24"/>
          <w:szCs w:val="24"/>
        </w:rPr>
        <w:t>Hsu</w:t>
      </w:r>
      <w:proofErr w:type="spellEnd"/>
      <w:r>
        <w:rPr>
          <w:rFonts w:ascii="Century" w:eastAsiaTheme="minorEastAsia" w:hAnsi="Century"/>
          <w:i/>
          <w:sz w:val="24"/>
          <w:szCs w:val="24"/>
        </w:rPr>
        <w:t xml:space="preserve"> et al</w:t>
      </w:r>
      <w:r>
        <w:rPr>
          <w:rFonts w:ascii="Century" w:eastAsiaTheme="minorEastAsia" w:hAnsi="Century"/>
          <w:sz w:val="24"/>
          <w:szCs w:val="24"/>
        </w:rPr>
        <w:t xml:space="preserve">. </w:t>
      </w:r>
      <w:proofErr w:type="gramStart"/>
      <w:r>
        <w:rPr>
          <w:rFonts w:ascii="Century" w:eastAsiaTheme="minorEastAsia" w:hAnsi="Century"/>
          <w:sz w:val="24"/>
          <w:szCs w:val="24"/>
        </w:rPr>
        <w:t>y</w:t>
      </w:r>
      <w:proofErr w:type="gramEnd"/>
      <w:r>
        <w:rPr>
          <w:rFonts w:ascii="Century" w:eastAsiaTheme="minorEastAsia" w:hAnsi="Century"/>
          <w:sz w:val="24"/>
          <w:szCs w:val="24"/>
        </w:rPr>
        <w:t xml:space="preserve"> </w:t>
      </w:r>
      <w:proofErr w:type="spellStart"/>
      <w:r>
        <w:rPr>
          <w:rFonts w:ascii="Century" w:eastAsiaTheme="minorEastAsia" w:hAnsi="Century"/>
          <w:sz w:val="24"/>
          <w:szCs w:val="24"/>
        </w:rPr>
        <w:t>Prager</w:t>
      </w:r>
      <w:proofErr w:type="spellEnd"/>
      <w:r>
        <w:rPr>
          <w:rFonts w:ascii="Century" w:eastAsiaTheme="minorEastAsia" w:hAnsi="Century"/>
          <w:i/>
          <w:sz w:val="24"/>
          <w:szCs w:val="24"/>
        </w:rPr>
        <w:t xml:space="preserve"> et al</w:t>
      </w:r>
      <w:r>
        <w:rPr>
          <w:rFonts w:ascii="Century" w:eastAsiaTheme="minorEastAsia" w:hAnsi="Century"/>
          <w:sz w:val="24"/>
          <w:szCs w:val="24"/>
        </w:rPr>
        <w:t xml:space="preserve">. realizaron una comparación de diversos métodos  de calibración 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Pr>
          <w:rFonts w:ascii="Century" w:eastAsiaTheme="minorEastAsia" w:hAnsi="Century"/>
          <w:sz w:val="24"/>
          <w:szCs w:val="24"/>
        </w:rPr>
        <w:t xml:space="preserve"> y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respectivamente. </w:t>
      </w:r>
      <w:r w:rsidR="00C677D5">
        <w:rPr>
          <w:rFonts w:ascii="Century" w:eastAsiaTheme="minorEastAsia" w:hAnsi="Century"/>
          <w:sz w:val="24"/>
          <w:szCs w:val="24"/>
        </w:rPr>
        <w:t>En estos trabajos se estudian siete diferentes métodos de calibración basados en montajes experimentales de diferentes fantasmas</w:t>
      </w:r>
      <w:r w:rsidR="009A4708">
        <w:rPr>
          <w:rFonts w:ascii="Century" w:eastAsiaTheme="minorEastAsia" w:hAnsi="Century"/>
          <w:sz w:val="24"/>
          <w:szCs w:val="24"/>
        </w:rPr>
        <w:t xml:space="preserve"> de dimensiones y propiedades físicas conocidas</w:t>
      </w:r>
      <w:r w:rsidR="00C677D5">
        <w:rPr>
          <w:rFonts w:ascii="Century" w:eastAsiaTheme="minorEastAsia" w:hAnsi="Century"/>
          <w:sz w:val="24"/>
          <w:szCs w:val="24"/>
        </w:rPr>
        <w:t xml:space="preserve">, en cada uno de estos métodos se hace un análisis de imágenes de ultrasonido para obtener una serie de ecuaciones no lineales que se deberán de resolver para obtener la estimación de los parámetros de calibración </w:t>
      </w:r>
      <m:oMath>
        <m:r>
          <w:rPr>
            <w:rFonts w:ascii="Cambria Math" w:eastAsiaTheme="minorEastAsia" w:hAnsi="Cambria Math"/>
            <w:sz w:val="24"/>
            <w:szCs w:val="24"/>
          </w:rPr>
          <m:t>α</m:t>
        </m:r>
      </m:oMath>
      <w:proofErr w:type="gramStart"/>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w:t>
      </w:r>
      <w:proofErr w:type="gramEnd"/>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 xml:space="preserve">Las principales diferencias entre estos métodos son el fantasma utilizado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los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de calibración de un solo punto, </w:t>
      </w:r>
      <w:r w:rsidR="000E5CB9">
        <w:rPr>
          <w:rFonts w:ascii="Century" w:eastAsiaTheme="minorEastAsia" w:hAnsi="Century"/>
          <w:sz w:val="24"/>
          <w:szCs w:val="24"/>
        </w:rPr>
        <w:lastRenderedPageBreak/>
        <w:t xml:space="preserve">ya que son los más óptimos debido a su fácil construcción y error pequeño de reconstrucción </w:t>
      </w:r>
      <w:r w:rsidR="0071411E">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 "properties" : { "noteIndex" : 0 }, "schema" : "https://github.com/citation-style-language/schema/raw/master/csl-citation.json" }</w:instrText>
      </w:r>
      <w:r w:rsidR="0071411E">
        <w:rPr>
          <w:rFonts w:ascii="Century" w:eastAsiaTheme="minorEastAsia" w:hAnsi="Century"/>
          <w:sz w:val="24"/>
          <w:szCs w:val="24"/>
        </w:rPr>
        <w:fldChar w:fldCharType="separate"/>
      </w:r>
      <w:r w:rsidR="0071411E" w:rsidRPr="0071411E">
        <w:rPr>
          <w:rFonts w:ascii="Century" w:eastAsiaTheme="minorEastAsia" w:hAnsi="Century"/>
          <w:noProof/>
          <w:sz w:val="24"/>
          <w:szCs w:val="24"/>
        </w:rPr>
        <w:t>[2]</w:t>
      </w:r>
      <w:r w:rsidR="0071411E">
        <w:rPr>
          <w:rFonts w:ascii="Century" w:eastAsiaTheme="minorEastAsia" w:hAnsi="Century"/>
          <w:sz w:val="24"/>
          <w:szCs w:val="24"/>
        </w:rPr>
        <w:fldChar w:fldCharType="end"/>
      </w:r>
      <w:r w:rsidR="0071411E">
        <w:rPr>
          <w:rFonts w:ascii="Century" w:eastAsiaTheme="minorEastAsia" w:hAnsi="Century"/>
          <w:sz w:val="24"/>
          <w:szCs w:val="24"/>
        </w:rPr>
        <w:t>; dentro de estos métodos destaca el método de hilos cruzados.</w:t>
      </w:r>
    </w:p>
    <w:p w:rsidR="0071411E" w:rsidRDefault="0071411E" w:rsidP="000D078E">
      <w:pPr>
        <w:jc w:val="both"/>
        <w:rPr>
          <w:rFonts w:ascii="Century" w:eastAsiaTheme="minorEastAsia" w:hAnsi="Century"/>
          <w:sz w:val="24"/>
          <w:szCs w:val="24"/>
        </w:rPr>
      </w:pPr>
      <w:bookmarkStart w:id="0" w:name="_GoBack"/>
      <w:bookmarkEnd w:id="0"/>
    </w:p>
    <w:p w:rsidR="003F5145" w:rsidRPr="0013618D" w:rsidRDefault="008B3EBA" w:rsidP="000D078E">
      <w:pPr>
        <w:jc w:val="both"/>
        <w:rPr>
          <w:rFonts w:ascii="Century" w:hAnsi="Century"/>
          <w:sz w:val="20"/>
          <w:szCs w:val="20"/>
        </w:rPr>
      </w:pPr>
      <w:r>
        <w:rPr>
          <w:rFonts w:ascii="Century" w:eastAsiaTheme="minorEastAsia" w:hAnsi="Century"/>
          <w:sz w:val="24"/>
          <w:szCs w:val="24"/>
        </w:rPr>
        <w:t xml:space="preserve"> </w:t>
      </w:r>
    </w:p>
    <w:sectPr w:rsidR="003F5145" w:rsidRPr="0013618D" w:rsidSect="00EC2F5E">
      <w:footerReference w:type="default" r:id="rId10"/>
      <w:pgSz w:w="12240" w:h="15840"/>
      <w:pgMar w:top="1417" w:right="1701" w:bottom="1417" w:left="1701" w:header="708" w:footer="708"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221" w:rsidRDefault="00E25221" w:rsidP="00EC2F5E">
      <w:pPr>
        <w:spacing w:after="0" w:line="240" w:lineRule="auto"/>
      </w:pPr>
      <w:r>
        <w:separator/>
      </w:r>
    </w:p>
  </w:endnote>
  <w:endnote w:type="continuationSeparator" w:id="0">
    <w:p w:rsidR="00E25221" w:rsidRDefault="00E25221"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830422"/>
      <w:docPartObj>
        <w:docPartGallery w:val="Page Numbers (Bottom of Page)"/>
        <w:docPartUnique/>
      </w:docPartObj>
    </w:sdtPr>
    <w:sdtEndPr/>
    <w:sdtContent>
      <w:p w:rsidR="00EC2F5E" w:rsidRDefault="00EC2F5E">
        <w:pPr>
          <w:pStyle w:val="Piedepgina"/>
          <w:jc w:val="center"/>
        </w:pPr>
        <w:r>
          <w:fldChar w:fldCharType="begin"/>
        </w:r>
        <w:r>
          <w:instrText>PAGE   \* MERGEFORMAT</w:instrText>
        </w:r>
        <w:r>
          <w:fldChar w:fldCharType="separate"/>
        </w:r>
        <w:r w:rsidR="0071411E" w:rsidRPr="0071411E">
          <w:rPr>
            <w:noProof/>
            <w:lang w:val="es-ES"/>
          </w:rPr>
          <w:t>16</w:t>
        </w:r>
        <w:r>
          <w:fldChar w:fldCharType="end"/>
        </w:r>
      </w:p>
    </w:sdtContent>
  </w:sdt>
  <w:p w:rsidR="00EC2F5E" w:rsidRDefault="00EC2F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221" w:rsidRDefault="00E25221" w:rsidP="00EC2F5E">
      <w:pPr>
        <w:spacing w:after="0" w:line="240" w:lineRule="auto"/>
      </w:pPr>
      <w:r>
        <w:separator/>
      </w:r>
    </w:p>
  </w:footnote>
  <w:footnote w:type="continuationSeparator" w:id="0">
    <w:p w:rsidR="00E25221" w:rsidRDefault="00E25221"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19C2"/>
    <w:rsid w:val="000D078E"/>
    <w:rsid w:val="000D1DBB"/>
    <w:rsid w:val="000E5CB9"/>
    <w:rsid w:val="000F4841"/>
    <w:rsid w:val="0013618D"/>
    <w:rsid w:val="001C11F6"/>
    <w:rsid w:val="00330BFC"/>
    <w:rsid w:val="003F5145"/>
    <w:rsid w:val="004543C4"/>
    <w:rsid w:val="004E3920"/>
    <w:rsid w:val="0071411E"/>
    <w:rsid w:val="00762DE1"/>
    <w:rsid w:val="007825F1"/>
    <w:rsid w:val="007A6E8A"/>
    <w:rsid w:val="008B3EBA"/>
    <w:rsid w:val="008D1DD0"/>
    <w:rsid w:val="009A4708"/>
    <w:rsid w:val="009B48E2"/>
    <w:rsid w:val="00A71801"/>
    <w:rsid w:val="00AD7127"/>
    <w:rsid w:val="00B604C8"/>
    <w:rsid w:val="00C06C07"/>
    <w:rsid w:val="00C677D5"/>
    <w:rsid w:val="00CF2AB3"/>
    <w:rsid w:val="00DE33AF"/>
    <w:rsid w:val="00E25221"/>
    <w:rsid w:val="00EC2F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D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D1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B0E"/>
    <w:rsid w:val="00462B0E"/>
    <w:rsid w:val="00F2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2B0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62B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B420-9A64-4E96-BB69-31E1A8C2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4</Pages>
  <Words>3654</Words>
  <Characters>20830</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2</cp:revision>
  <dcterms:created xsi:type="dcterms:W3CDTF">2015-07-28T17:19:00Z</dcterms:created>
  <dcterms:modified xsi:type="dcterms:W3CDTF">2015-07-29T23:20:00Z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