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 xml:space="preserve">active </w:t>
      </w:r>
      <w:proofErr w:type="spellStart"/>
      <w:r w:rsidR="00BC77F7">
        <w:rPr>
          <w:rFonts w:ascii="Century" w:hAnsi="Century"/>
          <w:i/>
          <w:sz w:val="24"/>
          <w:szCs w:val="24"/>
        </w:rPr>
        <w:t>shape</w:t>
      </w:r>
      <w:proofErr w:type="spellEnd"/>
      <w:r w:rsidR="00BC77F7">
        <w:rPr>
          <w:rFonts w:ascii="Century" w:hAnsi="Century"/>
          <w:i/>
          <w:sz w:val="24"/>
          <w:szCs w:val="24"/>
        </w:rPr>
        <w:t xml:space="preserve"> </w:t>
      </w:r>
      <w:proofErr w:type="spellStart"/>
      <w:r w:rsidR="00BC77F7">
        <w:rPr>
          <w:rFonts w:ascii="Century" w:hAnsi="Century"/>
          <w:i/>
          <w:sz w:val="24"/>
          <w:szCs w:val="24"/>
        </w:rPr>
        <w:t>models</w:t>
      </w:r>
      <w:proofErr w:type="spellEnd"/>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bookmarkStart w:id="0" w:name="_GoBack"/>
      <w:bookmarkEnd w:id="0"/>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F062D9">
        <w:rPr>
          <w:rFonts w:ascii="Century" w:hAnsi="Century"/>
          <w:sz w:val="24"/>
          <w:szCs w:val="24"/>
        </w:rPr>
        <w:t>anisotrópica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w:t>
      </w:r>
      <w:r w:rsidR="008A7DF6">
        <w:rPr>
          <w:rFonts w:ascii="Century" w:eastAsiaTheme="minorEastAsia" w:hAnsi="Century"/>
          <w:sz w:val="24"/>
          <w:szCs w:val="24"/>
        </w:rPr>
        <w:lastRenderedPageBreak/>
        <w:t xml:space="preserve">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w:t>
      </w:r>
      <w:r w:rsidR="002E312B">
        <w:rPr>
          <w:rFonts w:ascii="Century" w:eastAsiaTheme="minorEastAsia" w:hAnsi="Century"/>
          <w:sz w:val="24"/>
          <w:szCs w:val="24"/>
        </w:rPr>
        <w:lastRenderedPageBreak/>
        <w:t>probabilidad (</w:t>
      </w:r>
      <m:oMath>
        <m:r>
          <w:rPr>
            <w:rFonts w:ascii="Cambria Math" w:eastAsiaTheme="minorEastAsia" w:hAnsi="Cambria Math"/>
            <w:sz w:val="24"/>
            <w:szCs w:val="24"/>
          </w:rPr>
          <m:t>pdf</m:t>
        </m:r>
      </m:oMath>
      <w:r w:rsidR="002E312B">
        <w:rPr>
          <w:rFonts w:ascii="Century" w:eastAsiaTheme="minorEastAsia" w:hAnsi="Century"/>
          <w:sz w:val="24"/>
          <w:szCs w:val="24"/>
        </w:rPr>
        <w:t>) de in</w:t>
      </w:r>
      <w:proofErr w:type="spellStart"/>
      <w:r w:rsidR="002E312B">
        <w:rPr>
          <w:rFonts w:ascii="Century" w:eastAsiaTheme="minorEastAsia" w:hAnsi="Century"/>
          <w:sz w:val="24"/>
          <w:szCs w:val="24"/>
        </w:rPr>
        <w:t>tensidad</w:t>
      </w:r>
      <w:proofErr w:type="spellEnd"/>
      <w:r w:rsidR="002E312B">
        <w:rPr>
          <w:rFonts w:ascii="Century" w:eastAsiaTheme="minorEastAsia" w:hAnsi="Century"/>
          <w:sz w:val="24"/>
          <w:szCs w:val="24"/>
        </w:rPr>
        <w:t xml:space="preserve">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w:t>
      </w:r>
      <w:proofErr w:type="spellStart"/>
      <w:r w:rsidR="00573B81">
        <w:rPr>
          <w:rFonts w:ascii="Century" w:eastAsiaTheme="minorEastAsia" w:hAnsi="Century"/>
          <w:sz w:val="24"/>
          <w:szCs w:val="24"/>
        </w:rPr>
        <w:t>enecer</w:t>
      </w:r>
      <w:proofErr w:type="spellEnd"/>
      <w:r w:rsidR="00573B81">
        <w:rPr>
          <w:rFonts w:ascii="Century" w:eastAsiaTheme="minorEastAsia" w:hAnsi="Century"/>
          <w:sz w:val="24"/>
          <w:szCs w:val="24"/>
        </w:rPr>
        <w:t xml:space="preserve">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BC77F7"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w:t>
      </w:r>
      <w:r>
        <w:rPr>
          <w:rFonts w:ascii="Century" w:eastAsiaTheme="minorEastAsia" w:hAnsi="Century"/>
          <w:sz w:val="24"/>
          <w:szCs w:val="24"/>
        </w:rPr>
        <w:lastRenderedPageBreak/>
        <w:t xml:space="preserve">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w:t>
      </w:r>
      <w:r>
        <w:rPr>
          <w:rFonts w:ascii="Century" w:eastAsiaTheme="minorEastAsia" w:hAnsi="Century"/>
          <w:sz w:val="24"/>
          <w:szCs w:val="24"/>
        </w:rPr>
        <w:lastRenderedPageBreak/>
        <w:t xml:space="preserve">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C77F7"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C77F7"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se escanea la imagen horizontal y verticalmente para detectar dos puntos de borde en cada escaneo, encontrando las posiciones del primer y el ultimo  pixel con un valor diferente a  cero. Por otro lado también se encuentr</w:t>
      </w:r>
      <w:proofErr w:type="spellStart"/>
      <w:r>
        <w:rPr>
          <w:rFonts w:ascii="Century" w:eastAsiaTheme="minorEastAsia" w:hAnsi="Century"/>
          <w:sz w:val="24"/>
          <w:szCs w:val="24"/>
        </w:rPr>
        <w:t>an</w:t>
      </w:r>
      <w:proofErr w:type="spellEnd"/>
      <w:r>
        <w:rPr>
          <w:rFonts w:ascii="Century" w:eastAsiaTheme="minorEastAsia" w:hAnsi="Century"/>
          <w:sz w:val="24"/>
          <w:szCs w:val="24"/>
        </w:rPr>
        <w:t xml:space="preserve">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Este p</w:t>
      </w:r>
      <w:proofErr w:type="spellStart"/>
      <w:r>
        <w:rPr>
          <w:rFonts w:ascii="Century" w:eastAsiaTheme="minorEastAsia" w:hAnsi="Century"/>
          <w:sz w:val="24"/>
          <w:szCs w:val="24"/>
        </w:rPr>
        <w:t>rocedimiento</w:t>
      </w:r>
      <w:proofErr w:type="spellEnd"/>
      <w:r>
        <w:rPr>
          <w:rFonts w:ascii="Century" w:eastAsiaTheme="minorEastAsia" w:hAnsi="Century"/>
          <w:sz w:val="24"/>
          <w:szCs w:val="24"/>
        </w:rPr>
        <w:t xml:space="preserve">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w:t>
      </w:r>
      <w:r>
        <w:rPr>
          <w:rFonts w:ascii="Century" w:eastAsiaTheme="minorEastAsia" w:hAnsi="Century"/>
          <w:sz w:val="24"/>
          <w:szCs w:val="24"/>
        </w:rPr>
        <w:lastRenderedPageBreak/>
        <w:t>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C77F7"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C77F7"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proofErr w:type="spellStart"/>
      <w:r w:rsidR="00645AAD">
        <w:rPr>
          <w:rFonts w:ascii="Century" w:eastAsiaTheme="minorEastAsia" w:hAnsi="Century"/>
          <w:sz w:val="24"/>
          <w:szCs w:val="24"/>
        </w:rPr>
        <w:t>ntos</w:t>
      </w:r>
      <w:proofErr w:type="spellEnd"/>
      <w:r w:rsidR="00645AAD">
        <w:rPr>
          <w:rFonts w:ascii="Century" w:eastAsiaTheme="minorEastAsia" w:hAnsi="Century"/>
          <w:sz w:val="24"/>
          <w:szCs w:val="24"/>
        </w:rPr>
        <w:t xml:space="preserve">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w:t>
      </w:r>
      <w:proofErr w:type="spellStart"/>
      <w:r>
        <w:rPr>
          <w:rFonts w:ascii="Century" w:eastAsiaTheme="minorEastAsia" w:hAnsi="Century"/>
          <w:sz w:val="24"/>
          <w:szCs w:val="24"/>
        </w:rPr>
        <w:t>nden</w:t>
      </w:r>
      <w:proofErr w:type="spellEnd"/>
      <w:r>
        <w:rPr>
          <w:rFonts w:ascii="Century" w:eastAsiaTheme="minorEastAsia" w:hAnsi="Century"/>
          <w:sz w:val="24"/>
          <w:szCs w:val="24"/>
        </w:rPr>
        <w:t xml:space="preserve">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BC77F7"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BC77F7"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w:t>
      </w:r>
      <w:r>
        <w:rPr>
          <w:rFonts w:ascii="Century" w:eastAsiaTheme="minorEastAsia" w:hAnsi="Century"/>
          <w:sz w:val="24"/>
          <w:szCs w:val="24"/>
        </w:rPr>
        <w:lastRenderedPageBreak/>
        <w:t xml:space="preserve">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BC77F7"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BC77F7"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BC77F7"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w:t>
      </w:r>
      <w:proofErr w:type="spellStart"/>
      <w:r w:rsidR="00A33819">
        <w:rPr>
          <w:rFonts w:ascii="Century" w:eastAsiaTheme="minorEastAsia" w:hAnsi="Century"/>
          <w:sz w:val="24"/>
          <w:szCs w:val="24"/>
        </w:rPr>
        <w:t>Otsu</w:t>
      </w:r>
      <w:proofErr w:type="spellEnd"/>
      <w:r w:rsidR="00A33819">
        <w:rPr>
          <w:rFonts w:ascii="Century" w:eastAsiaTheme="minorEastAsia" w:hAnsi="Century"/>
          <w:sz w:val="24"/>
          <w:szCs w:val="24"/>
        </w:rPr>
        <w:t xml:space="preserve"> para encontrar el 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DC502F">
        <w:rPr>
          <w:rFonts w:ascii="Century" w:eastAsiaTheme="minorEastAsia" w:hAnsi="Century"/>
          <w:sz w:val="24"/>
          <w:szCs w:val="24"/>
        </w:rPr>
        <w:t xml:space="preserve">.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xml:space="preserve">; el cual clasifica los pixeles que se encuentran en la región de interés seleccionada en el proceso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BC77F7"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BC77F7"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BC77F7"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w:t>
      </w:r>
      <w:r w:rsidR="006739B6">
        <w:rPr>
          <w:rFonts w:ascii="Century" w:eastAsiaTheme="minorEastAsia" w:hAnsi="Century"/>
          <w:sz w:val="24"/>
          <w:szCs w:val="24"/>
        </w:rPr>
        <w:lastRenderedPageBreak/>
        <w:t xml:space="preserve">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BC77F7"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y la erosión,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w:t>
      </w:r>
      <w:r w:rsidR="001539BC">
        <w:rPr>
          <w:rFonts w:ascii="Century" w:eastAsiaTheme="minorEastAsia" w:hAnsi="Century"/>
          <w:sz w:val="24"/>
          <w:szCs w:val="24"/>
        </w:rPr>
        <w:lastRenderedPageBreak/>
        <w:t xml:space="preserve">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proofErr w:type="spellStart"/>
      <w:r w:rsidR="006A24CB">
        <w:rPr>
          <w:rFonts w:ascii="Century" w:eastAsiaTheme="minorEastAsia" w:hAnsi="Century"/>
          <w:i/>
          <w:sz w:val="24"/>
          <w:szCs w:val="24"/>
        </w:rPr>
        <w:t>marching</w:t>
      </w:r>
      <w:proofErr w:type="spellEnd"/>
      <w:r w:rsidR="006A24CB">
        <w:rPr>
          <w:rFonts w:ascii="Century" w:eastAsiaTheme="minorEastAsia" w:hAnsi="Century"/>
          <w:i/>
          <w:sz w:val="24"/>
          <w:szCs w:val="24"/>
        </w:rPr>
        <w:t xml:space="preserve">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Los métodos basados en la </w:t>
      </w:r>
      <w:proofErr w:type="spellStart"/>
      <w:r w:rsidR="00BA7206">
        <w:rPr>
          <w:rFonts w:ascii="Century" w:eastAsiaTheme="minorEastAsia" w:hAnsi="Century"/>
          <w:sz w:val="24"/>
          <w:szCs w:val="24"/>
        </w:rPr>
        <w:t>tetraedrización</w:t>
      </w:r>
      <w:proofErr w:type="spellEnd"/>
      <w:r w:rsidR="00BA7206">
        <w:rPr>
          <w:rFonts w:ascii="Century" w:eastAsiaTheme="minorEastAsia" w:hAnsi="Century"/>
          <w:sz w:val="24"/>
          <w:szCs w:val="24"/>
        </w:rPr>
        <w:t xml:space="preserve"> de </w:t>
      </w:r>
      <w:proofErr w:type="spellStart"/>
      <w:r w:rsidR="00BA7206">
        <w:rPr>
          <w:rFonts w:ascii="Century" w:eastAsiaTheme="minorEastAsia" w:hAnsi="Century"/>
          <w:sz w:val="24"/>
          <w:szCs w:val="24"/>
        </w:rPr>
        <w:t>Delaunay</w:t>
      </w:r>
      <w:proofErr w:type="spellEnd"/>
      <w:r w:rsidR="00BA7206">
        <w:rPr>
          <w:rFonts w:ascii="Century" w:eastAsiaTheme="minorEastAsia" w:hAnsi="Century"/>
          <w:sz w:val="24"/>
          <w:szCs w:val="24"/>
        </w:rPr>
        <w:t xml:space="preserve">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w:t>
      </w:r>
      <w:proofErr w:type="spellStart"/>
      <w:r>
        <w:rPr>
          <w:rFonts w:ascii="Century" w:eastAsiaTheme="minorEastAsia" w:hAnsi="Century"/>
          <w:sz w:val="24"/>
          <w:szCs w:val="24"/>
        </w:rPr>
        <w:t>simplicial</w:t>
      </w:r>
      <w:proofErr w:type="spellEnd"/>
      <w:r>
        <w:rPr>
          <w:rFonts w:ascii="Century" w:eastAsiaTheme="minorEastAsia" w:hAnsi="Century"/>
          <w:sz w:val="24"/>
          <w:szCs w:val="24"/>
        </w:rPr>
        <w:t xml:space="preserve">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proofErr w:type="spellStart"/>
      <w:r w:rsidR="00C31F72">
        <w:rPr>
          <w:rFonts w:ascii="Century" w:eastAsiaTheme="minorEastAsia" w:hAnsi="Century"/>
          <w:sz w:val="24"/>
          <w:szCs w:val="24"/>
        </w:rPr>
        <w:t>p</w:t>
      </w:r>
      <w:r>
        <w:rPr>
          <w:rFonts w:ascii="Century" w:eastAsiaTheme="minorEastAsia" w:hAnsi="Century"/>
          <w:sz w:val="24"/>
          <w:szCs w:val="24"/>
        </w:rPr>
        <w:t>acio</w:t>
      </w:r>
      <w:proofErr w:type="spellEnd"/>
      <w:r>
        <w:rPr>
          <w:rFonts w:ascii="Century" w:eastAsiaTheme="minorEastAsia" w:hAnsi="Century"/>
          <w:sz w:val="24"/>
          <w:szCs w:val="24"/>
        </w:rPr>
        <w:t xml:space="preserve">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w:t>
      </w:r>
      <w:proofErr w:type="spellStart"/>
      <w:r w:rsidR="00C8776A">
        <w:rPr>
          <w:rFonts w:ascii="Century" w:eastAsiaTheme="minorEastAsia" w:hAnsi="Century"/>
          <w:sz w:val="24"/>
          <w:szCs w:val="24"/>
        </w:rPr>
        <w:t>Delaunay</w:t>
      </w:r>
      <w:proofErr w:type="spellEnd"/>
      <w:r w:rsidR="00C8776A">
        <w:rPr>
          <w:rFonts w:ascii="Century" w:eastAsiaTheme="minorEastAsia" w:hAnsi="Century"/>
          <w:sz w:val="24"/>
          <w:szCs w:val="24"/>
        </w:rPr>
        <w:t xml:space="preserve">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w:t>
      </w:r>
      <w:r w:rsidR="0042051B">
        <w:rPr>
          <w:rFonts w:ascii="Century" w:eastAsiaTheme="minorEastAsia" w:hAnsi="Century"/>
          <w:sz w:val="24"/>
          <w:szCs w:val="24"/>
        </w:rPr>
        <w:lastRenderedPageBreak/>
        <w:t xml:space="preserve">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w:t>
      </w:r>
      <w:proofErr w:type="spellStart"/>
      <w:r w:rsidR="0042051B">
        <w:rPr>
          <w:rFonts w:ascii="Century" w:eastAsiaTheme="minorEastAsia" w:hAnsi="Century"/>
          <w:sz w:val="24"/>
          <w:szCs w:val="24"/>
        </w:rPr>
        <w:t>Delaunay</w:t>
      </w:r>
      <w:proofErr w:type="spellEnd"/>
      <w:r w:rsidR="0042051B">
        <w:rPr>
          <w:rFonts w:ascii="Century" w:eastAsiaTheme="minorEastAsia" w:hAnsi="Century"/>
          <w:sz w:val="24"/>
          <w:szCs w:val="24"/>
        </w:rPr>
        <w:t xml:space="preserve">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w:t>
      </w:r>
      <w:proofErr w:type="spellStart"/>
      <w:r w:rsidR="00BE6C19">
        <w:rPr>
          <w:rFonts w:ascii="Century" w:eastAsiaTheme="minorEastAsia" w:hAnsi="Century"/>
          <w:sz w:val="24"/>
          <w:szCs w:val="24"/>
        </w:rPr>
        <w:t>tetraedrización</w:t>
      </w:r>
      <w:proofErr w:type="spellEnd"/>
      <w:r w:rsidR="00BE6C19">
        <w:rPr>
          <w:rFonts w:ascii="Century" w:eastAsiaTheme="minorEastAsia" w:hAnsi="Century"/>
          <w:sz w:val="24"/>
          <w:szCs w:val="24"/>
        </w:rPr>
        <w:t xml:space="preserve"> de </w:t>
      </w:r>
      <w:proofErr w:type="spellStart"/>
      <w:r w:rsidR="00BE6C19">
        <w:rPr>
          <w:rFonts w:ascii="Century" w:eastAsiaTheme="minorEastAsia" w:hAnsi="Century"/>
          <w:sz w:val="24"/>
          <w:szCs w:val="24"/>
        </w:rPr>
        <w:t>Delaunay</w:t>
      </w:r>
      <w:proofErr w:type="spellEnd"/>
      <w:r w:rsidR="00BE6C19">
        <w:rPr>
          <w:rFonts w:ascii="Century" w:eastAsiaTheme="minorEastAsia" w:hAnsi="Century"/>
          <w:sz w:val="24"/>
          <w:szCs w:val="24"/>
        </w:rPr>
        <w:t xml:space="preserve">, tal es caso del algoritmo de </w:t>
      </w:r>
      <w:proofErr w:type="spellStart"/>
      <w:r w:rsidR="00BE6C19">
        <w:rPr>
          <w:rFonts w:ascii="Century" w:eastAsiaTheme="minorEastAsia" w:hAnsi="Century"/>
          <w:sz w:val="24"/>
          <w:szCs w:val="24"/>
        </w:rPr>
        <w:t>Bowyer</w:t>
      </w:r>
      <w:proofErr w:type="spellEnd"/>
      <w:r w:rsidR="00BE6C19">
        <w:rPr>
          <w:rFonts w:ascii="Century" w:eastAsiaTheme="minorEastAsia" w:hAnsi="Century"/>
          <w:sz w:val="24"/>
          <w:szCs w:val="24"/>
        </w:rPr>
        <w:t xml:space="preserve">-Watson,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proofErr w:type="spellStart"/>
      <w:r>
        <w:rPr>
          <w:rFonts w:ascii="Century" w:eastAsiaTheme="minorEastAsia" w:hAnsi="Century"/>
          <w:sz w:val="20"/>
          <w:szCs w:val="20"/>
        </w:rPr>
        <w:t>Fig</w:t>
      </w:r>
      <w:proofErr w:type="spellEnd"/>
      <w:r>
        <w:rPr>
          <w:rFonts w:ascii="Century" w:eastAsiaTheme="minorEastAsia" w:hAnsi="Century"/>
          <w:sz w:val="20"/>
          <w:szCs w:val="20"/>
        </w:rPr>
        <w:t xml:space="preserve"> 3.4 Triangulación de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a) no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b) si </w:t>
      </w:r>
      <w:proofErr w:type="spellStart"/>
      <w:r>
        <w:rPr>
          <w:rFonts w:ascii="Century" w:eastAsiaTheme="minorEastAsia" w:hAnsi="Century"/>
          <w:sz w:val="20"/>
          <w:szCs w:val="20"/>
        </w:rPr>
        <w:t>Delaunay</w:t>
      </w:r>
      <w:proofErr w:type="spellEnd"/>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w:t>
      </w:r>
      <w:proofErr w:type="spellStart"/>
      <w:r w:rsidR="00CA3710">
        <w:rPr>
          <w:rFonts w:ascii="Century" w:eastAsiaTheme="minorEastAsia" w:hAnsi="Century"/>
          <w:sz w:val="24"/>
          <w:szCs w:val="20"/>
        </w:rPr>
        <w:t>tetraedrización</w:t>
      </w:r>
      <w:proofErr w:type="spellEnd"/>
      <w:r w:rsidR="00CA3710">
        <w:rPr>
          <w:rFonts w:ascii="Century" w:eastAsiaTheme="minorEastAsia" w:hAnsi="Century"/>
          <w:sz w:val="24"/>
          <w:szCs w:val="20"/>
        </w:rPr>
        <w:t xml:space="preserve"> de </w:t>
      </w:r>
      <w:proofErr w:type="spellStart"/>
      <w:r w:rsidR="00CA3710">
        <w:rPr>
          <w:rFonts w:ascii="Century" w:eastAsiaTheme="minorEastAsia" w:hAnsi="Century"/>
          <w:sz w:val="24"/>
          <w:szCs w:val="20"/>
        </w:rPr>
        <w:t>Delaunay</w:t>
      </w:r>
      <w:proofErr w:type="spellEnd"/>
      <w:r w:rsidR="00CA3710">
        <w:rPr>
          <w:rFonts w:ascii="Century" w:eastAsiaTheme="minorEastAsia" w:hAnsi="Century"/>
          <w:sz w:val="24"/>
          <w:szCs w:val="20"/>
        </w:rPr>
        <w:t xml:space="preserve">. Tal es el caso del software </w:t>
      </w:r>
      <w:proofErr w:type="spellStart"/>
      <w:r w:rsidR="00CA3710">
        <w:rPr>
          <w:rFonts w:ascii="Century" w:eastAsiaTheme="minorEastAsia" w:hAnsi="Century"/>
          <w:sz w:val="24"/>
          <w:szCs w:val="20"/>
        </w:rPr>
        <w:t>TetGen</w:t>
      </w:r>
      <w:proofErr w:type="spellEnd"/>
      <w:r w:rsidR="00CA3710">
        <w:rPr>
          <w:rFonts w:ascii="Century" w:eastAsiaTheme="minorEastAsia" w:hAnsi="Century"/>
          <w:sz w:val="24"/>
          <w:szCs w:val="20"/>
        </w:rPr>
        <w:t xml:space="preserve">,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w:t>
      </w:r>
      <w:proofErr w:type="spellStart"/>
      <w:r w:rsidR="0073524B">
        <w:rPr>
          <w:rFonts w:ascii="Century" w:eastAsiaTheme="minorEastAsia" w:hAnsi="Century"/>
          <w:sz w:val="24"/>
          <w:szCs w:val="20"/>
        </w:rPr>
        <w:t>Delaunay</w:t>
      </w:r>
      <w:proofErr w:type="spellEnd"/>
      <w:r w:rsidR="0073524B">
        <w:rPr>
          <w:rFonts w:ascii="Century" w:eastAsiaTheme="minorEastAsia" w:hAnsi="Century"/>
          <w:sz w:val="24"/>
          <w:szCs w:val="20"/>
        </w:rPr>
        <w:t xml:space="preserve"> mediante los algoritmos implementados en la librería </w:t>
      </w:r>
      <w:proofErr w:type="spellStart"/>
      <w:r w:rsidR="0073524B">
        <w:rPr>
          <w:rFonts w:ascii="Century" w:eastAsiaTheme="minorEastAsia" w:hAnsi="Century"/>
          <w:sz w:val="24"/>
          <w:szCs w:val="20"/>
        </w:rPr>
        <w:t>TetGen</w:t>
      </w:r>
      <w:proofErr w:type="spellEnd"/>
      <w:r w:rsidR="0073524B">
        <w:rPr>
          <w:rFonts w:ascii="Century" w:eastAsiaTheme="minorEastAsia" w:hAnsi="Century"/>
          <w:sz w:val="24"/>
          <w:szCs w:val="20"/>
        </w:rPr>
        <w:t xml:space="preserve">.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w:t>
      </w:r>
      <w:r w:rsidRPr="001A1AC8">
        <w:rPr>
          <w:rFonts w:ascii="Century" w:hAnsi="Century" w:cs="Times New Roman"/>
          <w:noProof/>
          <w:sz w:val="18"/>
          <w:szCs w:val="24"/>
          <w:lang w:val="en-US"/>
        </w:rPr>
        <w:lastRenderedPageBreak/>
        <w:t xml:space="preserve">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 xml:space="preserve">Vis. Comput. Graph. </w:t>
      </w:r>
      <w:r w:rsidRPr="001A1AC8">
        <w:rPr>
          <w:rFonts w:ascii="Century" w:hAnsi="Century" w:cs="Times New Roman"/>
          <w:i/>
          <w:iCs/>
          <w:noProof/>
          <w:sz w:val="18"/>
          <w:szCs w:val="24"/>
          <w:lang w:val="en-US"/>
        </w:rPr>
        <w:lastRenderedPageBreak/>
        <w:t>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 xml:space="preserve">2007 IEEE Conference on Computer Vision and </w:t>
      </w:r>
      <w:r w:rsidRPr="001A1AC8">
        <w:rPr>
          <w:rFonts w:ascii="Century" w:hAnsi="Century" w:cs="Times New Roman"/>
          <w:i/>
          <w:iCs/>
          <w:noProof/>
          <w:sz w:val="18"/>
          <w:szCs w:val="24"/>
          <w:lang w:val="en-US"/>
        </w:rPr>
        <w:lastRenderedPageBreak/>
        <w:t>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1A1AC8">
      <w:footerReference w:type="default" r:id="rId12"/>
      <w:pgSz w:w="12240" w:h="15840"/>
      <w:pgMar w:top="1417" w:right="1701" w:bottom="1417" w:left="1701" w:header="708" w:footer="708"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709" w:rsidRDefault="00776709" w:rsidP="00696EC2">
      <w:pPr>
        <w:spacing w:after="0" w:line="240" w:lineRule="auto"/>
      </w:pPr>
      <w:r>
        <w:separator/>
      </w:r>
    </w:p>
  </w:endnote>
  <w:endnote w:type="continuationSeparator" w:id="0">
    <w:p w:rsidR="00776709" w:rsidRDefault="00776709"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Content>
      <w:p w:rsidR="00BC77F7" w:rsidRDefault="00BC77F7">
        <w:pPr>
          <w:pStyle w:val="Piedepgina"/>
          <w:jc w:val="center"/>
        </w:pPr>
        <w:r>
          <w:fldChar w:fldCharType="begin"/>
        </w:r>
        <w:r>
          <w:instrText>PAGE   \* MERGEFORMAT</w:instrText>
        </w:r>
        <w:r>
          <w:fldChar w:fldCharType="separate"/>
        </w:r>
        <w:r w:rsidR="00C35C81" w:rsidRPr="00C35C81">
          <w:rPr>
            <w:noProof/>
            <w:lang w:val="es-ES"/>
          </w:rPr>
          <w:t>47</w:t>
        </w:r>
        <w:r>
          <w:fldChar w:fldCharType="end"/>
        </w:r>
      </w:p>
    </w:sdtContent>
  </w:sdt>
  <w:p w:rsidR="00BC77F7" w:rsidRDefault="00BC77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709" w:rsidRDefault="00776709" w:rsidP="00696EC2">
      <w:pPr>
        <w:spacing w:after="0" w:line="240" w:lineRule="auto"/>
      </w:pPr>
      <w:r>
        <w:separator/>
      </w:r>
    </w:p>
  </w:footnote>
  <w:footnote w:type="continuationSeparator" w:id="0">
    <w:p w:rsidR="00776709" w:rsidRDefault="00776709"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A1AC8"/>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76709"/>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945C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23F5"/>
    <w:rsid w:val="00BA7206"/>
    <w:rsid w:val="00BC77F7"/>
    <w:rsid w:val="00BD2606"/>
    <w:rsid w:val="00BE0422"/>
    <w:rsid w:val="00BE6C19"/>
    <w:rsid w:val="00C00C28"/>
    <w:rsid w:val="00C05C0A"/>
    <w:rsid w:val="00C14ADE"/>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E9CA-A4C1-49C7-8044-D555263D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3773</TotalTime>
  <Pages>31</Pages>
  <Words>40804</Words>
  <Characters>224424</Characters>
  <Application>Microsoft Office Word</Application>
  <DocSecurity>0</DocSecurity>
  <Lines>1870</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53</cp:revision>
  <dcterms:created xsi:type="dcterms:W3CDTF">2015-08-19T17:11:00Z</dcterms:created>
  <dcterms:modified xsi:type="dcterms:W3CDTF">2015-12-09T21:37:00Z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