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533A69">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533A69">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533A69">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w:t>
      </w:r>
      <w:proofErr w:type="spellStart"/>
      <w:r>
        <w:rPr>
          <w:rFonts w:ascii="Century" w:eastAsiaTheme="minorEastAsia" w:hAnsi="Century"/>
          <w:sz w:val="24"/>
          <w:szCs w:val="24"/>
        </w:rPr>
        <w:t>Laplaciano</w:t>
      </w:r>
      <w:proofErr w:type="spellEnd"/>
      <w:r>
        <w:rPr>
          <w:rFonts w:ascii="Century" w:eastAsiaTheme="minorEastAsia" w:hAnsi="Century"/>
          <w:sz w:val="24"/>
          <w:szCs w:val="24"/>
        </w:rPr>
        <w:t xml:space="preserve">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533A69">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533A69">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4B142C">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533A69">
        <w:tc>
          <w:tcPr>
            <w:tcW w:w="8478" w:type="dxa"/>
            <w:vAlign w:val="center"/>
          </w:tcPr>
          <w:p w:rsidR="004B142C" w:rsidRPr="00FF669F" w:rsidRDefault="004B142C" w:rsidP="00533A69">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w:rPr>
                                <w:rFonts w:ascii="Cambria Math" w:eastAsiaTheme="minorEastAsia" w:hAnsi="Cambria Math"/>
                                <w:sz w:val="20"/>
                                <w:szCs w:val="20"/>
                              </w:rPr>
                              <m:t>∙</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533A69">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Mejora de Contraste</w:t>
      </w:r>
      <w:bookmarkStart w:id="0" w:name="_GoBack"/>
      <w:bookmarkEnd w:id="0"/>
    </w:p>
    <w:p w:rsidR="004B142C" w:rsidRDefault="004B142C" w:rsidP="00296BD8">
      <w:pPr>
        <w:tabs>
          <w:tab w:val="left" w:pos="851"/>
        </w:tabs>
        <w:jc w:val="both"/>
        <w:rPr>
          <w:rFonts w:ascii="Century" w:eastAsiaTheme="minorEastAsia" w:hAnsi="Century"/>
          <w:sz w:val="24"/>
          <w:szCs w:val="24"/>
        </w:rPr>
      </w:pPr>
    </w:p>
    <w:p w:rsidR="004B142C" w:rsidRPr="00296BD8" w:rsidRDefault="004B142C" w:rsidP="00296BD8">
      <w:pPr>
        <w:tabs>
          <w:tab w:val="left" w:pos="851"/>
        </w:tabs>
        <w:jc w:val="both"/>
        <w:rPr>
          <w:rFonts w:ascii="Century" w:hAnsi="Century"/>
          <w:sz w:val="24"/>
          <w:szCs w:val="24"/>
        </w:rPr>
      </w:pPr>
    </w:p>
    <w:sectPr w:rsidR="004B142C" w:rsidRPr="00296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970A6"/>
    <w:rsid w:val="00155A89"/>
    <w:rsid w:val="00296BD8"/>
    <w:rsid w:val="00322DA9"/>
    <w:rsid w:val="003D5A1E"/>
    <w:rsid w:val="004934BF"/>
    <w:rsid w:val="004B142C"/>
    <w:rsid w:val="004E3920"/>
    <w:rsid w:val="005769F5"/>
    <w:rsid w:val="005A0391"/>
    <w:rsid w:val="005C00A3"/>
    <w:rsid w:val="00630D98"/>
    <w:rsid w:val="006B66C4"/>
    <w:rsid w:val="006D0F96"/>
    <w:rsid w:val="00761B8B"/>
    <w:rsid w:val="00762DE1"/>
    <w:rsid w:val="007825F1"/>
    <w:rsid w:val="00786FB2"/>
    <w:rsid w:val="008D1DD0"/>
    <w:rsid w:val="009450A5"/>
    <w:rsid w:val="009F5849"/>
    <w:rsid w:val="00A46569"/>
    <w:rsid w:val="00B1546A"/>
    <w:rsid w:val="00B8050D"/>
    <w:rsid w:val="00C00C28"/>
    <w:rsid w:val="00C6709C"/>
    <w:rsid w:val="00D807EA"/>
    <w:rsid w:val="00DF2AE1"/>
    <w:rsid w:val="00E1762A"/>
    <w:rsid w:val="00F26074"/>
    <w:rsid w:val="00F82DEE"/>
    <w:rsid w:val="00FF0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42D1-1C14-4AEE-8FBB-A860ADCF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Pages>
  <Words>6419</Words>
  <Characters>36591</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6</cp:revision>
  <dcterms:created xsi:type="dcterms:W3CDTF">2015-08-19T17:11:00Z</dcterms:created>
  <dcterms:modified xsi:type="dcterms:W3CDTF">2015-09-07T21:08:00Z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