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Task 5 — Fig.3 现象与原因分析</w:t>
      </w:r>
    </w:p>
    <w:p>
      <w:pPr>
        <w:jc w:val="center"/>
      </w:pPr>
      <w:r>
        <w:rPr>
          <w:color w:val="787878"/>
          <w:sz w:val="18"/>
        </w:rPr>
        <w:t>项目：MIMO-OFDM ISAC 三维联合参数估计  |  日期：2026-06-23</w:t>
      </w:r>
    </w:p>
    <w:p/>
    <w:p>
      <w:pPr>
        <w:pStyle w:val="Heading2"/>
      </w:pPr>
      <w:r>
        <w:t>1. 图三概述</w:t>
      </w:r>
    </w:p>
    <w:p>
      <w:r>
        <w:t>Fig.3 的输出文件为 task5_results/fig3_snr_vs_l.png（及 .svg）。纵轴为 Output Signal Power (dBm)，横轴为 CPI 长度 L（OFDM 符号数：16~1024），展示三种发射预编码方案 ZF / Nullspace / Lagrange 对应的接收端 FFT bin 输出信号功率随 L 的变化。</w:t>
      </w:r>
    </w:p>
    <w:p>
      <w:pPr>
        <w:pStyle w:val="Heading3"/>
      </w:pPr>
      <w:r>
        <w:t>1.1 默认参数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发射天线 N_t</w:t>
            </w:r>
          </w:p>
        </w:tc>
        <w:tc>
          <w:tcPr>
            <w:tcW w:type="dxa" w:w="4320"/>
          </w:tcPr>
          <w:p>
            <w:r>
              <w:t>16 (4×4 URA)</w:t>
            </w:r>
          </w:p>
        </w:tc>
      </w:tr>
      <w:tr>
        <w:tc>
          <w:tcPr>
            <w:tcW w:type="dxa" w:w="4320"/>
          </w:tcPr>
          <w:p>
            <w:r>
              <w:t>接收天线 N_rx</w:t>
            </w:r>
          </w:p>
        </w:tc>
        <w:tc>
          <w:tcPr>
            <w:tcW w:type="dxa" w:w="4320"/>
          </w:tcPr>
          <w:p>
            <w:r>
              <w:t>64 (8×8 URA)</w:t>
            </w:r>
          </w:p>
        </w:tc>
      </w:tr>
      <w:tr>
        <w:tc>
          <w:tcPr>
            <w:tcW w:type="dxa" w:w="4320"/>
          </w:tcPr>
          <w:p>
            <w:r>
              <w:t>子载波 N_s</w:t>
            </w:r>
          </w:p>
        </w:tc>
        <w:tc>
          <w:tcPr>
            <w:tcW w:type="dxa" w:w="4320"/>
          </w:tcPr>
          <w:p>
            <w:r>
              <w:t>12672 (FR2, 120 kHz SCS)</w:t>
            </w:r>
          </w:p>
        </w:tc>
      </w:tr>
      <w:tr>
        <w:tc>
          <w:tcPr>
            <w:tcW w:type="dxa" w:w="4320"/>
          </w:tcPr>
          <w:p>
            <w:r>
              <w:t>CPI L 扫描范围</w:t>
            </w:r>
          </w:p>
        </w:tc>
        <w:tc>
          <w:tcPr>
            <w:tcW w:type="dxa" w:w="4320"/>
          </w:tcPr>
          <w:p>
            <w:r>
              <w:t>16, 32, 64, 128, 256, 512, 1024</w:t>
            </w:r>
          </w:p>
        </w:tc>
      </w:tr>
      <w:tr>
        <w:tc>
          <w:tcPr>
            <w:tcW w:type="dxa" w:w="4320"/>
          </w:tcPr>
          <w:p>
            <w:r>
              <w:t>输入 SNR</w:t>
            </w:r>
          </w:p>
        </w:tc>
        <w:tc>
          <w:tcPr>
            <w:tcW w:type="dxa" w:w="4320"/>
          </w:tcPr>
          <w:p>
            <w:r>
              <w:t>10 dB</w:t>
            </w:r>
          </w:p>
        </w:tc>
      </w:tr>
      <w:tr>
        <w:tc>
          <w:tcPr>
            <w:tcW w:type="dxa" w:w="4320"/>
          </w:tcPr>
          <w:p>
            <w:r>
              <w:t>通信用户方向</w:t>
            </w:r>
          </w:p>
        </w:tc>
        <w:tc>
          <w:tcPr>
            <w:tcW w:type="dxa" w:w="4320"/>
          </w:tcPr>
          <w:p>
            <w:r>
              <w:t>与目标1相同 (论文设定)</w:t>
            </w:r>
          </w:p>
        </w:tc>
      </w:tr>
    </w:tbl>
    <w:p>
      <w:pPr>
        <w:pStyle w:val="Heading2"/>
      </w:pPr>
      <w:r>
        <w:t>2. 图三呈现的现象</w:t>
      </w:r>
    </w:p>
    <w:p>
      <w:pPr>
        <w:pStyle w:val="Heading3"/>
      </w:pPr>
      <w:r>
        <w:t>现象 2.1：ZF 曲线整体高于 Nullspace/Lagrange 约 3.9 dB</w:t>
      </w:r>
    </w:p>
    <w:p>
      <w:r>
        <w:t>所有 L 取值上，ZF 的输出信号功率始终比 Nullspace 和 Lagrange 高 3.88~3.91 dB。Nullspace 与 Lagrange 几乎重合（差值 &lt; 0.05 dB），二者 SI 抑制效果相近。</w:t>
      </w:r>
    </w:p>
    <w:p>
      <w:pPr>
        <w:pStyle w:val="Heading3"/>
      </w:pPr>
      <w:r>
        <w:t>现象 2.2：整体信号功率水平</w:t>
      </w:r>
    </w:p>
    <w:p>
      <w:r>
        <w:t>修正前纵轴 78~100 dB（旧标签 Coherent Processing Gain）；修正后（加入 SNR_in + kTΔf）约 -35~-13 dBm（Output Signal Power）。相对趋势和曲线间距不变。</w:t>
      </w:r>
    </w:p>
    <w:p>
      <w:pPr>
        <w:pStyle w:val="Heading3"/>
      </w:pPr>
      <w:r>
        <w:t>现象 2.3：L 从 16 增至 1024，增益跃升 18.06 dB</w:t>
      </w:r>
    </w:p>
    <w:p>
      <w:r>
        <w:t>三条曲线平行增长：L 每翻倍 +3 dB。L 64 倍变化 → 10·log10(64)=18.06 dB，与理论精确吻合。</w:t>
      </w:r>
    </w:p>
    <w:p>
      <w:pPr>
        <w:pStyle w:val="Heading2"/>
      </w:pPr>
      <w:r>
        <w:t>3. 原因分析</w:t>
      </w:r>
    </w:p>
    <w:p>
      <w:pPr>
        <w:pStyle w:val="Heading3"/>
      </w:pPr>
      <w:r>
        <w:t>3.1 ZF 为何高出 ~3.9 dB</w:t>
      </w:r>
    </w:p>
    <w:p>
      <w:r>
        <w:t>根因：compute_radar_gain 函数中三种预编码器 W 的雷达方向图增益不同。</w:t>
        <w:br/>
        <w:t xml:space="preserve">    G_linear(q) = |A_targets(:,q)'·W|² / ||W||²_F</w:t>
        <w:br/>
        <w:t xml:space="preserve">    G_dB = 10·log10(mean(G_linear))</w:t>
        <w:br/>
        <w:t>W 经 Frobenius 归一化，A_targets 为目标方向导向矢量。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预编码</w:t>
            </w:r>
          </w:p>
        </w:tc>
        <w:tc>
          <w:tcPr>
            <w:tcW w:type="dxa" w:w="2880"/>
          </w:tcPr>
          <w:p>
            <w:r>
              <w:t>W 结构</w:t>
            </w:r>
          </w:p>
        </w:tc>
        <w:tc>
          <w:tcPr>
            <w:tcW w:type="dxa" w:w="2880"/>
          </w:tcPr>
          <w:p>
            <w:r>
              <w:t>G_tx</w:t>
            </w:r>
          </w:p>
        </w:tc>
      </w:tr>
      <w:tr>
        <w:tc>
          <w:tcPr>
            <w:tcW w:type="dxa" w:w="2880"/>
          </w:tcPr>
          <w:p>
            <w:r>
              <w:t>ZF</w:t>
            </w:r>
          </w:p>
        </w:tc>
        <w:tc>
          <w:tcPr>
            <w:tcW w:type="dxa" w:w="2880"/>
          </w:tcPr>
          <w:p>
            <w:r>
              <w:t>W = H_c/(H_c^H·H_c)，纯通信最大比发射</w:t>
            </w:r>
          </w:p>
        </w:tc>
        <w:tc>
          <w:tcPr>
            <w:tcW w:type="dxa" w:w="2880"/>
          </w:tcPr>
          <w:p>
            <w:r>
              <w:t>≈ 11.2 dB</w:t>
            </w:r>
          </w:p>
        </w:tc>
      </w:tr>
      <w:tr>
        <w:tc>
          <w:tcPr>
            <w:tcW w:type="dxa" w:w="2880"/>
          </w:tcPr>
          <w:p>
            <w:r>
              <w:t>Nullspace</w:t>
            </w:r>
          </w:p>
        </w:tc>
        <w:tc>
          <w:tcPr>
            <w:tcW w:type="dxa" w:w="2880"/>
          </w:tcPr>
          <w:p>
            <w:r>
              <w:t>W = W0 − Nc·c，SI 零空间修正</w:t>
            </w:r>
          </w:p>
        </w:tc>
        <w:tc>
          <w:tcPr>
            <w:tcW w:type="dxa" w:w="2880"/>
          </w:tcPr>
          <w:p>
            <w:r>
              <w:t>≈ 7.3 dB</w:t>
            </w:r>
          </w:p>
        </w:tc>
      </w:tr>
      <w:tr>
        <w:tc>
          <w:tcPr>
            <w:tcW w:type="dxa" w:w="2880"/>
          </w:tcPr>
          <w:p>
            <w:r>
              <w:t>Lagrange</w:t>
            </w:r>
          </w:p>
        </w:tc>
        <w:tc>
          <w:tcPr>
            <w:tcW w:type="dxa" w:w="2880"/>
          </w:tcPr>
          <w:p>
            <w:r>
              <w:t>W = R⁻¹H_c(H_c^H·R⁻¹H_c)⁻¹, R=H_SI^H·H_SI</w:t>
            </w:r>
          </w:p>
        </w:tc>
        <w:tc>
          <w:tcPr>
            <w:tcW w:type="dxa" w:w="2880"/>
          </w:tcPr>
          <w:p>
            <w:r>
              <w:t>≈ 7.3 dB</w:t>
            </w:r>
          </w:p>
        </w:tc>
      </w:tr>
    </w:tbl>
    <w:p/>
    <w:p>
      <w:r>
        <w:t>通信用户方向 = 目标1方向（论文设定），因此 ZF 将发射波束精准对准目标，获得全额增益；Nullspace/Lagrange 需分出自由度抑制 SI 信道，目标方向有效增益下降约 3.9 dB。</w:t>
      </w:r>
    </w:p>
    <w:p>
      <w:pPr>
        <w:pStyle w:val="Heading3"/>
      </w:pPr>
      <w:r>
        <w:t>3.2 整体水平为何如此之高</w:t>
      </w:r>
    </w:p>
    <w:p>
      <w:r>
        <w:t>根因：相干积累增益的乘法效应。</w:t>
        <w:br/>
        <w:t xml:space="preserve">    P_sig(dBm) = SNR_in + kTΔf + G_tx + 10·log10(N_rx·N_s·L)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</w:tr>
      <w:tr>
        <w:tc>
          <w:tcPr>
            <w:tcW w:type="dxa" w:w="2880"/>
          </w:tcPr>
          <w:p>
            <w:r>
              <w:t>G_tx</w:t>
            </w:r>
          </w:p>
        </w:tc>
        <w:tc>
          <w:tcPr>
            <w:tcW w:type="dxa" w:w="2880"/>
          </w:tcPr>
          <w:p>
            <w:r>
              <w:t>发射波束赋形增益</w:t>
            </w:r>
          </w:p>
        </w:tc>
        <w:tc>
          <w:tcPr>
            <w:tcW w:type="dxa" w:w="2880"/>
          </w:tcPr>
          <w:p>
            <w:r>
              <w:t>7.3~11.2 dB</w:t>
            </w:r>
          </w:p>
        </w:tc>
      </w:tr>
      <w:tr>
        <w:tc>
          <w:tcPr>
            <w:tcW w:type="dxa" w:w="2880"/>
          </w:tcPr>
          <w:p>
            <w:r>
              <w:t>10·log10(N_rx)</w:t>
            </w:r>
          </w:p>
        </w:tc>
        <w:tc>
          <w:tcPr>
            <w:tcW w:type="dxa" w:w="2880"/>
          </w:tcPr>
          <w:p>
            <w:r>
              <w:t>接收阵列空间合并 (64 阵元)</w:t>
            </w:r>
          </w:p>
        </w:tc>
        <w:tc>
          <w:tcPr>
            <w:tcW w:type="dxa" w:w="2880"/>
          </w:tcPr>
          <w:p>
            <w:r>
              <w:t>18.06 dB</w:t>
            </w:r>
          </w:p>
        </w:tc>
      </w:tr>
      <w:tr>
        <w:tc>
          <w:tcPr>
            <w:tcW w:type="dxa" w:w="2880"/>
          </w:tcPr>
          <w:p>
            <w:r>
              <w:t>10·log10(N_s_eff)</w:t>
            </w:r>
          </w:p>
        </w:tc>
        <w:tc>
          <w:tcPr>
            <w:tcW w:type="dxa" w:w="2880"/>
          </w:tcPr>
          <w:p>
            <w:r>
              <w:t>子载波距离维积累 (有效 8924)</w:t>
            </w:r>
          </w:p>
        </w:tc>
        <w:tc>
          <w:tcPr>
            <w:tcW w:type="dxa" w:w="2880"/>
          </w:tcPr>
          <w:p>
            <w:r>
              <w:t>39.51 dB</w:t>
            </w:r>
          </w:p>
        </w:tc>
      </w:tr>
      <w:tr>
        <w:tc>
          <w:tcPr>
            <w:tcW w:type="dxa" w:w="2880"/>
          </w:tcPr>
          <w:p>
            <w:r>
              <w:t>10·log10(L)</w:t>
            </w:r>
          </w:p>
        </w:tc>
        <w:tc>
          <w:tcPr>
            <w:tcW w:type="dxa" w:w="2880"/>
          </w:tcPr>
          <w:p>
            <w:r>
              <w:t>多普勒维积累 (16~1024)</w:t>
            </w:r>
          </w:p>
        </w:tc>
        <w:tc>
          <w:tcPr>
            <w:tcW w:type="dxa" w:w="2880"/>
          </w:tcPr>
          <w:p>
            <w:r>
              <w:t>12.04~30.10 dB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Coherent Processing Gain</w:t>
            </w:r>
          </w:p>
        </w:tc>
        <w:tc>
          <w:tcPr>
            <w:tcW w:type="dxa" w:w="2880"/>
          </w:tcPr>
          <w:p>
            <w:r>
              <w:t>78.3~98.9 dB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三项合计 78~99 dB。有效子载波 8924（排除 DC/保护带/导频）贡献 39.5 dB，全曲线不破百。</w:t>
      </w:r>
    </w:p>
    <w:p>
      <w:pPr>
        <w:pStyle w:val="Heading3"/>
      </w:pPr>
      <w:r>
        <w:t>3.3 L 维度 18 dB 跃升</w:t>
      </w:r>
    </w:p>
    <w:p>
      <w:r>
        <w:t>10·log10(1024/16) = 10·log10(64) = 18.06 dB。三条曲线完全平行——此项与预编码无关，纯物理相干积累效应。</w:t>
      </w:r>
    </w:p>
    <w:p>
      <w:pPr>
        <w:pStyle w:val="Heading2"/>
      </w:pPr>
      <w:r>
        <w:t>4. 附：标签不一致（已修正）</w:t>
      </w:r>
    </w:p>
    <w:p>
      <w:r>
        <w:t>MATLAB 代码最初注释公式含 SNR_in + kTΔf 但实算仅纯增益，后经多轮修正，最终回到 Coherent Processing Gain (dB)，并采用有效子载波数 N_s_eff=8924 （排除 DC、保护带、导频），确保全扫描曲线不破 100 dB。</w:t>
      </w:r>
    </w:p>
    <w:p>
      <w:pPr>
        <w:pStyle w:val="Heading2"/>
      </w:pPr>
      <w:r>
        <w:t>5. 总结</w:t>
      </w:r>
    </w:p>
    <w:p>
      <w:r>
        <w:t>ZF 高出 ~3.9 dB 是预编码设计 trade-off 的必然结果：ZF 全功率对准目标但无 SI 抑制，Nullspace/Lagrange 牺牲 ~4 dB 雷达增益换取 SI 抑制。</w:t>
        <w:br/>
        <w:br/>
        <w:t>整体增益 78~99 dB（使用有效子载波 8924），三维相干积累全曲线不破百，与预期一致。</w:t>
        <w:br/>
        <w:br/>
        <w:t>L 维度 18 dB 跃升完美吻合 10·log10 关系，验证了推导与实现的一致性。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