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AD99DF8">
      <w:pPr>
        <w:keepNext/>
        <w:adjustRightInd w:val="false"/>
        <w:spacing w:before="624" w:beforeLines="200" w:after="312" w:afterLines="100" w:lineRule="exact" w:line="400"/>
        <w:jc w:val="center"/>
        <w:outlineLvl w:val="0"/>
        <w:rPr/>
      </w:pPr>
      <w:bookmarkStart w:id="0" w:name="_GoBack"/>
      <w:bookmarkStart w:id="1" w:name="_Toc225096996"/>
      <w:bookmarkStart w:id="2" w:name="_Toc10631"/>
      <w:bookmarkEnd w:id="0"/>
      <w:r>
        <w:rPr>
          <w:rFonts w:ascii="Arial" w:cs="Arial" w:eastAsia="黑体" w:hAnsi="Arial" w:hint="default"/>
          <w:b w:val="false"/>
          <w:bCs w:val="false"/>
          <w:i w:val="false"/>
          <w:iCs w:val="false"/>
          <w:color w:val="auto"/>
          <w:kern w:val="2"/>
          <w:sz w:val="32"/>
          <w:szCs w:val="32"/>
          <w:highlight w:val="none"/>
          <w:vertAlign w:val="baseline"/>
          <w:em w:val="none"/>
          <w:lang w:val="en-US" w:eastAsia="zh-CN"/>
        </w:rPr>
        <w:t>第五章</w:t>
      </w:r>
      <w:r>
        <w:rPr>
          <w:rFonts w:ascii="Arial" w:cs="Arial" w:eastAsia="黑体" w:hAnsi="Arial" w:hint="default"/>
          <w:b w:val="false"/>
          <w:bCs w:val="false"/>
          <w:i w:val="false"/>
          <w:iCs w:val="false"/>
          <w:color w:val="auto"/>
          <w:kern w:val="2"/>
          <w:sz w:val="32"/>
          <w:szCs w:val="32"/>
          <w:highlight w:val="none"/>
          <w:vertAlign w:val="baseline"/>
          <w:em w:val="none"/>
          <w:lang w:val="en-US" w:eastAsia="zh-CN"/>
        </w:rPr>
        <w:t xml:space="preserve"> </w:t>
      </w:r>
      <w:r>
        <w:rPr>
          <w:rFonts w:ascii="Arial" w:cs="Arial" w:eastAsia="黑体" w:hAnsi="Arial" w:hint="default"/>
          <w:b w:val="false"/>
          <w:bCs w:val="false"/>
          <w:i w:val="false"/>
          <w:iCs w:val="false"/>
          <w:color w:val="auto"/>
          <w:kern w:val="2"/>
          <w:sz w:val="32"/>
          <w:szCs w:val="32"/>
          <w:highlight w:val="none"/>
          <w:vertAlign w:val="baseline"/>
          <w:em w:val="none"/>
          <w:lang w:val="en-US" w:eastAsia="zh-CN"/>
        </w:rPr>
        <w:t>不同侵蚀程度下土壤有机碳碳库恢复能力评估与管理情景模拟</w:t>
      </w:r>
      <w:bookmarkEnd w:id="1"/>
      <w:bookmarkEnd w:id="2"/>
    </w:p>
    <w:bookmarkStart w:id="3" w:name="_Toc225096997"/>
    <w:bookmarkStart w:id="4" w:name="_Toc9701"/>
    <w:p w14:paraId="4819D360">
      <w:pPr>
        <w:keepNext/>
        <w:adjustRightInd w:val="false"/>
        <w:spacing w:before="312" w:beforeLines="100" w:after="156" w:afterLines="50" w:lineRule="exact" w:line="400"/>
        <w:jc w:val="left"/>
        <w:outlineLvl w:val="1"/>
        <w:rPr/>
      </w:pPr>
      <w:r>
        <w:rPr>
          <w:rFonts w:ascii="黑体" w:cs="黑体" w:eastAsia="黑体" w:hAnsi="黑体" w:hint="default"/>
          <w:b w:val="false"/>
          <w:bCs w:val="false"/>
          <w:i w:val="false"/>
          <w:iCs w:val="false"/>
          <w:color w:val="auto"/>
          <w:kern w:val="2"/>
          <w:sz w:val="30"/>
          <w:szCs w:val="30"/>
          <w:highlight w:val="none"/>
          <w:vertAlign w:val="baseline"/>
          <w:em w:val="none"/>
          <w:lang w:val="en-US" w:eastAsia="zh-CN"/>
        </w:rPr>
        <w:t>5.1</w:t>
      </w:r>
      <w:bookmarkEnd w:id="3"/>
      <w:bookmarkEnd w:id="4"/>
      <w:r>
        <w:rPr>
          <w:rFonts w:ascii="黑体" w:cs="黑体" w:eastAsia="黑体" w:hAnsi="黑体" w:hint="default"/>
          <w:b w:val="false"/>
          <w:bCs w:val="false"/>
          <w:i w:val="false"/>
          <w:iCs w:val="false"/>
          <w:color w:val="auto"/>
          <w:kern w:val="2"/>
          <w:sz w:val="30"/>
          <w:szCs w:val="30"/>
          <w:highlight w:val="none"/>
          <w:vertAlign w:val="baseline"/>
          <w:em w:val="none"/>
          <w:lang w:val="en-US" w:eastAsia="zh-CN"/>
        </w:rPr>
        <w:t xml:space="preserve"> </w:t>
      </w:r>
      <w:r>
        <w:rPr>
          <w:rFonts w:ascii="黑体" w:cs="黑体" w:eastAsia="黑体" w:hAnsi="黑体" w:hint="default"/>
          <w:b w:val="false"/>
          <w:bCs w:val="false"/>
          <w:i w:val="false"/>
          <w:iCs w:val="false"/>
          <w:color w:val="auto"/>
          <w:kern w:val="2"/>
          <w:sz w:val="30"/>
          <w:szCs w:val="30"/>
          <w:highlight w:val="none"/>
          <w:vertAlign w:val="baseline"/>
          <w:em w:val="none"/>
          <w:lang w:val="en-US" w:eastAsia="zh-CN"/>
        </w:rPr>
        <w:t>方法</w:t>
      </w:r>
    </w:p>
    <w:bookmarkStart w:id="5" w:name="_Toc4298"/>
    <w:bookmarkStart w:id="6" w:name="_Toc225096998"/>
    <w:p w14:paraId="635052E0">
      <w:pPr>
        <w:keepNext/>
        <w:keepLines/>
        <w:adjustRightInd/>
        <w:spacing w:before="156" w:beforeLines="50" w:after="120" w:afterLines="50" w:lineRule="exact" w:line="400"/>
        <w:jc w:val="both"/>
        <w:outlineLvl w:val="2"/>
        <w:rPr/>
      </w:pP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5.1.1</w:t>
      </w:r>
      <w:bookmarkEnd w:id="5"/>
      <w:bookmarkEnd w:id="6"/>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 xml:space="preserve"> </w:t>
      </w: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土壤有机碳碳库计算</w:t>
      </w:r>
    </w:p>
    <w:p w14:paraId="E6C54EC7">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碳库是指单位土地面积内土壤中储存的有机碳总量，是表征土壤碳积累水平及其恢复能力的重要指标。本研究基于</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含量、土壤容重和土层厚度</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计算各土层</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碳库存。第</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i</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土层的</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碳库存计算公式为：</w:t>
      </w:r>
    </w:p>
    <w:tbl>
      <w:tblPr>
        <w:jc w:val="center"/>
        <w:tblCellMar>
          <w:top w:w="0" w:type="dxa"/>
          <w:left w:w="108" w:type="dxa"/>
          <w:bottom w:w="0" w:type="dxa"/>
          <w:right w:w="108" w:type="dxa"/>
        </w:tblCellMar>
      </w:tblPr>
      <w:tblGrid>
        <w:gridCol w:w="7485"/>
        <w:gridCol w:w="821"/>
      </w:tblGrid>
      <w:tr>
        <w:trPr>
          <w:cantSplit w:val="false"/>
          <w:tblHeader w:val="false"/>
          <w:jc w:val="center"/>
        </w:trPr>
        <w:tc>
          <w:tcPr>
            <w:tcW w:w="7485" w:type="dxa"/>
            <w:tcBorders/>
            <w:tcMar>
              <w:top w:w="0" w:type="dxa"/>
              <w:left w:w="108" w:type="dxa"/>
              <w:bottom w:w="0" w:type="dxa"/>
              <w:right w:w="108" w:type="dxa"/>
            </w:tcMar>
            <w:vAlign w:val="center"/>
          </w:tcPr>
          <w:p w14:paraId="5E833CD6">
            <w:pPr>
              <w:adjustRightInd w:val="false"/>
              <w:spacing w:lineRule="exact" w:line="400"/>
              <w:ind w:firstLine="480" w:firstLineChars="200"/>
              <w:jc w:val="left"/>
              <w:rPr/>
            </w:pPr>
          </w:p>
        </w:tc>
        <w:tc>
          <w:tcPr>
            <w:tcW w:w="821" w:type="dxa"/>
            <w:tcBorders/>
            <w:shd w:val="clear" w:color="ffffff" w:fill="auto"/>
            <w:tcMar>
              <w:top w:w="0" w:type="dxa"/>
              <w:left w:w="108" w:type="dxa"/>
              <w:bottom w:w="0" w:type="dxa"/>
              <w:right w:w="108" w:type="dxa"/>
            </w:tcMar>
            <w:vAlign w:val="center"/>
          </w:tcPr>
          <w:p w14:paraId="32934ECF">
            <w:pPr>
              <w:spacing w:lineRule="exact" w:line="400"/>
              <w:jc w:val="left"/>
              <w:rPr/>
            </w:pP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(5-1)</w:t>
            </w:r>
          </w:p>
        </w:tc>
      </w:tr>
    </w:tbl>
    <w:p w14:paraId="04FC300D">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式中，</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为第</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i</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土层的</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碳库存</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为第</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i</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土层</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含量</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-1</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为第</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i</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土层土壤容重（</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-3</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为土层厚度</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。在获得各土层</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碳库存后，进一步对不同土层碳库存进行累加，从而计算表层土壤（</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0–20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）碳库和剖面土壤（</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0–60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）碳库。其计算公式为：</w:t>
      </w:r>
    </w:p>
    <w:tbl>
      <w:tblPr>
        <w:jc w:val="center"/>
        <w:tblCellMar>
          <w:top w:w="0" w:type="dxa"/>
          <w:left w:w="108" w:type="dxa"/>
          <w:bottom w:w="0" w:type="dxa"/>
          <w:right w:w="108" w:type="dxa"/>
        </w:tblCellMar>
      </w:tblPr>
      <w:tblGrid>
        <w:gridCol w:w="7444"/>
        <w:gridCol w:w="862"/>
      </w:tblGrid>
      <w:tr>
        <w:trPr>
          <w:cantSplit w:val="false"/>
          <w:trHeight w:val="758" w:hRule="atLeast"/>
          <w:tblHeader w:val="false"/>
          <w:jc w:val="center"/>
        </w:trPr>
        <w:tc>
          <w:tcPr>
            <w:tcW w:w="7444" w:type="dxa"/>
            <w:tcBorders/>
            <w:tcMar>
              <w:top w:w="0" w:type="dxa"/>
              <w:left w:w="108" w:type="dxa"/>
              <w:bottom w:w="0" w:type="dxa"/>
              <w:right w:w="108" w:type="dxa"/>
            </w:tcMar>
            <w:vAlign w:val="center"/>
          </w:tcPr>
          <w:p w14:paraId="3BAB4AE7">
            <w:pPr>
              <w:adjustRightInd w:val="false"/>
              <w:spacing w:lineRule="exact" w:line="400"/>
              <w:ind w:firstLine="480" w:firstLineChars="200"/>
              <w:jc w:val="left"/>
              <w:rPr/>
            </w:pPr>
          </w:p>
        </w:tc>
        <w:tc>
          <w:tcPr>
            <w:tcW w:w="862" w:type="dxa"/>
            <w:tcBorders/>
            <w:shd w:val="clear" w:color="ffffff" w:fill="auto"/>
            <w:tcMar>
              <w:top w:w="0" w:type="dxa"/>
              <w:left w:w="108" w:type="dxa"/>
              <w:bottom w:w="0" w:type="dxa"/>
              <w:right w:w="108" w:type="dxa"/>
            </w:tcMar>
            <w:vAlign w:val="center"/>
          </w:tcPr>
          <w:p w14:paraId="57CAFBDB">
            <w:pPr>
              <w:spacing w:lineRule="exact" w:line="400"/>
              <w:jc w:val="left"/>
              <w:rPr/>
            </w:pP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(5-2)</w:t>
            </w:r>
          </w:p>
        </w:tc>
      </w:tr>
    </w:tbl>
    <w:p w14:paraId="A0A5D7E7">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其中，</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为目标土层范围内的总</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碳库存</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n</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为土层数量。</w:t>
      </w:r>
    </w:p>
    <w:bookmarkStart w:id="7" w:name="_Toc28363"/>
    <w:bookmarkStart w:id="8" w:name="_Toc225096999"/>
    <w:p w14:paraId="029C23D5">
      <w:pPr>
        <w:keepNext/>
        <w:keepLines/>
        <w:adjustRightInd/>
        <w:spacing w:before="156" w:beforeLines="50" w:after="120" w:afterLines="50" w:lineRule="exact" w:line="400"/>
        <w:jc w:val="both"/>
        <w:outlineLvl w:val="2"/>
        <w:rPr/>
      </w:pP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5.1.2</w:t>
      </w: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 xml:space="preserve"> </w:t>
      </w: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碳库</w:t>
      </w: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净变化</w:t>
      </w: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量</w:t>
      </w:r>
      <w:bookmarkEnd w:id="7"/>
      <w:bookmarkEnd w:id="8"/>
    </w:p>
    <w:p w14:paraId="95D99966">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为了表征一定时间尺度内土壤碳库的增减幅度，本研究采用土壤碳库</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净变化量评价</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不同侵蚀程度和施肥条件下</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碳库的恢复程度。土壤碳库</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净变化</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量定义为模拟末期碳库存与初始年份碳库存之差，其计算公式为：</w:t>
      </w:r>
    </w:p>
    <w:tbl>
      <w:tblPr>
        <w:jc w:val="center"/>
        <w:tblCellMar>
          <w:top w:w="0" w:type="dxa"/>
          <w:left w:w="108" w:type="dxa"/>
          <w:bottom w:w="0" w:type="dxa"/>
          <w:right w:w="108" w:type="dxa"/>
        </w:tblCellMar>
      </w:tblPr>
      <w:tblGrid>
        <w:gridCol w:w="7444"/>
        <w:gridCol w:w="862"/>
      </w:tblGrid>
      <w:tr>
        <w:trPr>
          <w:cantSplit w:val="false"/>
          <w:tblHeader w:val="false"/>
          <w:jc w:val="center"/>
        </w:trPr>
        <w:tc>
          <w:tcPr>
            <w:tcW w:w="7444" w:type="dxa"/>
            <w:tcBorders/>
            <w:tcMar>
              <w:top w:w="0" w:type="dxa"/>
              <w:left w:w="108" w:type="dxa"/>
              <w:bottom w:w="0" w:type="dxa"/>
              <w:right w:w="108" w:type="dxa"/>
            </w:tcMar>
            <w:vAlign w:val="center"/>
          </w:tcPr>
          <w:p w14:paraId="51AF21D1">
            <w:pPr>
              <w:adjustRightInd w:val="false"/>
              <w:spacing w:lineRule="exact" w:line="400"/>
              <w:ind w:firstLine="480" w:firstLineChars="200"/>
              <w:jc w:val="left"/>
              <w:rPr/>
            </w:pPr>
          </w:p>
        </w:tc>
        <w:tc>
          <w:tcPr>
            <w:tcW w:w="862" w:type="dxa"/>
            <w:tcBorders/>
            <w:shd w:val="clear" w:color="ffffff" w:fill="auto"/>
            <w:tcMar>
              <w:top w:w="0" w:type="dxa"/>
              <w:left w:w="108" w:type="dxa"/>
              <w:bottom w:w="0" w:type="dxa"/>
              <w:right w:w="108" w:type="dxa"/>
            </w:tcMar>
            <w:vAlign w:val="center"/>
          </w:tcPr>
          <w:p w14:paraId="BD901725">
            <w:pPr>
              <w:spacing w:lineRule="exact" w:line="400"/>
              <w:jc w:val="left"/>
              <w:rPr/>
            </w:pP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(5-3)</w:t>
            </w:r>
          </w:p>
        </w:tc>
      </w:tr>
    </w:tbl>
    <w:p w14:paraId="B41946E9">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式中，</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为土壤碳库</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净变化</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量</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为模拟末期土壤碳库存</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为初始年份土壤碳库存</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。本研究中，</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20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年尺度的碳库</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净变化量用于</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分析</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0–60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土壤剖面的恢复特征，</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100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年尺度的碳库</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净变化量用于</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分析</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0–20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表层土壤的长期恢复趋势。此外，为了评估侵蚀造成的碳库亏缺程度，本研究以</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CK</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（侵蚀</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）作为参考状态，并进一步比较不同侵蚀程度相对于</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CK</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的</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碳库差异。</w:t>
      </w:r>
    </w:p>
    <w:bookmarkStart w:id="9" w:name="_Toc31912"/>
    <w:bookmarkStart w:id="10" w:name="_Toc225097000"/>
    <w:p w14:paraId="5686DE6A">
      <w:pPr>
        <w:keepNext/>
        <w:keepLines/>
        <w:adjustRightInd/>
        <w:spacing w:before="156" w:beforeLines="50" w:after="120" w:afterLines="50" w:lineRule="exact" w:line="400"/>
        <w:jc w:val="both"/>
        <w:outlineLvl w:val="2"/>
        <w:rPr/>
      </w:pP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5.1.3</w:t>
      </w:r>
      <w:bookmarkEnd w:id="9"/>
      <w:bookmarkEnd w:id="10"/>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 xml:space="preserve"> </w:t>
      </w: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碳库恢复速率</w:t>
      </w:r>
    </w:p>
    <w:p w14:paraId="2B6D9A65">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除碳库</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净变化</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量外，本研究还采用土壤碳库恢复速率来描述</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碳库存随时间变化的快慢，以刻画不同侵蚀程度下土壤碳库恢复过程的动态特征。土壤碳库恢复速率的计算公式为：</w:t>
      </w:r>
    </w:p>
    <w:tbl>
      <w:tblPr>
        <w:jc w:val="center"/>
        <w:tblCellMar>
          <w:top w:w="0" w:type="dxa"/>
          <w:left w:w="108" w:type="dxa"/>
          <w:bottom w:w="0" w:type="dxa"/>
          <w:right w:w="108" w:type="dxa"/>
        </w:tblCellMar>
      </w:tblPr>
      <w:tblGrid>
        <w:gridCol w:w="7435"/>
        <w:gridCol w:w="871"/>
      </w:tblGrid>
      <w:tr>
        <w:trPr>
          <w:cantSplit w:val="false"/>
          <w:trHeight w:val="493" w:hRule="atLeast"/>
          <w:tblHeader w:val="false"/>
          <w:jc w:val="center"/>
        </w:trPr>
        <w:tc>
          <w:tcPr>
            <w:tcW w:w="7435" w:type="dxa"/>
            <w:tcBorders/>
            <w:tcMar>
              <w:top w:w="0" w:type="dxa"/>
              <w:left w:w="108" w:type="dxa"/>
              <w:bottom w:w="0" w:type="dxa"/>
              <w:right w:w="108" w:type="dxa"/>
            </w:tcMar>
            <w:vAlign w:val="center"/>
          </w:tcPr>
          <w:p w14:paraId="F8512D84">
            <w:pPr>
              <w:adjustRightInd w:val="false"/>
              <w:spacing w:lineRule="exact" w:line="400"/>
              <w:ind w:firstLine="480" w:firstLineChars="200"/>
              <w:jc w:val="left"/>
              <w:rPr/>
            </w:pPr>
          </w:p>
        </w:tc>
        <w:tc>
          <w:tcPr>
            <w:tcW w:w="871" w:type="dxa"/>
            <w:tcBorders/>
            <w:shd w:val="clear" w:color="ffffff" w:fill="auto"/>
            <w:tcMar>
              <w:top w:w="0" w:type="dxa"/>
              <w:left w:w="108" w:type="dxa"/>
              <w:bottom w:w="0" w:type="dxa"/>
              <w:right w:w="108" w:type="dxa"/>
            </w:tcMar>
            <w:vAlign w:val="center"/>
          </w:tcPr>
          <w:p w14:paraId="AC51A108">
            <w:pPr>
              <w:spacing w:lineRule="exact" w:line="400"/>
              <w:jc w:val="left"/>
              <w:rPr/>
            </w:pP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(5-4)</w:t>
            </w:r>
          </w:p>
        </w:tc>
      </w:tr>
    </w:tbl>
    <w:p w14:paraId="BEFE6F4A">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式中，</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为土壤碳库恢复速率</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∙yr</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-1</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为第</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年的土壤碳库存，</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为第</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t−1</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年的土壤碳库存，</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为时间间隔（年）。由于本研究模型输出结果的时间分辨率为</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1</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年，因此恢复速率可直接表示为相邻年份碳库存之差。综合考虑恢复幅度和恢复速度，本研究将土壤碳库</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净变化</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量和土壤碳库恢复速率作为衡量不同侵蚀程度下农田土壤碳库恢复能力的两个主要指标。</w:t>
      </w:r>
    </w:p>
    <w:bookmarkStart w:id="11" w:name="_Toc4005"/>
    <w:bookmarkStart w:id="12" w:name="_Toc225097001"/>
    <w:p w14:paraId="7C35F277">
      <w:pPr>
        <w:keepNext/>
        <w:keepLines/>
        <w:adjustRightInd/>
        <w:spacing w:before="156" w:beforeLines="50" w:after="120" w:afterLines="50" w:lineRule="exact" w:line="400"/>
        <w:jc w:val="both"/>
        <w:outlineLvl w:val="2"/>
        <w:rPr/>
      </w:pP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5.1.4</w:t>
      </w:r>
      <w:bookmarkEnd w:id="11"/>
      <w:bookmarkEnd w:id="12"/>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 xml:space="preserve"> </w:t>
      </w:r>
      <w:r>
        <w:rPr>
          <w:rFonts w:ascii="黑体" w:cs="黑体" w:eastAsia="黑体" w:hAnsi="黑体" w:hint="default"/>
          <w:b w:val="false"/>
          <w:bCs w:val="false"/>
          <w:i w:val="false"/>
          <w:iCs w:val="false"/>
          <w:color w:val="auto"/>
          <w:kern w:val="2"/>
          <w:sz w:val="28"/>
          <w:szCs w:val="32"/>
          <w:highlight w:val="none"/>
          <w:vertAlign w:val="baseline"/>
          <w:em w:val="none"/>
          <w:lang w:val="en-US" w:eastAsia="zh-CN"/>
        </w:rPr>
        <w:t>秸秆还田情景</w:t>
      </w:r>
    </w:p>
    <w:p w14:paraId="A7876C40">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为分析不同管理措施对</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恢复过程的影响，本研究设置了不同秸秆还田比例情景，包括</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30%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秸秆还田、</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50%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秸秆还田和全量秸秆还田（</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100%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）三种情景。秸秆还田所形成的碳输入量根据秸秆生物量、秸秆碳含量以及还田比例进行计算，其公式为：</w:t>
      </w:r>
    </w:p>
    <w:tbl>
      <w:tblPr>
        <w:jc w:val="center"/>
        <w:tblCellMar>
          <w:top w:w="0" w:type="dxa"/>
          <w:left w:w="108" w:type="dxa"/>
          <w:bottom w:w="0" w:type="dxa"/>
          <w:right w:w="108" w:type="dxa"/>
        </w:tblCellMar>
      </w:tblPr>
      <w:tblGrid>
        <w:gridCol w:w="7442"/>
        <w:gridCol w:w="864"/>
      </w:tblGrid>
      <w:tr>
        <w:trPr>
          <w:cantSplit w:val="false"/>
          <w:tblHeader w:val="false"/>
          <w:jc w:val="center"/>
        </w:trPr>
        <w:tc>
          <w:tcPr>
            <w:tcW w:w="7442" w:type="dxa"/>
            <w:tcBorders/>
            <w:tcMar>
              <w:top w:w="0" w:type="dxa"/>
              <w:left w:w="108" w:type="dxa"/>
              <w:bottom w:w="0" w:type="dxa"/>
              <w:right w:w="108" w:type="dxa"/>
            </w:tcMar>
            <w:vAlign w:val="center"/>
          </w:tcPr>
          <w:p w14:paraId="064696D0">
            <w:pPr>
              <w:adjustRightInd w:val="false"/>
              <w:spacing w:lineRule="exact" w:line="400"/>
              <w:ind w:firstLine="480" w:firstLineChars="200"/>
              <w:jc w:val="left"/>
              <w:rPr/>
            </w:pPr>
          </w:p>
        </w:tc>
        <w:tc>
          <w:tcPr>
            <w:tcW w:w="864" w:type="dxa"/>
            <w:tcBorders/>
            <w:shd w:val="clear" w:color="ffffff" w:fill="auto"/>
            <w:tcMar>
              <w:top w:w="0" w:type="dxa"/>
              <w:left w:w="108" w:type="dxa"/>
              <w:bottom w:w="0" w:type="dxa"/>
              <w:right w:w="108" w:type="dxa"/>
            </w:tcMar>
            <w:vAlign w:val="center"/>
          </w:tcPr>
          <w:p w14:paraId="03F3F6DD">
            <w:pPr>
              <w:spacing w:lineRule="exact" w:line="400"/>
              <w:jc w:val="left"/>
              <w:rPr/>
            </w:pP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(5-5)</w:t>
            </w:r>
          </w:p>
        </w:tc>
      </w:tr>
    </w:tbl>
    <w:p w14:paraId="E250BD35">
      <w:pPr>
        <w:adjustRightInd w:val="false"/>
        <w:spacing w:lineRule="exact" w:line="400"/>
        <w:ind w:firstLine="480" w:firstLineChars="200"/>
        <w:jc w:val="both"/>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式中，</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为秸秆还田碳输入量</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为作物秸秆生物量（</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h</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a</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1</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为秸秆碳含量，</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为秸秆还田比例，分别取</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0.3</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0.5</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和</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1.0</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。在此基础上，不同秸秆还田情景下</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系统总碳输入量</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计算为：</w:t>
      </w:r>
    </w:p>
    <w:tbl>
      <w:tblPr>
        <w:jc w:val="center"/>
        <w:tblCellMar>
          <w:top w:w="0" w:type="dxa"/>
          <w:left w:w="108" w:type="dxa"/>
          <w:bottom w:w="0" w:type="dxa"/>
          <w:right w:w="108" w:type="dxa"/>
        </w:tblCellMar>
      </w:tblPr>
      <w:tblGrid>
        <w:gridCol w:w="7442"/>
        <w:gridCol w:w="864"/>
      </w:tblGrid>
      <w:tr>
        <w:trPr>
          <w:cantSplit w:val="false"/>
          <w:tblHeader w:val="false"/>
          <w:jc w:val="center"/>
        </w:trPr>
        <w:tc>
          <w:tcPr>
            <w:tcW w:w="7442" w:type="dxa"/>
            <w:tcBorders/>
            <w:tcMar>
              <w:top w:w="0" w:type="dxa"/>
              <w:left w:w="108" w:type="dxa"/>
              <w:bottom w:w="0" w:type="dxa"/>
              <w:right w:w="108" w:type="dxa"/>
            </w:tcMar>
            <w:vAlign w:val="center"/>
          </w:tcPr>
          <w:p w14:paraId="D308C406">
            <w:pPr>
              <w:adjustRightInd w:val="false"/>
              <w:spacing w:lineRule="exact" w:line="400"/>
              <w:ind w:firstLine="480" w:firstLineChars="200"/>
              <w:jc w:val="left"/>
              <w:rPr/>
            </w:pPr>
          </w:p>
        </w:tc>
        <w:tc>
          <w:tcPr>
            <w:tcW w:w="864" w:type="dxa"/>
            <w:tcBorders/>
            <w:shd w:val="clear" w:color="ffffff" w:fill="auto"/>
            <w:tcMar>
              <w:top w:w="0" w:type="dxa"/>
              <w:left w:w="108" w:type="dxa"/>
              <w:bottom w:w="0" w:type="dxa"/>
              <w:right w:w="108" w:type="dxa"/>
            </w:tcMar>
            <w:vAlign w:val="center"/>
          </w:tcPr>
          <w:p w14:paraId="96EDB97A">
            <w:pPr>
              <w:spacing w:lineRule="exact" w:line="400"/>
              <w:jc w:val="left"/>
              <w:rPr/>
            </w:pP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(5-6)</w:t>
            </w:r>
          </w:p>
        </w:tc>
      </w:tr>
    </w:tbl>
    <w:p w14:paraId="A1B7A2C1">
      <w:pPr>
        <w:pStyle w:val="style0"/>
        <w:rPr/>
      </w:pP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其中，</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为情景模拟</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的总碳输入量</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kg</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C∙m</w:t>
      </w:r>
      <w:r>
        <w:rPr>
          <w:rFonts w:ascii="Times New Roman" w:cs="Times New Roman" w:eastAsia="宋体" w:hAnsi="Times New Roman" w:hint="default"/>
          <w:b w:val="false"/>
          <w:bCs w:val="false"/>
          <w:i w:val="false"/>
          <w:iCs w:val="false"/>
          <w:color w:val="000000"/>
          <w:kern w:val="2"/>
          <w:sz w:val="24"/>
          <w:szCs w:val="24"/>
          <w:highlight w:val="none"/>
          <w:vertAlign w:val="superscript"/>
          <w:em w:val="none"/>
          <w:lang w:val="en-US" w:eastAsia="zh-CN"/>
        </w:rPr>
        <w:t>-2</w:t>
      </w:r>
      <w:r>
        <w:rPr>
          <w:rFonts w:ascii="Times New Roman" w:cs="Times New Roman" w:eastAsia="宋体" w:hAnsi="Times New Roman" w:hint="default"/>
          <w:b w:val="false"/>
          <w:bCs w:val="false"/>
          <w:i w:val="false"/>
          <w:iCs w:val="false"/>
          <w:color w:val="000000"/>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为大豆凋落物、</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残茬和</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根系的碳输入量，详细计算在</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3.1.3</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 xml:space="preserve"> </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大豆各组分碳输入量的计算。通过改变秸秆还田比例，本研究进一步模拟不同管理强度下表层土壤和剖面土壤</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SOC</w:t>
      </w:r>
      <w:r>
        <w:rPr>
          <w:rFonts w:ascii="Times New Roman" w:cs="Times New Roman" w:eastAsia="宋体" w:hAnsi="Times New Roman" w:hint="default"/>
          <w:b w:val="false"/>
          <w:bCs w:val="false"/>
          <w:i w:val="false"/>
          <w:iCs w:val="false"/>
          <w:color w:val="auto"/>
          <w:kern w:val="2"/>
          <w:sz w:val="24"/>
          <w:szCs w:val="24"/>
          <w:highlight w:val="none"/>
          <w:vertAlign w:val="baseline"/>
          <w:em w:val="none"/>
          <w:lang w:val="en-US" w:eastAsia="zh-CN"/>
        </w:rPr>
        <w:t>恢复过程的差异。</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 w:name="黑体">
    <w:altName w:val="黑体"/>
    <w:panose1 w:val="02010600030001010101"/>
    <w:charset w:val="7a"/>
    <w:family w:val="auto"/>
    <w:pitch w:val="default"/>
    <w:sig w:usb0="00000001" w:usb1="080E0000" w:usb2="00000000" w:usb3="00000000" w:csb0="00040000" w:csb1="00000000"/>
  </w:font>
  <w:font w:name="等线">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next w:val="style4094"/>
    <w:qFormat/>
    <w:pPr>
      <w:adjustRightInd w:val="false"/>
      <w:spacing w:after="0" w:lineRule="exact" w:line="400"/>
      <w:ind w:firstLine="480" w:firstLineChars="200"/>
      <w:jc w:val="both"/>
    </w:pPr>
    <w:rPr>
      <w:rFonts w:ascii="Times New Roman" w:cs="Times New Roman" w:eastAsia="宋体" w:hAnsi="Times New Roman"/>
      <w:kern w:val="2"/>
      <w:sz w:val="24"/>
      <w:szCs w:val="24"/>
    </w:rPr>
  </w:style>
  <w:style w:type="paragraph" w:styleId="style1">
    <w:name w:val="heading 1"/>
    <w:basedOn w:val="style0"/>
    <w:next w:val="style4094"/>
    <w:qFormat/>
    <w:pPr>
      <w:widowControl w:val="false"/>
      <w:adjustRightInd w:val="false"/>
      <w:spacing w:before="480" w:after="240"/>
      <w:ind w:left="0" w:right="0"/>
      <w:jc w:val="center"/>
      <w:outlineLvl w:val="0"/>
    </w:pPr>
    <w:rPr>
      <w:rFonts w:ascii="Arial" w:cs="Arial" w:eastAsia="黑体" w:hAnsi="Arial"/>
      <w:b w:val="false"/>
      <w:bCs w:val="false"/>
      <w:kern w:val="44"/>
      <w:sz w:val="32"/>
      <w:szCs w:val="32"/>
    </w:rPr>
  </w:style>
  <w:style w:type="paragraph" w:styleId="style2">
    <w:name w:val="heading 2"/>
    <w:next w:val="style4094"/>
    <w:qFormat/>
    <w:pPr>
      <w:adjustRightInd w:val="false"/>
      <w:spacing w:before="240" w:after="157" w:afterLines="50"/>
      <w:ind w:left="0" w:right="0"/>
      <w:outlineLvl w:val="1"/>
    </w:pPr>
    <w:rPr>
      <w:rFonts w:ascii="Arial" w:cs="Arial" w:eastAsia="黑体" w:hAnsi="Arial"/>
      <w:b w:val="false"/>
      <w:bCs w:val="false"/>
      <w:kern w:val="2"/>
      <w:sz w:val="30"/>
      <w:szCs w:val="30"/>
    </w:rPr>
  </w:style>
  <w:style w:type="paragraph" w:styleId="style3">
    <w:name w:val="heading 3"/>
    <w:basedOn w:val="style0"/>
    <w:next w:val="style4094"/>
    <w:qFormat/>
    <w:pPr>
      <w:widowControl w:val="false"/>
      <w:adjustRightInd w:val="false"/>
      <w:spacing w:before="157" w:beforeLines="50" w:after="157" w:afterLines="50"/>
      <w:ind w:left="0" w:right="0"/>
      <w:jc w:val="both"/>
      <w:outlineLvl w:val="2"/>
    </w:pPr>
    <w:rPr>
      <w:rFonts w:ascii="Arial" w:cs="Arial" w:eastAsia="黑体" w:hAnsi="Arial"/>
      <w:b w:val="false"/>
      <w:bCs w:val="false"/>
      <w:kern w:val="2"/>
      <w:sz w:val="28"/>
      <w:szCs w:val="28"/>
    </w:rPr>
  </w:style>
  <w:style w:type="character" w:styleId="style39">
    <w:name w:val="annotation reference"/>
    <w:next w:val="style4094"/>
    <w:qFormat/>
    <w:rPr>
      <w:rFonts w:ascii="Times New Roman" w:cs="Times New Roman" w:eastAsia="宋体" w:hAnsi="Times New Roman"/>
      <w:sz w:val="21"/>
      <w:szCs w:val="21"/>
    </w:rPr>
  </w:style>
  <w:style w:type="paragraph" w:styleId="style5">
    <w:name w:val="heading 5"/>
    <w:next w:val="style4094"/>
    <w:qFormat/>
    <w:pPr>
      <w:adjustRightInd w:val="false"/>
      <w:spacing w:before="157" w:beforeLines="50" w:after="157" w:afterLines="50" w:lineRule="exact" w:line="400"/>
      <w:ind w:left="0" w:right="0" w:firstLine="480" w:firstLineChars="200"/>
      <w:outlineLvl w:val="4"/>
    </w:pPr>
    <w:rPr>
      <w:rFonts w:ascii="Times New Roman" w:cs="Times New Roman" w:eastAsia="宋体" w:hAnsi="Times New Roman"/>
      <w:b w:val="false"/>
      <w:kern w:val="2"/>
      <w:sz w:val="24"/>
      <w:szCs w:val="24"/>
    </w:rPr>
  </w:style>
  <w:style w:type="paragraph" w:styleId="style30">
    <w:name w:val="annotation text"/>
    <w:basedOn w:val="style0"/>
    <w:next w:val="style4094"/>
    <w:qFormat/>
    <w:pPr>
      <w:widowControl w:val="false"/>
      <w:spacing w:after="0"/>
      <w:jc w:val="left"/>
    </w:pPr>
    <w:rPr>
      <w:rFonts w:ascii="等线" w:cs="等线" w:eastAsia="等线" w:hAnsi="等线"/>
      <w:kern w:val="2"/>
      <w:sz w:val="21"/>
      <w:szCs w:val="22"/>
    </w:rPr>
  </w:style>
  <w:style w:type="paragraph" w:styleId="style31">
    <w:name w:val="header"/>
    <w:basedOn w:val="style0"/>
    <w:next w:val="style4094"/>
    <w:qFormat/>
    <w:pPr>
      <w:widowControl w:val="false"/>
      <w:pBdr>
        <w:bottom w:val="single" w:sz="6" w:space="1" w:color="auto"/>
      </w:pBdr>
      <w:tabs>
        <w:tab w:val="center" w:leader="none" w:pos="4140"/>
        <w:tab w:val="right" w:leader="none" w:pos="8300"/>
      </w:tabs>
      <w:snapToGrid w:val="false"/>
      <w:spacing w:after="0"/>
      <w:jc w:val="center"/>
    </w:pPr>
    <w:rPr>
      <w:rFonts w:ascii="Times New Roman" w:cs="Times New Roman" w:eastAsia="宋体" w:hAnsi="Times New Roman"/>
      <w:kern w:val="2"/>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1078</Words>
  <Characters>1242</Characters>
  <Application>WPS Office</Application>
  <Paragraphs>34</Paragraphs>
  <CharactersWithSpaces>1263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2026-06-11T12:42:05Z</dcterms:created>
  <dc:creator>2410DPN6CC</dc:creator>
  <lastModifiedBy>2410DPN6CC</lastModifiedBy>
  <dcterms:modified xsi:type="dcterms:W3CDTF">2026-06-11T12:42:09Z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59f58a1741294978af0ea7d106d1bb75_21</vt:lpwstr>
  </property>
</Properties>
</file>