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选股信号，在统一规则约束（单边成本 5bp、个股上限 20%、总仓上限 100% 为硬约束；回撤触线 -6% 为软干预）下比较多策略对照（满仓等权 A、置信度分档 B、1/4 凯利+回撤干预 C），并依次实施样本外检验、参数敏感性与反事实分析。结果表明：置信度均值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4.3%）；风险预算干预是有条件的保险，其价值随仓位规模上升而显现。拓展分析进一步发现：策略排序是成本的函数，单边成本升至 10bp 时 C 组夏普反超 A、B 组；对置信度做样本内分桶再校准可将样本外平均校准误差从 0.221 降至 0.089，但桶间区分度不变——“校准能修复模型说的，修不了模型知的”。全部结果可由所附代码一键复现。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本文回答三个递进的问题：其一（转化），同一组 AI 信号在不同的仓位规则下，会产生多大差异的风险形态与成本结构？其二（校准），AI 输出的置信度是否具备直接驱动仓位的校准质量，若不足，工程上的再校准能否补救？其三（干预），风险预算干预在不同仓位规模下价值几何，回撤预算线设在哪里最合理？</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pPr>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pPr>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全部规则在统一约束下运行：单边交易成本 5bp、单一标的上限 20%、组合总仓位上限 100% 为硬约束（违反即方案无效）；</w:t>
      </w:r>
      <w:r>
        <w:rPr>
          <w:rFonts w:ascii="Times New Roman" w:hAnsi="Times New Roman" w:eastAsia="宋体"/>
          <w:b/>
          <w:sz w:val="24"/>
        </w:rPr>
        <w:t>回撤触线 -6% 为软干预线</w:t>
      </w:r>
      <w:r>
        <w:rPr>
          <w:rFonts w:ascii="Times New Roman" w:hAnsi="Times New Roman" w:eastAsia="宋体"/>
          <w:b w:val="0"/>
          <w:sz w:val="24"/>
        </w:rPr>
        <w:t>——触及即仓位减半，降低回撤概率但不保证回撤不突破（本案例 C 组最大回撤 -9.3% 即为明证，4.10 节将进一步拆解）。</w:t>
      </w:r>
      <w:r>
        <w:rPr>
          <w:rFonts w:ascii="Times New Roman" w:hAnsi="Times New Roman" w:eastAsia="宋体"/>
          <w:b/>
          <w:sz w:val="24"/>
        </w:rPr>
        <w:t>人工仅设这些约束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凯利）；反事实分析（同一规则移除干预）。此外，第 5 节增加两项拓展分析：交易成本扫描（0/2.5/5/10bp）与置信度再校准闭环（样本内校准 → 样本外验证）。</w:t>
      </w:r>
    </w:p>
    <w:p>
      <w:pPr>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after="0" w:line="360" w:lineRule="auto"/>
        <w:ind w:firstLine="480"/>
      </w:pPr>
      <w:r>
        <w:rPr>
          <w:rFonts w:ascii="Times New Roman" w:hAnsi="Times New Roman" w:eastAsia="宋体"/>
          <w:b w:val="0"/>
          <w:sz w:val="24"/>
        </w:rPr>
        <w:t>把信号当作一个因子、用量化行业的语言重述：全样本 IC（信号方向与次日超额收益的每日截面秩相关）均值为 0.062、ICIR 0.249、t 值 5.04、IC 为正占比 60.1%——</w:t>
      </w:r>
      <w:r>
        <w:rPr>
          <w:rFonts w:ascii="Times New Roman" w:hAnsi="Times New Roman" w:eastAsia="宋体"/>
          <w:b/>
          <w:sz w:val="24"/>
        </w:rPr>
        <w:t>预测力微弱但统计显著</w:t>
      </w:r>
      <w:r>
        <w:rPr>
          <w:rFonts w:ascii="Times New Roman" w:hAnsi="Times New Roman" w:eastAsia="宋体"/>
          <w:b w:val="0"/>
          <w:sz w:val="24"/>
        </w:rPr>
        <w:t>，属弱因子的典型量级。进一步按置信度固定宽度分桶考察次日超额收益：各桶无单调结构，最高置信桶 [0.95,1.0) 日均超额 +6.05bp 而中位数深达 -66.7bp（均值被 2024 年 10 月暴涨日的尾部收益主导），最低置信桶命中率反而最高（63.1%）——均值型与中位数型度量交叉印证：置信度不携带稳定的区分度。教学要点：</w:t>
      </w:r>
      <w:r>
        <w:rPr>
          <w:rFonts w:ascii="Times New Roman" w:hAnsi="Times New Roman" w:eastAsia="宋体"/>
          <w:b/>
          <w:sz w:val="24"/>
        </w:rPr>
        <w:t>评估任何 AI 信号，先问 IC 与 ICIR，再谈仓位规则</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三点发现：其一，策略排序不是常数，而是成本的函数——零成本下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w:t>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0.53”，模型输出的“说”与“做”重新对齐，任何大模型供应商都应内建这一步。其二，</w:t>
      </w:r>
      <w:r>
        <w:rPr>
          <w:rFonts w:ascii="Times New Roman" w:hAnsi="Times New Roman" w:eastAsia="宋体"/>
          <w:b/>
          <w:sz w:val="24"/>
        </w:rPr>
        <w:t>校准修复不了区分度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其三，</w:t>
      </w:r>
      <w:r>
        <w:rPr>
          <w:rFonts w:ascii="Times New Roman" w:hAnsi="Times New Roman" w:eastAsia="宋体"/>
          <w:b/>
          <w:sz w:val="24"/>
        </w:rPr>
        <w:t>分布漂移真实存在</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全部仓位规则建立在“t 日收盘后生成信号、t+1 执行”之上，其量化依据来自信号衰减检验：把“次日超额收益取对”的命中判定分别放到 t+1、t+2、t+3、t+5 上重算（同一样本、同一口径，6910 条信号），方向命中率从 t+1 的 53.95% 单调衰减——t+2 跌至 50.6%，t+3 起跌破 50%（49.8%），t+5 已无信息含量。三点含义：其一，</w:t>
      </w:r>
      <w:r>
        <w:rPr>
          <w:rFonts w:ascii="Times New Roman" w:hAnsi="Times New Roman" w:eastAsia="宋体"/>
          <w:b/>
          <w:sz w:val="24"/>
        </w:rPr>
        <w:t>信号有效期以日计</w:t>
      </w:r>
      <w:r>
        <w:rPr>
          <w:rFonts w:ascii="Times New Roman" w:hAnsi="Times New Roman" w:eastAsia="宋体"/>
          <w:b w:val="0"/>
          <w:sz w:val="24"/>
        </w:rPr>
        <w:t>，“AI 说买”之后每拖延一天，信息的价值就折损一截，“信号→仓位”必须是日频闭环；其二，仓位规则无需预测信号何时失效，只需在有效期内完成转化——转化链路的摩擦（成本、干预、约束）因此比信号本身更值得优化；其三，对 AI 系统建设方而言，投研信号的交付时点与执行时点之间的每一分钟延迟，都是未被计量的 alpha 损耗。</w:t>
      </w:r>
    </w:p>
    <w:p>
      <w:pPr>
        <w:spacing w:before="200" w:after="80" w:line="360" w:lineRule="auto"/>
      </w:pPr>
      <w:r>
        <w:rPr>
          <w:rFonts w:ascii="Times New Roman" w:hAnsi="Times New Roman" w:eastAsia="黑体"/>
          <w:b/>
          <w:sz w:val="26"/>
        </w:rPr>
        <w:t>5.4　平均敞口匹配基准：风险预算的第一杠杆是仓位规模</w:t>
      </w:r>
    </w:p>
    <w:p>
      <w:pPr>
        <w:spacing w:after="0" w:line="360" w:lineRule="auto"/>
        <w:ind w:firstLine="480"/>
      </w:pPr>
      <w:r>
        <w:rPr>
          <w:rFonts w:ascii="Times New Roman" w:hAnsi="Times New Roman" w:eastAsia="宋体"/>
          <w:b w:val="0"/>
          <w:sz w:val="24"/>
        </w:rPr>
        <w:t>A/B/C 三组同时改变了平均敞口、集中度、换手与干预机制，因此“C 组回撤更低”不能直接归因于干预机制。本节补上基准：先测各规则的平均总敞口（A 满仓 77.7%、C′ 1/4 凯利无干预 48.5%、C 1/4 凯利+干预 43.8%），再构造“平均敞口与 C 相同、等权持有、不触发干预”的静态基准 S，四者同表比较（表 7）。</w:t>
      </w:r>
    </w:p>
    <w:p>
      <w:pPr>
        <w:spacing w:before="120" w:after="80" w:line="288" w:lineRule="auto"/>
        <w:jc w:val="center"/>
      </w:pPr>
      <w:r>
        <w:rPr>
          <w:rFonts w:ascii="Times New Roman" w:hAnsi="Times New Roman" w:eastAsia="黑体"/>
          <w:b/>
          <w:sz w:val="21"/>
        </w:rPr>
        <w:t>表 7　平均敞口匹配基准对照（全样本；S 的平均敞口被标定为 C 组水平）</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2835"/>
            <w:tcBorders>
              <w:bottom w:val="single" w:sz="6" w:space="0" w:color="000000"/>
            </w:tcBorders>
          </w:tcPr>
          <w:p>
            <w:pPr>
              <w:jc w:val="center"/>
            </w:pPr>
            <w:r/>
            <w:r>
              <w:rPr>
                <w:rFonts w:ascii="Times New Roman" w:hAnsi="Times New Roman" w:eastAsia="黑体"/>
                <w:b/>
                <w:sz w:val="19"/>
              </w:rPr>
              <w:t>基准</w:t>
            </w:r>
          </w:p>
        </w:tc>
        <w:tc>
          <w:tcPr>
            <w:tcW w:type="dxa" w:w="1020"/>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020"/>
            <w:tcBorders>
              <w:bottom w:val="single" w:sz="6" w:space="0" w:color="000000"/>
            </w:tcBorders>
          </w:tcPr>
          <w:p>
            <w:pPr>
              <w:jc w:val="center"/>
            </w:pPr>
            <w:r/>
            <w:r>
              <w:rPr>
                <w:rFonts w:ascii="Times New Roman" w:hAnsi="Times New Roman" w:eastAsia="黑体"/>
                <w:b/>
                <w:sz w:val="19"/>
              </w:rPr>
              <w:t>平均敞口</w:t>
            </w:r>
          </w:p>
        </w:tc>
      </w:tr>
      <w:tr>
        <w:tc>
          <w:tcPr>
            <w:tcW w:type="dxa" w:w="2835"/>
          </w:tcPr>
          <w:p>
            <w:pPr>
              <w:jc w:val="left"/>
            </w:pPr>
            <w:r/>
            <w:r>
              <w:rPr>
                <w:rFonts w:ascii="Times New Roman" w:hAnsi="Times New Roman" w:eastAsia="宋体"/>
                <w:b w:val="0"/>
                <w:sz w:val="19"/>
              </w:rPr>
              <w:t>S 静态等权（敞口匹配 C，无干预）</w:t>
            </w:r>
          </w:p>
        </w:tc>
        <w:tc>
          <w:tcPr>
            <w:tcW w:type="dxa" w:w="1020"/>
          </w:tcPr>
          <w:p>
            <w:pPr>
              <w:jc w:val="center"/>
            </w:pPr>
            <w:r/>
            <w:r>
              <w:rPr>
                <w:rFonts w:ascii="Times New Roman" w:hAnsi="Times New Roman" w:eastAsia="宋体"/>
                <w:b w:val="0"/>
                <w:sz w:val="19"/>
              </w:rPr>
              <w:t>18.1%</w:t>
            </w:r>
          </w:p>
        </w:tc>
        <w:tc>
          <w:tcPr>
            <w:tcW w:type="dxa" w:w="1020"/>
          </w:tcPr>
          <w:p>
            <w:pPr>
              <w:jc w:val="center"/>
            </w:pPr>
            <w:r/>
            <w:r>
              <w:rPr>
                <w:rFonts w:ascii="Times New Roman" w:hAnsi="Times New Roman" w:eastAsia="宋体"/>
                <w:b w:val="0"/>
                <w:sz w:val="19"/>
              </w:rPr>
              <w:t>11.8%</w:t>
            </w:r>
          </w:p>
        </w:tc>
        <w:tc>
          <w:tcPr>
            <w:tcW w:type="dxa" w:w="964"/>
          </w:tcPr>
          <w:p>
            <w:pPr>
              <w:jc w:val="center"/>
            </w:pPr>
            <w:r/>
            <w:r>
              <w:rPr>
                <w:rFonts w:ascii="Times New Roman" w:hAnsi="Times New Roman" w:eastAsia="宋体"/>
                <w:b w:val="0"/>
                <w:sz w:val="19"/>
              </w:rPr>
              <w:t>0.74</w:t>
            </w:r>
          </w:p>
        </w:tc>
        <w:tc>
          <w:tcPr>
            <w:tcW w:type="dxa" w:w="1020"/>
          </w:tcPr>
          <w:p>
            <w:pPr>
              <w:jc w:val="center"/>
            </w:pPr>
            <w:r/>
            <w:r>
              <w:rPr>
                <w:rFonts w:ascii="Times New Roman" w:hAnsi="Times New Roman" w:eastAsia="宋体"/>
                <w:b w:val="0"/>
                <w:sz w:val="19"/>
              </w:rPr>
              <w:t>-7.3%</w:t>
            </w:r>
          </w:p>
        </w:tc>
        <w:tc>
          <w:tcPr>
            <w:tcW w:type="dxa" w:w="1020"/>
          </w:tcPr>
          <w:p>
            <w:pPr>
              <w:jc w:val="center"/>
            </w:pPr>
            <w:r/>
            <w:r>
              <w:rPr>
                <w:rFonts w:ascii="Times New Roman" w:hAnsi="Times New Roman" w:eastAsia="宋体"/>
                <w:b w:val="0"/>
                <w:sz w:val="19"/>
              </w:rPr>
              <w:t>1.46</w:t>
            </w:r>
          </w:p>
        </w:tc>
        <w:tc>
          <w:tcPr>
            <w:tcW w:type="dxa" w:w="964"/>
          </w:tcPr>
          <w:p>
            <w:pPr>
              <w:jc w:val="center"/>
            </w:pPr>
            <w:r/>
            <w:r>
              <w:rPr>
                <w:rFonts w:ascii="Times New Roman" w:hAnsi="Times New Roman" w:eastAsia="宋体"/>
                <w:b w:val="0"/>
                <w:sz w:val="19"/>
              </w:rPr>
              <w:t>0.39</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1/4凯利+回撤干预</w:t>
            </w:r>
          </w:p>
        </w:tc>
        <w:tc>
          <w:tcPr>
            <w:tcW w:type="dxa" w:w="1020"/>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1/4凯利（无干预）</w:t>
            </w:r>
          </w:p>
        </w:tc>
        <w:tc>
          <w:tcPr>
            <w:tcW w:type="dxa" w:w="1020"/>
          </w:tcPr>
          <w:p>
            <w:pPr>
              <w:jc w:val="center"/>
            </w:pPr>
            <w:r/>
            <w:r>
              <w:rPr>
                <w:rFonts w:ascii="Times New Roman" w:hAnsi="Times New Roman" w:eastAsia="宋体"/>
                <w:b w:val="0"/>
                <w:sz w:val="19"/>
              </w:rPr>
              <w:t>22.7%</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1.44</w:t>
            </w:r>
          </w:p>
        </w:tc>
        <w:tc>
          <w:tcPr>
            <w:tcW w:type="dxa" w:w="964"/>
          </w:tcPr>
          <w:p>
            <w:pPr>
              <w:jc w:val="center"/>
            </w:pPr>
            <w:r/>
            <w:r>
              <w:rPr>
                <w:rFonts w:ascii="Times New Roman" w:hAnsi="Times New Roman" w:eastAsia="宋体"/>
                <w:b w:val="0"/>
                <w:sz w:val="19"/>
              </w:rPr>
              <w:t>0.38</w:t>
            </w:r>
          </w:p>
        </w:tc>
        <w:tc>
          <w:tcPr>
            <w:tcW w:type="dxa" w:w="1020"/>
          </w:tcPr>
          <w:p>
            <w:pPr>
              <w:jc w:val="center"/>
            </w:pPr>
            <w:r/>
            <w:r>
              <w:rPr>
                <w:rFonts w:ascii="Times New Roman" w:hAnsi="Times New Roman" w:eastAsia="宋体"/>
                <w:b w:val="0"/>
                <w:sz w:val="19"/>
              </w:rPr>
              <w:t>48.5%</w:t>
            </w:r>
          </w:p>
        </w:tc>
      </w:tr>
      <w:tr>
        <w:tc>
          <w:tcPr>
            <w:tcW w:type="dxa" w:w="2835"/>
          </w:tcPr>
          <w:p>
            <w:pPr>
              <w:jc w:val="left"/>
            </w:pPr>
            <w:r/>
            <w:r>
              <w:rPr>
                <w:rFonts w:ascii="Times New Roman" w:hAnsi="Times New Roman" w:eastAsia="宋体"/>
                <w:b w:val="0"/>
                <w:sz w:val="19"/>
              </w:rPr>
              <w:t>A 满仓等权</w:t>
            </w:r>
          </w:p>
        </w:tc>
        <w:tc>
          <w:tcPr>
            <w:tcW w:type="dxa" w:w="1020"/>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77.7%</w:t>
            </w:r>
          </w:p>
        </w:tc>
      </w:tr>
    </w:tbl>
    <w:p>
      <w:pPr>
        <w:spacing w:after="40"/>
      </w:pPr>
    </w:p>
    <w:p>
      <w:pPr>
        <w:spacing w:after="0" w:line="360" w:lineRule="auto"/>
        <w:ind w:firstLine="480"/>
      </w:pPr>
      <w:r>
        <w:rPr>
          <w:rFonts w:ascii="Times New Roman" w:hAnsi="Times New Roman" w:eastAsia="宋体"/>
          <w:b w:val="0"/>
          <w:sz w:val="24"/>
        </w:rPr>
        <w:t>三点发现。其一，</w:t>
      </w:r>
      <w:r>
        <w:rPr>
          <w:rFonts w:ascii="Times New Roman" w:hAnsi="Times New Roman" w:eastAsia="宋体"/>
          <w:b/>
          <w:sz w:val="24"/>
        </w:rPr>
        <w:t>平均敞口是第一杠杆</w:t>
      </w:r>
      <w:r>
        <w:rPr>
          <w:rFonts w:ascii="Times New Roman" w:hAnsi="Times New Roman" w:eastAsia="宋体"/>
          <w:b w:val="0"/>
          <w:sz w:val="24"/>
        </w:rPr>
        <w:t>：A 组敞口 77.7%，C′ 组仅 48.5%，敞口降约三成，回撤从 -12.4% 收窄至 -9.3%，累计收益几乎不变（23.2% vs 22.7%）——所谓“风险预算”，首先就是“少拿仓位”本身。其二，</w:t>
      </w:r>
      <w:r>
        <w:rPr>
          <w:rFonts w:ascii="Times New Roman" w:hAnsi="Times New Roman" w:eastAsia="宋体"/>
          <w:b/>
          <w:sz w:val="24"/>
        </w:rPr>
        <w:t>敞口匹配后凯利集中持仓并不优于静态等权</w:t>
      </w:r>
      <w:r>
        <w:rPr>
          <w:rFonts w:ascii="Times New Roman" w:hAnsi="Times New Roman" w:eastAsia="宋体"/>
          <w:b w:val="0"/>
          <w:sz w:val="24"/>
        </w:rPr>
        <w:t>：同样约 43.8% 敞口，静态基准 S 的最大回撤 -7.3%（比 C 浅 2.0 个百分点）、卡玛 1.46（高于 C 的 1.19）、夏普 0.74（高于 0.55）——C 组相对 S 并无优势，其优势全部来自仓位更轻。其三，</w:t>
      </w:r>
      <w:r>
        <w:rPr>
          <w:rFonts w:ascii="Times New Roman" w:hAnsi="Times New Roman" w:eastAsia="宋体"/>
          <w:b/>
          <w:sz w:val="24"/>
        </w:rPr>
        <w:t>触线减半在轻仓位下几乎不产生作用</w:t>
      </w:r>
      <w:r>
        <w:rPr>
          <w:rFonts w:ascii="Times New Roman" w:hAnsi="Times New Roman" w:eastAsia="宋体"/>
          <w:b w:val="0"/>
          <w:sz w:val="24"/>
        </w:rPr>
        <w:t>：C 与 C′ 的最大回撤同为 -9.3%，而 C 的累计收益少 4.1 个百分点——-6% 触线对 1/4 凯利规模过松。</w:t>
      </w:r>
    </w:p>
    <w:p>
      <w:pPr>
        <w:spacing w:after="0" w:line="360" w:lineRule="auto"/>
        <w:ind w:firstLine="480"/>
      </w:pPr>
      <w:r>
        <w:rPr>
          <w:rFonts w:ascii="Times New Roman" w:hAnsi="Times New Roman" w:eastAsia="宋体"/>
          <w:b w:val="0"/>
          <w:sz w:val="24"/>
        </w:rPr>
        <w:t>因此本报告的结论修正为三层排序：</w:t>
      </w:r>
      <w:r>
        <w:rPr>
          <w:rFonts w:ascii="Times New Roman" w:hAnsi="Times New Roman" w:eastAsia="宋体"/>
          <w:b/>
          <w:sz w:val="24"/>
        </w:rPr>
        <w:t>平均敞口 ＞ 持仓分散度 ＞ 触发式干预</w:t>
      </w:r>
      <w:r>
        <w:rPr>
          <w:rFonts w:ascii="Times New Roman" w:hAnsi="Times New Roman" w:eastAsia="宋体"/>
          <w:b w:val="0"/>
          <w:sz w:val="24"/>
        </w:rPr>
        <w:t>。先把总仓位管住，再谈分散，最后才是触发规则；跳过前两层直接设计干预线，等于在错误的规模上做精细化管理。这一处自我修正是方法论示范：如果一个基准能推翻自己的结论，就必须补上这个基准并如实报告——这比任何漂亮的回测数字更接近“可验证、可复核”的本意。</w:t>
      </w:r>
    </w:p>
    <w:p>
      <w:pPr>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11.4%；成本扫描进一步显示策略排序是成本的函数——10bp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风险预算的第一杠杆是仓位规模，而非触发机制</w:t>
      </w:r>
      <w:r>
        <w:rPr>
          <w:rFonts w:ascii="Times New Roman" w:hAnsi="Times New Roman" w:eastAsia="宋体"/>
          <w:b w:val="0"/>
          <w:sz w:val="24"/>
        </w:rPr>
        <w:t>：平均敞口匹配后，1/4 凯利+触线干预（回撤 -9.3%、卡玛 1.19）并不优于同敞口的静态等权（-7.3%、1.46）；三层排序为 平均敞口 ＞ 持仓分散度 ＞ 触发式干预。干预作为“有条件的保险”只在仓位较重时显效（1/2 档回撤 -15.9% → -12.3%），预算线须与仓位规模成对设计（-3% 线卡玛 1.49、-6% 线 1.19、-9% 线 1.41）。</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AI 是外骨骼，扣动扳机的必须是懂风险预算的人</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仿真未建模滑点、流动性冲击与涨跌停摩擦，结论不能直接外推至实盘执行环节；样本期为含一段蓝筹上行的单一市场段，区间结构会影响样本外对比的具体数值；信号为透明模拟而非真实大模型输出——这是受控归因的设计前提，真实信号的接入列为开放挑战；凯利分数对收益率均值估计高度敏感，1/4 缩放是保守化处理而非最优解，滚动再估计与多周期验证列为扩展方向。明示边界本身是数据诚实素养的一部分。</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pPr>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pPr>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本报告全部数据与结果可一键复现，链条分三部分：其一，行情（真实公开数据）——调用腾讯财经公开行情接口下载 28 只沪深大盘蓝筹 2024-01-02 至 2025-10-28 共 410 个交易日的前复权日线收盘价（prices.csv，11480 行）；其二，信号（透明模拟实验条件）——以固定随机种子 20261029 注入买/卖信号与置信度（signals.csv，6910 条），信号生成规则完全公开，复跑结果逐字节一致；其三，实验（notebook 与 run_all.py）——全部回测、样本外检验、敏感性分析、反事实分析、成本扫描与再校准闭环由所附代码执行，文中每个表格与图形均由代码真实运行生成，无手工录入数字。随机种子、参数与硬约束在全文明示；对照组、样本外区间、反事实情形在实验设计表中预先声明，不存在事后挑选结果。</w:t>
      </w:r>
    </w:p>
    <w:p>
      <w:pPr>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回撤触线（软干预，非硬约束；基准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