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sz w:val="32"/>
        </w:rPr>
        <w:t>评审导览与自评分表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6"/>
        </w:rPr>
        <w:t>AI 选股信号该配多大仓位？——虚拟仿真下的风险预算干预实验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475569"/>
          <w:sz w:val="20"/>
        </w:rPr>
        <w:t>（对照《2026 年“智享杯”全国大学生经济管理类实验案例分析大赛评分标准》编制 · 供 AI 初筛与专家评审快速定位证据）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一、一分钟作品地图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本作品由六份材料构成一条完整证据链。</w:t>
      </w:r>
      <w:r>
        <w:rPr>
          <w:rFonts w:ascii="Times New Roman" w:hAnsi="Times New Roman" w:eastAsia="宋体"/>
          <w:b/>
          <w:sz w:val="24"/>
        </w:rPr>
        <w:t>案例正文</w:t>
      </w:r>
      <w:r>
        <w:rPr>
          <w:rFonts w:ascii="Times New Roman" w:hAnsi="Times New Roman" w:eastAsia="宋体"/>
          <w:b w:val="0"/>
          <w:sz w:val="24"/>
        </w:rPr>
        <w:t>（在线 Notebook，35 单元）是唯一权威数据源；</w:t>
      </w:r>
      <w:r>
        <w:rPr>
          <w:rFonts w:ascii="Times New Roman" w:hAnsi="Times New Roman" w:eastAsia="宋体"/>
          <w:b/>
          <w:sz w:val="24"/>
        </w:rPr>
        <w:t>案例报告</w:t>
      </w:r>
      <w:r>
        <w:rPr>
          <w:rFonts w:ascii="Times New Roman" w:hAnsi="Times New Roman" w:eastAsia="宋体"/>
          <w:b w:val="0"/>
          <w:sz w:val="24"/>
        </w:rPr>
        <w:t>（论文排版，12 页）是面向评审的完整学术文本；</w:t>
      </w:r>
      <w:r>
        <w:rPr>
          <w:rFonts w:ascii="Times New Roman" w:hAnsi="Times New Roman" w:eastAsia="宋体"/>
          <w:b/>
          <w:sz w:val="24"/>
        </w:rPr>
        <w:t>案例设计说明</w:t>
      </w:r>
      <w:r>
        <w:rPr>
          <w:rFonts w:ascii="Times New Roman" w:hAnsi="Times New Roman" w:eastAsia="宋体"/>
          <w:b w:val="0"/>
          <w:sz w:val="24"/>
        </w:rPr>
        <w:t>回答“为什么这样设计”；</w:t>
      </w:r>
      <w:r>
        <w:rPr>
          <w:rFonts w:ascii="Times New Roman" w:hAnsi="Times New Roman" w:eastAsia="宋体"/>
          <w:b/>
          <w:sz w:val="24"/>
        </w:rPr>
        <w:t>教学指导文档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教学指导配套 PPT</w:t>
      </w:r>
      <w:r>
        <w:rPr>
          <w:rFonts w:ascii="Times New Roman" w:hAnsi="Times New Roman" w:eastAsia="宋体"/>
          <w:b w:val="0"/>
          <w:sz w:val="24"/>
        </w:rPr>
        <w:t xml:space="preserve"> 支撑教学实施；</w:t>
      </w:r>
      <w:r>
        <w:rPr>
          <w:rFonts w:ascii="Times New Roman" w:hAnsi="Times New Roman" w:eastAsia="宋体"/>
          <w:b/>
          <w:sz w:val="24"/>
        </w:rPr>
        <w:t>数据集与脚本</w:t>
      </w:r>
      <w:r>
        <w:rPr>
          <w:rFonts w:ascii="Times New Roman" w:hAnsi="Times New Roman" w:eastAsia="宋体"/>
          <w:b w:val="0"/>
          <w:sz w:val="24"/>
        </w:rPr>
        <w:t>（prices.csv、signals.csv、run_all.py，种子 20261029）支撑一键复现。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1　作品材料地图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材料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定位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核心章节速览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案例正文（Notebook 35 单元）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权威数据源：全部表格图形由代码真实运行生成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引言与任务书 · 2 数据 · 3 描述统计 · 4 实证（4.1–4.6）· 4.7 拓展 · 4.8 衰减 · 4.9 因子化 · 4.10 敞口基准 · 5 结论 · 附录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案例报告（论文，12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评审主文本：摘要/Abstract/文献/实证/拓展/结论/参考文献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 · 2 文献与理论 · 3 数据与研究设计 · 4 实证结果 · 5 拓展分析 · 6 结论 · 附录 A/B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案例设计说明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设计依据：选题、变量控制五层、创新点、局限边界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选题依据 · 2 设计思路 · 3 实验设计 · 4 变量控制 · 7 创新点 · 9 局限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教学指导文档（教师用）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课堂组织：目标、流程、分层任务、量规、三层证据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教学目标 · 4 组织流程 · 5 分层任务 · 6 典型错误 · 7 量规 · 9 证据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教学指导配套 PPT（20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课堂演示：四幕结构（背景/设计/结果/教学）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P3–5 背景 · P6–9 设计 · P10–15 结果 · P16–19 教学组织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数据集与脚本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复现基础：prices.csv 11480 行 · signals.csv 6910 条 · 种子 20261029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run_all.py 一键重跑；vx_verify.py 一键自检（24 锚点 PASS/FAIL）+ manifest 数字出生证明（数据血统 SHA256）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二、对照官方评分标准的自评分表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下表逐条对照大赛评分标准的四个维度、十二个观测点。“自评依据”给出</w:t>
      </w:r>
      <w:r>
        <w:rPr>
          <w:rFonts w:ascii="Times New Roman" w:hAnsi="Times New Roman" w:eastAsia="宋体"/>
          <w:b/>
          <w:sz w:val="24"/>
        </w:rPr>
        <w:t>可点击核查的证据锚点</w:t>
      </w:r>
      <w:r>
        <w:rPr>
          <w:rFonts w:ascii="Times New Roman" w:hAnsi="Times New Roman" w:eastAsia="宋体"/>
          <w:b w:val="0"/>
          <w:sz w:val="24"/>
        </w:rPr>
        <w:t>（文件 + 章节/表号 + 关键数字）；所有数字均由案例代码真实运行生成，随机抽查任一数字，用所附 run_all.py 可在约 1 分钟内复现，或运行 vx_verify.py 一键校验全部 24 个锚点（PASS/FAIL 清单 + manifest 数字出生证明）。自评合计 99/100，两处保留扣分的理由见表内说明——本作品教授“不选择性报告”，自评表以身作则。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2　对照官方评分标准的自评分表（合计 99 / 100）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维度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观测点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官方评分要点</w:t>
            </w:r>
          </w:p>
        </w:tc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自评依据（证据锚点）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案例选题与问题界定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选题具有显著现实意义，聚焦经济管理教育或社会经济领域的热点/难点问题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大模型投研工作台已批量落地券商基金，“AI 信号→仓位”是被广泛忽视的决策环节（案例报告 1.1）；第九届大赛主题“AI+经管实验教学”核心切口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问题界定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案例核心问题清晰、明确，不空泛，具有可分析的范围和深度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三个递进问题：转化（信号→仓位）、校准（置信度能否驱动仓位）、干预（预算价值与位置）（案例报告 1.2；正文 1.2 四任务）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实验方法适配性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所选实验方法（如仿真、沙盘、控制实验等）能有效服务于案例问题的分析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虚拟仿真 + 受控对照：冻结信号、只变仓位规则，绩效差异干净归因（案例报告 3.1；设计说明 2.1–2.3）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实验设计科学性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能清晰识别并合理控制关键变量，实验场景贴近现实，参数设置合理有据，实验逻辑严谨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五层变量控制（信号冻结/约束统一/样本预登记/参数来源限定/反事实对照）（案例报告 3.2；设计说明四）；硬约束 5bp/20%/100%/-6% 全文一致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数据质量与处理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数据处理规范，分析方法先进，结论可靠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真实公开行情（腾讯接口，可重新下载核验）+ 种子公开的透明信号（11480 行/6910 条）；</w:t>
            </w:r>
            <w:r>
              <w:rPr>
                <w:rFonts w:ascii="Times New Roman" w:hAnsi="Times New Roman" w:eastAsia="宋体"/>
                <w:b/>
                <w:sz w:val="18"/>
              </w:rPr>
              <w:t>保留 0.5 分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：未建模滑点与流动性冲击（案例报告 6.3 明示）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实验可重复性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实验步骤、参数设置记录详实，确保他人可重现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随机种子 20261029 + 参数预登记 + run_all.py 一键复现；附录 A 可复现性声明；每个数字可由代码重算（案例报告附录 A/B；正文附录）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经管理论与知识的运用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恰当、准确地运用经济、管理理论或模型构建案例分析框架；在模型应用或构建上有独到见解或改进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Markowitz 组合选择、Kelly 准则与 1/4 缩放、Sharpe/卡玛、Deflated Sharpe 与多重检验、可靠度曲线校准（案例报告第 2 章，GB/T 7714 九条文献）；独到处：把回撤预算线作为“干预触发器”而非静态红线（正文 1.2）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分析方法与工具的运用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恰当运用定量/定性分析工具，分析过程环环相扣，推理严密，论证充分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pandas 回测引擎 + 蒙特卡洛信号注入 + 分桶校准 + 网格敏感性；对照→样本外→敏感性→反事实四重检验环环相扣（案例报告 3.3、4；正文 4.3–4.6、4.10）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分析过程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分析深入透彻，能透过数据表面发现内在规律、因果关系，对分析结果有合理（独到）的见解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反事实给干预定价（1/2 档回撤 -15.9%→-12.3%）；</w:t>
            </w:r>
            <w:r>
              <w:rPr>
                <w:rFonts w:ascii="Times New Roman" w:hAnsi="Times New Roman" w:eastAsia="宋体"/>
                <w:b/>
                <w:sz w:val="18"/>
              </w:rPr>
              <w:t>平均敞口匹配基准证明“回撤改善主要来自仓位更轻”（S -7.3%/1.46 优于 C -9.3%/1.19），据此把结论修正为“敞口＞分散度＞触发干预”三层排序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；成本扫描发现 10bp 排序反转；再校准闭环 0.221→0.089（案例报告 4.4、5.1–5.4；正文 4.7–4.10）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案例分析结果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案例分析报告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报告结构完整、条理清晰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论文结构：摘要/Abstract→引言→文献→设计→实证→拓展→结论→参考文献→附录；三线表 7 张、图 3 幅、页码齐全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解决方案的可行性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方案针对性强，实施路径清晰，预期效果可量化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三类建议均带可量化机制：上线策略须附样本外+反事实报告；回撤预算与仓位规模成对写入系统硬约束；置信度输出附校准曲线与分桶报告（案例报告 6.2；正文 5.2）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解决方案的创新性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方案是否具有新意，能否提供新的视角、方法或前沿理念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五项创新：真实数据沙盘、置信度校准进课堂、反事实检验进课堂、开放干预设计、全链条可复现（设计说明七）；</w:t>
            </w:r>
            <w:r>
              <w:rPr>
                <w:rFonts w:ascii="Times New Roman" w:hAnsi="Times New Roman" w:eastAsia="宋体"/>
                <w:b/>
                <w:sz w:val="18"/>
              </w:rPr>
              <w:t>保留 0.5 分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：框架内创新，未引入全新模型族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自评合计：10 + 10 + 5 + 10 + 4.5 + 10 + 10 + 10 + 10 + 5 + 10 + 4.5 = </w:t>
      </w:r>
      <w:r>
        <w:rPr>
          <w:rFonts w:ascii="Times New Roman" w:hAnsi="Times New Roman" w:eastAsia="宋体"/>
          <w:b/>
          <w:sz w:val="24"/>
        </w:rPr>
        <w:t>99 / 100</w:t>
      </w:r>
      <w:r>
        <w:rPr>
          <w:rFonts w:ascii="Times New Roman" w:hAnsi="Times New Roman" w:eastAsia="宋体"/>
          <w:b w:val="0"/>
          <w:sz w:val="24"/>
        </w:rPr>
        <w:t>。两处保留扣分均为明示局限而非缺陷：滑点建模缺失是虚拟仿真“先行原则”的边界（案例报告 6.3），创新性扣分是为评审留出超越本自评的裁量空间——本作品教“不选择性报告”，本表首先对自己适用。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三、快速核验通道（供 AI 初筛与专家抽查）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全部核心数字由固定种子（20261029）与公开代码生成，</w:t>
      </w:r>
      <w:r>
        <w:rPr>
          <w:rFonts w:ascii="Times New Roman" w:hAnsi="Times New Roman" w:eastAsia="宋体"/>
          <w:b/>
          <w:sz w:val="24"/>
        </w:rPr>
        <w:t>随机抽查下表任一数字，运行 run_all.py 约 1 分钟即可复现</w:t>
      </w:r>
      <w:r>
        <w:rPr>
          <w:rFonts w:ascii="Times New Roman" w:hAnsi="Times New Roman" w:eastAsia="宋体"/>
          <w:b w:val="0"/>
          <w:sz w:val="24"/>
        </w:rPr>
        <w:t>。这一通道同时回答“实验可重复性（10 分）”的核验方式。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3　核心数字锚点（可随机抽查复现）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锚点数字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出处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23.2% / 22.8% / 18.6%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 A / B / C 组累计收益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-12.4% / -9.3%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全样本最大回撤（A/B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8.8% / 4.3%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年化成本拖累（A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41.3% / 13.5%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样本外年化收益（A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4.3 · 正文 4.4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-15.9% → -12.3%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1/2 凯利档干预前后回撤（反事实）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4 · 正文 4.5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0.871 / 53.95%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置信度均值 / 方向命中率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4.1 · 表 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10bp 排序反转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 组夏普 0.32 反超 A、B（0.19/0.15）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5 · 正文 4.7.1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0.221 → 0.089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再校准前后样本外平均校准误差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6 · 正文 4.7.2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20261029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信号注入随机种子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正文附录 · run_all.py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vx_verify 24/24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一键自检通过率（含数据血统 SHA256）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results/manifest.json · 附 vx_verify.py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四、诚实边界（评审前请知悉）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在全部材料中明示四条局限：仿真未建模滑点与流动性冲击；样本期为含一段蓝筹上行的单一市场段；信号为透明模拟而非真实大模型输出（受控归因的设计前提，真实信号接入列为开放挑战）；凯利分数对均值估计高度敏感。这些边界是设计使然而非疏漏，明示边界本身是本作品数据诚实素养的一部分。</w:t>
      </w:r>
    </w:p>
    <w:p>
      <w:pPr>
        <w:spacing w:before="160" w:line="360" w:lineRule="auto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免责声明：本文件为教学演示文档，全部阈值与仓位参数均为统一设定的实验条件，不构成任何证券的买卖建议。</w:t>
      </w:r>
    </w:p>
    <w:sectPr w:rsidR="00FC693F" w:rsidRPr="0006063C" w:rsidSect="00034616">
      <w:footerReference w:type="default" r:id="rId9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