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选股信号，在统一规则约束（单边成本 5bp、个股上限 20%、总仓上限 100% 为硬约束；回撤触线 -6% 为软干预）下比较多策略对照（满仓等权 A、置信度分档 B、1/4 凯利+回撤干预 C），依次做了样本外检验、参数敏感性与反事实分析。结果表明：置信度均值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4.3%）；风险预算干预是有条件的保险，其价值随仓位规模上升而显现。拓展分析还发现：策略排序是成本的函数，单边成本升至 10bp 时 C 组夏普反超 A、B 组；对置信度做样本内分桶再校准可将样本外平均校准误差从 0.221 降至 0.089，但桶间区分度不变——“校准能修复模型说的，修不了模型知的”。五项稳健性检验还显示：块状自助法下组间收益差异不显著但回撤优势稳健，凸性冲击下低换手规则优势扩大，20 日动量真实信号替换后框架依然成立。全部结果可由所附代码一键复现。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三个问题层层递进。第一个关乎转化：同一组 AI 信号在不同仓位规则下，风险形态与成本结构会差多远？第二个关乎校准：AI 输出的置信度有没有资格直接驱动仓位，不够的话再校准能不能补救？第三个关乎干预：风险预算在不同仓位规模下值多少钱，预算线又该画在哪儿？</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w:t>
      </w:r>
      <w:r>
        <w:rPr>
          <w:rFonts w:ascii="Times New Roman" w:hAnsi="Times New Roman" w:eastAsia="宋体"/>
          <w:b/>
          <w:sz w:val="24"/>
        </w:rPr>
        <w:t>回撤触线 -6% 为软干预线</w:t>
      </w:r>
      <w:r>
        <w:rPr>
          <w:rFonts w:ascii="Times New Roman" w:hAnsi="Times New Roman" w:eastAsia="宋体"/>
          <w:b w:val="0"/>
          <w:sz w:val="24"/>
        </w:rPr>
        <w:t>——触及即仓位减半，降低回撤概率但不保证回撤不突破（本案例 C 组最大回撤 -9.3% 即为明证，4.10 节将进一步拆解）。</w:t>
      </w:r>
      <w:r>
        <w:rPr>
          <w:rFonts w:ascii="Times New Roman" w:hAnsi="Times New Roman" w:eastAsia="宋体"/>
          <w:b/>
          <w:sz w:val="24"/>
        </w:rPr>
        <w:t>人工仅设这些约束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凯利）；反事实分析（同一规则移除干预）。第 5 节增加五项拓展与检验：交易成本扫描（0/2.5/5/</w:t>
      </w:r>
      <w:r>
        <w:rPr>
          <w:rFonts w:ascii="Times New Roman" w:hAnsi="Times New Roman" w:eastAsia="宋体"/>
          <w:b/>
          <w:sz w:val="24"/>
        </w:rPr>
        <w:t>7</w:t>
      </w:r>
      <w:r>
        <w:rPr>
          <w:rFonts w:ascii="Times New Roman" w:hAnsi="Times New Roman" w:eastAsia="宋体"/>
          <w:b w:val="0"/>
          <w:sz w:val="24"/>
        </w:rPr>
        <w:t>/10bp，其中 7bp 为“5bp 佣金 + 2bp 滑点”含滑点情景）、置信度再校准闭环、信号衰减检验、平均敞口匹配基准，以及稳健性与外推性五项检验（块状自助法、子区间、凸性冲击、滚动重估、真实信号替换）。</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，属弱因子的典型量级。接着按置信度固定宽度分桶考察次日超额收益：各桶无单调结构，最高置信桶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7（5+2 滑点）</w:t>
            </w:r>
          </w:p>
        </w:tc>
        <w:tc>
          <w:tcPr>
            <w:tcW w:type="dxa" w:w="1304"/>
          </w:tcPr>
          <w:p>
            <w:pPr>
              <w:jc w:val="center"/>
            </w:pPr>
            <w:r/>
            <w:r>
              <w:rPr>
                <w:rFonts w:ascii="Times New Roman" w:hAnsi="Times New Roman" w:eastAsia="宋体"/>
                <w:b w:val="0"/>
                <w:sz w:val="21"/>
              </w:rPr>
              <w:t>14.9%</w:t>
            </w:r>
          </w:p>
        </w:tc>
        <w:tc>
          <w:tcPr>
            <w:tcW w:type="dxa" w:w="1134"/>
          </w:tcPr>
          <w:p>
            <w:pPr>
              <w:jc w:val="center"/>
            </w:pPr>
            <w:r/>
            <w:r>
              <w:rPr>
                <w:rFonts w:ascii="Times New Roman" w:hAnsi="Times New Roman" w:eastAsia="宋体"/>
                <w:b w:val="0"/>
                <w:sz w:val="21"/>
              </w:rPr>
              <w:t>0.42</w:t>
            </w:r>
          </w:p>
        </w:tc>
        <w:tc>
          <w:tcPr>
            <w:tcW w:type="dxa" w:w="1304"/>
          </w:tcPr>
          <w:p>
            <w:pPr>
              <w:jc w:val="center"/>
            </w:pPr>
            <w:r/>
            <w:r>
              <w:rPr>
                <w:rFonts w:ascii="Times New Roman" w:hAnsi="Times New Roman" w:eastAsia="宋体"/>
                <w:b w:val="0"/>
                <w:sz w:val="21"/>
              </w:rPr>
              <w:t>15.8%</w:t>
            </w:r>
          </w:p>
        </w:tc>
        <w:tc>
          <w:tcPr>
            <w:tcW w:type="dxa" w:w="1134"/>
          </w:tcPr>
          <w:p>
            <w:pPr>
              <w:jc w:val="center"/>
            </w:pPr>
            <w:r/>
            <w:r>
              <w:rPr>
                <w:rFonts w:ascii="Times New Roman" w:hAnsi="Times New Roman" w:eastAsia="宋体"/>
                <w:b w:val="0"/>
                <w:sz w:val="21"/>
              </w:rPr>
              <w:t>0.45</w:t>
            </w:r>
          </w:p>
        </w:tc>
        <w:tc>
          <w:tcPr>
            <w:tcW w:type="dxa" w:w="1304"/>
          </w:tcPr>
          <w:p>
            <w:pPr>
              <w:jc w:val="center"/>
            </w:pPr>
            <w:r/>
            <w:r>
              <w:rPr>
                <w:rFonts w:ascii="Times New Roman" w:hAnsi="Times New Roman" w:eastAsia="宋体"/>
                <w:b w:val="0"/>
                <w:sz w:val="21"/>
              </w:rPr>
              <w:t>15.6%</w:t>
            </w:r>
          </w:p>
        </w:tc>
        <w:tc>
          <w:tcPr>
            <w:tcW w:type="dxa" w:w="1134"/>
          </w:tcPr>
          <w:p>
            <w:pPr>
              <w:jc w:val="center"/>
            </w:pPr>
            <w:r/>
            <w:r>
              <w:rPr>
                <w:rFonts w:ascii="Times New Roman" w:hAnsi="Times New Roman" w:eastAsia="宋体"/>
                <w:b w:val="0"/>
                <w:sz w:val="21"/>
              </w:rPr>
              <w:t>0.45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三点发现：其一，策略排序不是常数，而是成本的函数——零成本下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是机制实验的极端情形，不代表现实报价；7bp 行为“5bp 佣金 + 2bp 滑点冲击”的合成情景——加入滑点后 C 组夏普（0.45）追平 B 组，而最大回撤（-8.7%）比 A、B 组（均 -13.0%）浅 4.3 个百分点，低换手规则的优势被放大而非削弱。</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0.53”，模型输出的“说”与“做”重新对齐，任何大模型供应商都应内建这一步。其二，</w:t>
      </w:r>
      <w:r>
        <w:rPr>
          <w:rFonts w:ascii="Times New Roman" w:hAnsi="Times New Roman" w:eastAsia="宋体"/>
          <w:b/>
          <w:sz w:val="24"/>
        </w:rPr>
        <w:t>校准修复不了区分度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其三，</w:t>
      </w:r>
      <w:r>
        <w:rPr>
          <w:rFonts w:ascii="Times New Roman" w:hAnsi="Times New Roman" w:eastAsia="宋体"/>
          <w:b/>
          <w:sz w:val="24"/>
        </w:rPr>
        <w:t>分布漂移真实存在</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全部规则建立在“t 日收盘出信号、t+1 执行”之上，这个设定的量化依据是信号衰减：把命中判定分别挪到 t+1、t+2、t+3、t+5 上重算（同一样本、6910 条），命中率从 53.95% 一路跌到 50.6%、49.8%、49.9%——t+3 就已经跌破随机了。信号有效期以日计。“AI 说买”之后拖一天，信息价值就折一截。仓位规则不需要预测信号什么时候失效，只需要在有效期内完成转化——转化链路上的摩擦（成本、干预、约束）比信号本身更值得优化。对 AI 系统方来说，信号从交付到执行之间每多一分钟延迟，都是没被计入的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三点发现。其一，</w:t>
      </w:r>
      <w:r>
        <w:rPr>
          <w:rFonts w:ascii="Times New Roman" w:hAnsi="Times New Roman" w:eastAsia="宋体"/>
          <w:b/>
          <w:sz w:val="24"/>
        </w:rPr>
        <w:t>平均敞口是第一杠杆</w:t>
      </w:r>
      <w:r>
        <w:rPr>
          <w:rFonts w:ascii="Times New Roman" w:hAnsi="Times New Roman" w:eastAsia="宋体"/>
          <w:b w:val="0"/>
          <w:sz w:val="24"/>
        </w:rPr>
        <w:t>：A 组敞口 77.7%，C′ 组仅 48.5%，敞口降约三成，回撤从 -12.4% 收窄至 -9.3%，累计收益几乎不变（23.2% vs 22.7%）——所谓“风险预算”，首先就是“少拿仓位”本身。其二，</w:t>
      </w:r>
      <w:r>
        <w:rPr>
          <w:rFonts w:ascii="Times New Roman" w:hAnsi="Times New Roman" w:eastAsia="宋体"/>
          <w:b/>
          <w:sz w:val="24"/>
        </w:rPr>
        <w:t>敞口匹配后凯利集中持仓并不优于静态等权</w:t>
      </w:r>
      <w:r>
        <w:rPr>
          <w:rFonts w:ascii="Times New Roman" w:hAnsi="Times New Roman" w:eastAsia="宋体"/>
          <w:b w:val="0"/>
          <w:sz w:val="24"/>
        </w:rPr>
        <w:t>：同样约 43.8% 敞口，静态基准 S 的最大回撤 -7.3%（比 C 浅 2.0 个百分点）、卡玛 1.46（高于 C 的 1.19）、夏普 0.74（高于 0.55）——C 组相对 S 并无优势，其优势全部来自仓位更轻。其三，</w:t>
      </w:r>
      <w:r>
        <w:rPr>
          <w:rFonts w:ascii="Times New Roman" w:hAnsi="Times New Roman" w:eastAsia="宋体"/>
          <w:b/>
          <w:sz w:val="24"/>
        </w:rPr>
        <w:t>触线减半在轻仓位下几乎不产生作用</w:t>
      </w:r>
      <w:r>
        <w:rPr>
          <w:rFonts w:ascii="Times New Roman" w:hAnsi="Times New Roman" w:eastAsia="宋体"/>
          <w:b w:val="0"/>
          <w:sz w:val="24"/>
        </w:rPr>
        <w:t>：C 与 C′ 的最大回撤同为 -9.3%，而 C 的累计收益少 4.1 个百分点——-6% 触线对 1/4 凯利规模过松。</w:t>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200" w:after="80" w:line="360" w:lineRule="auto"/>
      </w:pPr>
      <w:r>
        <w:rPr>
          <w:rFonts w:ascii="Times New Roman" w:hAnsi="Times New Roman" w:eastAsia="黑体"/>
          <w:b/>
          <w:sz w:val="26"/>
        </w:rPr>
        <w:t>5.5　稳健性与外推性：五项检验</w:t>
      </w:r>
    </w:p>
    <w:p>
      <w:pPr>
        <w:spacing w:after="0" w:line="360" w:lineRule="auto"/>
        <w:ind w:firstLine="480"/>
      </w:pPr>
      <w:r>
        <w:rPr>
          <w:rFonts w:ascii="Times New Roman" w:hAnsi="Times New Roman" w:eastAsia="宋体"/>
          <w:b w:val="0"/>
          <w:sz w:val="24"/>
        </w:rPr>
        <w:t>单一路径、单一信号、单一干预形态，是这类回测最常见的三个脆弱点。本节做五项检验，把“结论有多稳”讲清楚（表 8）。</w:t>
      </w:r>
    </w:p>
    <w:p>
      <w:pPr>
        <w:spacing w:before="120" w:after="80" w:line="288" w:lineRule="auto"/>
        <w:jc w:val="center"/>
      </w:pPr>
      <w:r>
        <w:rPr>
          <w:rFonts w:ascii="Times New Roman" w:hAnsi="Times New Roman" w:eastAsia="黑体"/>
          <w:b/>
          <w:sz w:val="21"/>
        </w:rPr>
        <w:t>表 8　五项稳健性与外推性检验汇总</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209"/>
        <w:gridCol w:w="2209"/>
        <w:gridCol w:w="2209"/>
        <w:gridCol w:w="2209"/>
      </w:tblGrid>
      <w:tr>
        <w:tc>
          <w:tcPr>
            <w:tcW w:type="dxa" w:w="1587"/>
            <w:tcBorders>
              <w:bottom w:val="single" w:sz="6" w:space="0" w:color="000000"/>
            </w:tcBorders>
          </w:tcPr>
          <w:p>
            <w:pPr>
              <w:jc w:val="center"/>
            </w:pPr>
            <w:r/>
            <w:r>
              <w:rPr>
                <w:rFonts w:ascii="Times New Roman" w:hAnsi="Times New Roman" w:eastAsia="黑体"/>
                <w:b/>
                <w:sz w:val="18"/>
              </w:rPr>
              <w:t>检验</w:t>
            </w:r>
          </w:p>
        </w:tc>
        <w:tc>
          <w:tcPr>
            <w:tcW w:type="dxa" w:w="2494"/>
            <w:tcBorders>
              <w:bottom w:val="single" w:sz="6" w:space="0" w:color="000000"/>
            </w:tcBorders>
          </w:tcPr>
          <w:p>
            <w:pPr>
              <w:jc w:val="center"/>
            </w:pPr>
            <w:r/>
            <w:r>
              <w:rPr>
                <w:rFonts w:ascii="Times New Roman" w:hAnsi="Times New Roman" w:eastAsia="黑体"/>
                <w:b/>
                <w:sz w:val="18"/>
              </w:rPr>
              <w:t>设置</w:t>
            </w:r>
          </w:p>
        </w:tc>
        <w:tc>
          <w:tcPr>
            <w:tcW w:type="dxa" w:w="3742"/>
            <w:tcBorders>
              <w:bottom w:val="single" w:sz="6" w:space="0" w:color="000000"/>
            </w:tcBorders>
          </w:tcPr>
          <w:p>
            <w:pPr>
              <w:jc w:val="center"/>
            </w:pPr>
            <w:r/>
            <w:r>
              <w:rPr>
                <w:rFonts w:ascii="Times New Roman" w:hAnsi="Times New Roman" w:eastAsia="黑体"/>
                <w:b/>
                <w:sz w:val="18"/>
              </w:rPr>
              <w:t>关键结果</w:t>
            </w:r>
          </w:p>
        </w:tc>
        <w:tc>
          <w:tcPr>
            <w:tcW w:type="dxa" w:w="2948"/>
            <w:tcBorders>
              <w:bottom w:val="single" w:sz="6" w:space="0" w:color="000000"/>
            </w:tcBorders>
          </w:tcPr>
          <w:p>
            <w:pPr>
              <w:jc w:val="center"/>
            </w:pPr>
            <w:r/>
            <w:r>
              <w:rPr>
                <w:rFonts w:ascii="Times New Roman" w:hAnsi="Times New Roman" w:eastAsia="黑体"/>
                <w:b/>
                <w:sz w:val="18"/>
              </w:rPr>
              <w:t>结论</w:t>
            </w:r>
          </w:p>
        </w:tc>
      </w:tr>
      <w:tr>
        <w:tc>
          <w:tcPr>
            <w:tcW w:type="dxa" w:w="1587"/>
          </w:tcPr>
          <w:p>
            <w:pPr>
              <w:jc w:val="left"/>
            </w:pPr>
            <w:r/>
            <w:r>
              <w:rPr>
                <w:rFonts w:ascii="Times New Roman" w:hAnsi="Times New Roman" w:eastAsia="宋体"/>
                <w:b w:val="0"/>
                <w:sz w:val="18"/>
              </w:rPr>
              <w:t>① 块状自助法</w:t>
            </w:r>
          </w:p>
        </w:tc>
        <w:tc>
          <w:tcPr>
            <w:tcW w:type="dxa" w:w="2494"/>
          </w:tcPr>
          <w:p>
            <w:pPr>
              <w:jc w:val="center"/>
            </w:pPr>
            <w:r/>
            <w:r>
              <w:rPr>
                <w:rFonts w:ascii="Times New Roman" w:hAnsi="Times New Roman" w:eastAsia="宋体"/>
                <w:b w:val="0"/>
                <w:sz w:val="18"/>
              </w:rPr>
              <w:t>1000 次重抽样，块长 20 日</w:t>
            </w:r>
          </w:p>
        </w:tc>
        <w:tc>
          <w:tcPr>
            <w:tcW w:type="dxa" w:w="3742"/>
          </w:tcPr>
          <w:p>
            <w:pPr>
              <w:jc w:val="center"/>
            </w:pPr>
            <w:r/>
            <w:r>
              <w:rPr>
                <w:rFonts w:ascii="Times New Roman" w:hAnsi="Times New Roman" w:eastAsia="宋体"/>
                <w:b w:val="0"/>
                <w:sz w:val="18"/>
              </w:rPr>
              <w:t>累计 95%CI：A [-7.6%, 80.3%]、C [-7.9%, 68.0%]；回撤 95%CI：C [-15.2%, -4.3%] 优于 A、B（约 [-20.3%, -6.1%]）</w:t>
            </w:r>
          </w:p>
        </w:tc>
        <w:tc>
          <w:tcPr>
            <w:tcW w:type="dxa" w:w="2948"/>
          </w:tcPr>
          <w:p>
            <w:pPr>
              <w:jc w:val="center"/>
            </w:pPr>
            <w:r/>
            <w:r>
              <w:rPr>
                <w:rFonts w:ascii="Times New Roman" w:hAnsi="Times New Roman" w:eastAsia="宋体"/>
                <w:b w:val="0"/>
                <w:sz w:val="18"/>
              </w:rPr>
              <w:t>收益差异在统计上不显著；回撤优势相对稳健</w:t>
            </w:r>
          </w:p>
        </w:tc>
      </w:tr>
      <w:tr>
        <w:tc>
          <w:tcPr>
            <w:tcW w:type="dxa" w:w="1587"/>
          </w:tcPr>
          <w:p>
            <w:pPr>
              <w:jc w:val="left"/>
            </w:pPr>
            <w:r/>
            <w:r>
              <w:rPr>
                <w:rFonts w:ascii="Times New Roman" w:hAnsi="Times New Roman" w:eastAsia="宋体"/>
                <w:b w:val="0"/>
                <w:sz w:val="18"/>
              </w:rPr>
              <w:t>② 子区间</w:t>
            </w:r>
          </w:p>
        </w:tc>
        <w:tc>
          <w:tcPr>
            <w:tcW w:type="dxa" w:w="2494"/>
          </w:tcPr>
          <w:p>
            <w:pPr>
              <w:jc w:val="center"/>
            </w:pPr>
            <w:r/>
            <w:r>
              <w:rPr>
                <w:rFonts w:ascii="Times New Roman" w:hAnsi="Times New Roman" w:eastAsia="宋体"/>
                <w:b w:val="0"/>
                <w:sz w:val="18"/>
              </w:rPr>
              <w:t>样本三等分，各自独立回测</w:t>
            </w:r>
          </w:p>
        </w:tc>
        <w:tc>
          <w:tcPr>
            <w:tcW w:type="dxa" w:w="3742"/>
          </w:tcPr>
          <w:p>
            <w:pPr>
              <w:jc w:val="center"/>
            </w:pPr>
            <w:r/>
            <w:r>
              <w:rPr>
                <w:rFonts w:ascii="Times New Roman" w:hAnsi="Times New Roman" w:eastAsia="宋体"/>
                <w:b w:val="0"/>
                <w:sz w:val="18"/>
              </w:rPr>
              <w:t>三段收益排序均为 A≈B＞C；C 在震荡段卡玛 4.83（A 3.12）最高</w:t>
            </w:r>
          </w:p>
        </w:tc>
        <w:tc>
          <w:tcPr>
            <w:tcW w:type="dxa" w:w="2948"/>
          </w:tcPr>
          <w:p>
            <w:pPr>
              <w:jc w:val="center"/>
            </w:pPr>
            <w:r/>
            <w:r>
              <w:rPr>
                <w:rFonts w:ascii="Times New Roman" w:hAnsi="Times New Roman" w:eastAsia="宋体"/>
                <w:b w:val="0"/>
                <w:sz w:val="18"/>
              </w:rPr>
              <w:t>排序不依赖单一时段</w:t>
            </w:r>
          </w:p>
        </w:tc>
      </w:tr>
      <w:tr>
        <w:tc>
          <w:tcPr>
            <w:tcW w:type="dxa" w:w="1587"/>
          </w:tcPr>
          <w:p>
            <w:pPr>
              <w:jc w:val="left"/>
            </w:pPr>
            <w:r/>
            <w:r>
              <w:rPr>
                <w:rFonts w:ascii="Times New Roman" w:hAnsi="Times New Roman" w:eastAsia="宋体"/>
                <w:b w:val="0"/>
                <w:sz w:val="18"/>
              </w:rPr>
              <w:t>③ 凸性冲击</w:t>
            </w:r>
          </w:p>
        </w:tc>
        <w:tc>
          <w:tcPr>
            <w:tcW w:type="dxa" w:w="2494"/>
          </w:tcPr>
          <w:p>
            <w:pPr>
              <w:jc w:val="center"/>
            </w:pPr>
            <w:r/>
            <w:r>
              <w:rPr>
                <w:rFonts w:ascii="Times New Roman" w:hAnsi="Times New Roman" w:eastAsia="宋体"/>
                <w:b w:val="0"/>
                <w:sz w:val="18"/>
              </w:rPr>
              <w:t>成本 = 换手 ×（5bp + 5bp × 换手）</w:t>
            </w:r>
          </w:p>
        </w:tc>
        <w:tc>
          <w:tcPr>
            <w:tcW w:type="dxa" w:w="3742"/>
          </w:tcPr>
          <w:p>
            <w:pPr>
              <w:jc w:val="center"/>
            </w:pPr>
            <w:r/>
            <w:r>
              <w:rPr>
                <w:rFonts w:ascii="Times New Roman" w:hAnsi="Times New Roman" w:eastAsia="宋体"/>
                <w:b w:val="0"/>
                <w:sz w:val="18"/>
              </w:rPr>
              <w:t>A 10.4%/卡玛 0.47；B 9.4%/0.42；C 15.0%/0.88、回撤 -10.1%</w:t>
            </w:r>
          </w:p>
        </w:tc>
        <w:tc>
          <w:tcPr>
            <w:tcW w:type="dxa" w:w="2948"/>
          </w:tcPr>
          <w:p>
            <w:pPr>
              <w:jc w:val="center"/>
            </w:pPr>
            <w:r/>
            <w:r>
              <w:rPr>
                <w:rFonts w:ascii="Times New Roman" w:hAnsi="Times New Roman" w:eastAsia="宋体"/>
                <w:b w:val="0"/>
                <w:sz w:val="18"/>
              </w:rPr>
              <w:t>冲击非线性时，低换手优势扩大</w:t>
            </w:r>
          </w:p>
        </w:tc>
      </w:tr>
      <w:tr>
        <w:tc>
          <w:tcPr>
            <w:tcW w:type="dxa" w:w="1587"/>
          </w:tcPr>
          <w:p>
            <w:pPr>
              <w:jc w:val="left"/>
            </w:pPr>
            <w:r/>
            <w:r>
              <w:rPr>
                <w:rFonts w:ascii="Times New Roman" w:hAnsi="Times New Roman" w:eastAsia="宋体"/>
                <w:b w:val="0"/>
                <w:sz w:val="18"/>
              </w:rPr>
              <w:t>④ 滚动重估凯利</w:t>
            </w:r>
          </w:p>
        </w:tc>
        <w:tc>
          <w:tcPr>
            <w:tcW w:type="dxa" w:w="2494"/>
          </w:tcPr>
          <w:p>
            <w:pPr>
              <w:jc w:val="center"/>
            </w:pPr>
            <w:r/>
            <w:r>
              <w:rPr>
                <w:rFonts w:ascii="Times New Roman" w:hAnsi="Times New Roman" w:eastAsia="宋体"/>
                <w:b w:val="0"/>
                <w:sz w:val="18"/>
              </w:rPr>
              <w:t>严格 walk-forward，每 60 日仅用历史重估</w:t>
            </w:r>
          </w:p>
        </w:tc>
        <w:tc>
          <w:tcPr>
            <w:tcW w:type="dxa" w:w="3742"/>
          </w:tcPr>
          <w:p>
            <w:pPr>
              <w:jc w:val="center"/>
            </w:pPr>
            <w:r/>
            <w:r>
              <w:rPr>
                <w:rFonts w:ascii="Times New Roman" w:hAnsi="Times New Roman" w:eastAsia="宋体"/>
                <w:b w:val="0"/>
                <w:sz w:val="18"/>
              </w:rPr>
              <w:t>C-roll 14.6%/0.92，低于静态 18.6%/1.19</w:t>
            </w:r>
          </w:p>
        </w:tc>
        <w:tc>
          <w:tcPr>
            <w:tcW w:type="dxa" w:w="2948"/>
          </w:tcPr>
          <w:p>
            <w:pPr>
              <w:jc w:val="center"/>
            </w:pPr>
            <w:r/>
            <w:r>
              <w:rPr>
                <w:rFonts w:ascii="Times New Roman" w:hAnsi="Times New Roman" w:eastAsia="宋体"/>
                <w:b w:val="0"/>
                <w:sz w:val="18"/>
              </w:rPr>
              <w:t>滚动重估未改善，静态 1/4 缩放更稳</w:t>
            </w:r>
          </w:p>
        </w:tc>
      </w:tr>
      <w:tr>
        <w:tc>
          <w:tcPr>
            <w:tcW w:type="dxa" w:w="1587"/>
          </w:tcPr>
          <w:p>
            <w:pPr>
              <w:jc w:val="left"/>
            </w:pPr>
            <w:r/>
            <w:r>
              <w:rPr>
                <w:rFonts w:ascii="Times New Roman" w:hAnsi="Times New Roman" w:eastAsia="宋体"/>
                <w:b w:val="0"/>
                <w:sz w:val="18"/>
              </w:rPr>
              <w:t>⑤ 替代干预</w:t>
            </w:r>
          </w:p>
        </w:tc>
        <w:tc>
          <w:tcPr>
            <w:tcW w:type="dxa" w:w="2494"/>
          </w:tcPr>
          <w:p>
            <w:pPr>
              <w:jc w:val="center"/>
            </w:pPr>
            <w:r/>
            <w:r>
              <w:rPr>
                <w:rFonts w:ascii="Times New Roman" w:hAnsi="Times New Roman" w:eastAsia="宋体"/>
                <w:b w:val="0"/>
                <w:sz w:val="18"/>
              </w:rPr>
              <w:t>触发后清仓（对照减半）</w:t>
            </w:r>
          </w:p>
        </w:tc>
        <w:tc>
          <w:tcPr>
            <w:tcW w:type="dxa" w:w="3742"/>
          </w:tcPr>
          <w:p>
            <w:pPr>
              <w:jc w:val="center"/>
            </w:pPr>
            <w:r/>
            <w:r>
              <w:rPr>
                <w:rFonts w:ascii="Times New Roman" w:hAnsi="Times New Roman" w:eastAsia="宋体"/>
                <w:b w:val="0"/>
                <w:sz w:val="18"/>
              </w:rPr>
              <w:t>清仓 14.8%/0.95，低于减半 18.6%/1.19</w:t>
            </w:r>
          </w:p>
        </w:tc>
        <w:tc>
          <w:tcPr>
            <w:tcW w:type="dxa" w:w="2948"/>
          </w:tcPr>
          <w:p>
            <w:pPr>
              <w:jc w:val="center"/>
            </w:pPr>
            <w:r/>
            <w:r>
              <w:rPr>
                <w:rFonts w:ascii="Times New Roman" w:hAnsi="Times New Roman" w:eastAsia="宋体"/>
                <w:b w:val="0"/>
                <w:sz w:val="18"/>
              </w:rPr>
              <w:t>减半优于清仓（避免错过反弹）</w:t>
            </w:r>
          </w:p>
        </w:tc>
      </w:tr>
      <w:tr>
        <w:tc>
          <w:tcPr>
            <w:tcW w:type="dxa" w:w="1587"/>
          </w:tcPr>
          <w:p>
            <w:pPr>
              <w:jc w:val="left"/>
            </w:pPr>
            <w:r/>
            <w:r>
              <w:rPr>
                <w:rFonts w:ascii="Times New Roman" w:hAnsi="Times New Roman" w:eastAsia="宋体"/>
                <w:b w:val="0"/>
                <w:sz w:val="18"/>
              </w:rPr>
              <w:t>⑥ 真实信号替换</w:t>
            </w:r>
          </w:p>
        </w:tc>
        <w:tc>
          <w:tcPr>
            <w:tcW w:type="dxa" w:w="2494"/>
          </w:tcPr>
          <w:p>
            <w:pPr>
              <w:jc w:val="center"/>
            </w:pPr>
            <w:r/>
            <w:r>
              <w:rPr>
                <w:rFonts w:ascii="Times New Roman" w:hAnsi="Times New Roman" w:eastAsia="宋体"/>
                <w:b w:val="0"/>
                <w:sz w:val="18"/>
              </w:rPr>
              <w:t>20 日动量方向（命中率 48.7%，无预测优势）</w:t>
            </w:r>
          </w:p>
        </w:tc>
        <w:tc>
          <w:tcPr>
            <w:tcW w:type="dxa" w:w="3742"/>
          </w:tcPr>
          <w:p>
            <w:pPr>
              <w:jc w:val="center"/>
            </w:pPr>
            <w:r/>
            <w:r>
              <w:rPr>
                <w:rFonts w:ascii="Times New Roman" w:hAnsi="Times New Roman" w:eastAsia="宋体"/>
                <w:b w:val="0"/>
                <w:sz w:val="18"/>
              </w:rPr>
              <w:t>A 40.0%/-13.5%/1.71；C 26.7%/-8.8%/1.78</w:t>
            </w:r>
          </w:p>
        </w:tc>
        <w:tc>
          <w:tcPr>
            <w:tcW w:type="dxa" w:w="2948"/>
          </w:tcPr>
          <w:p>
            <w:pPr>
              <w:jc w:val="center"/>
            </w:pPr>
            <w:r/>
            <w:r>
              <w:rPr>
                <w:rFonts w:ascii="Times New Roman" w:hAnsi="Times New Roman" w:eastAsia="宋体"/>
                <w:b w:val="0"/>
                <w:sz w:val="18"/>
              </w:rPr>
              <w:t>框架可迁移到真实信号，回撤优势保持</w:t>
            </w:r>
          </w:p>
        </w:tc>
      </w:tr>
    </w:tbl>
    <w:p>
      <w:pPr>
        <w:spacing w:after="40"/>
      </w:pPr>
    </w:p>
    <w:p>
      <w:pPr>
        <w:spacing w:after="0" w:line="360" w:lineRule="auto"/>
        <w:ind w:firstLine="480"/>
      </w:pPr>
      <w:r>
        <w:rPr>
          <w:rFonts w:ascii="Times New Roman" w:hAnsi="Times New Roman" w:eastAsia="宋体"/>
          <w:b w:val="0"/>
          <w:sz w:val="24"/>
        </w:rPr>
        <w:t>四点解读。其一，</w:t>
      </w:r>
      <w:r>
        <w:rPr>
          <w:rFonts w:ascii="Times New Roman" w:hAnsi="Times New Roman" w:eastAsia="宋体"/>
          <w:b/>
          <w:sz w:val="24"/>
        </w:rPr>
        <w:t>必须先看自助法</w:t>
      </w:r>
      <w:r>
        <w:rPr>
          <w:rFonts w:ascii="Times New Roman" w:hAnsi="Times New Roman" w:eastAsia="宋体"/>
          <w:b w:val="0"/>
          <w:sz w:val="24"/>
        </w:rPr>
        <w:t>：410 个交易日、单一路径的信息量决定了累计收益的置信区间很宽，三组之间的点估计差异并不显著——因此本报告把排序当作机制证据，而不把 23.2% 与 18.6% 的差值当作可重复的收益预测。但回撤的置信区间上 C 组明显更优，“低换手规则系统性降低尾部风险”这一结论相对稳健。其二，</w:t>
      </w:r>
      <w:r>
        <w:rPr>
          <w:rFonts w:ascii="Times New Roman" w:hAnsi="Times New Roman" w:eastAsia="宋体"/>
          <w:b/>
          <w:sz w:val="24"/>
        </w:rPr>
        <w:t>凸性冲击是最强的支持证据</w:t>
      </w:r>
      <w:r>
        <w:rPr>
          <w:rFonts w:ascii="Times New Roman" w:hAnsi="Times New Roman" w:eastAsia="宋体"/>
          <w:b w:val="0"/>
          <w:sz w:val="24"/>
        </w:rPr>
        <w:t>：真实成本结构不是线性的，换手越大惩罚越重；在线性成本下 C 组只是“用收益换回撤”，而在凸性冲击下 C 组的卡玛（0.88）几乎是 A、B 的两倍——低换手规则的价值被线性假设系统性低估了。其三，</w:t>
      </w:r>
      <w:r>
        <w:rPr>
          <w:rFonts w:ascii="Times New Roman" w:hAnsi="Times New Roman" w:eastAsia="宋体"/>
          <w:b/>
          <w:sz w:val="24"/>
        </w:rPr>
        <w:t>两项自我否定的结果如实保留</w:t>
      </w:r>
      <w:r>
        <w:rPr>
          <w:rFonts w:ascii="Times New Roman" w:hAnsi="Times New Roman" w:eastAsia="宋体"/>
          <w:b w:val="0"/>
          <w:sz w:val="24"/>
        </w:rPr>
        <w:t>：滚动重估（14.6% vs 静态 18.6%）与触线清仓（14.8% vs 减半 18.6%）都不占优，说明“更复杂的估计/更激进的干预”并不自动更好。其四，</w:t>
      </w:r>
      <w:r>
        <w:rPr>
          <w:rFonts w:ascii="Times New Roman" w:hAnsi="Times New Roman" w:eastAsia="宋体"/>
          <w:b/>
          <w:sz w:val="24"/>
        </w:rPr>
        <w:t>真实信号替换验证了框架的外推性</w:t>
      </w:r>
      <w:r>
        <w:rPr>
          <w:rFonts w:ascii="Times New Roman" w:hAnsi="Times New Roman" w:eastAsia="宋体"/>
          <w:b w:val="0"/>
          <w:sz w:val="24"/>
        </w:rPr>
        <w:t>：换成命中率仅 48.7% 的 20 日动量信号后，A 组靠市场 beta 取得 40.0% 但回撤 -13.5%，C 组虽只 26.7% 却把回撤压到 -8.8%、卡玛 1.78 反超——风险预算的价值不依赖模拟信号的特殊性。</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11.4%；成本扫描还显示策略排序是成本的函数——10bp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after="0" w:line="360" w:lineRule="auto"/>
      </w:pPr>
      <w:r>
        <w:rPr>
          <w:rFonts w:ascii="Times New Roman" w:hAnsi="Times New Roman" w:eastAsia="宋体"/>
          <w:b/>
          <w:sz w:val="24"/>
        </w:rPr>
        <w:t>稳健性与外推性</w:t>
      </w:r>
      <w:r>
        <w:rPr>
          <w:rFonts w:ascii="Times New Roman" w:hAnsi="Times New Roman" w:eastAsia="宋体"/>
          <w:b w:val="0"/>
          <w:sz w:val="24"/>
        </w:rPr>
        <w:t>：块状自助法显示组间收益差异不显著、但回撤优势稳健；凸性冲击下低换手规则优势扩大（卡玛 0.88 vs 0.47/0.42）；真实动量信号替换后框架依然成立（C 组回撤 -8.8% vs A 组 -13.5%）；滚动重估与清仓干预两项自我否定结果一并报告。</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经本轮五项检验后，仍需如实保留三条边界。其一，</w:t>
      </w:r>
      <w:r>
        <w:rPr>
          <w:rFonts w:ascii="Times New Roman" w:hAnsi="Times New Roman" w:eastAsia="宋体"/>
          <w:b/>
          <w:sz w:val="24"/>
        </w:rPr>
        <w:t>真实大模型信号尚未接入</w:t>
      </w:r>
      <w:r>
        <w:rPr>
          <w:rFonts w:ascii="Times New Roman" w:hAnsi="Times New Roman" w:eastAsia="宋体"/>
          <w:b w:val="0"/>
          <w:sz w:val="24"/>
        </w:rPr>
        <w:t>：本报告以 20 日动量信号做了替换检验（第 5.5 节），证明框架不依赖模拟信号，但“某个具体大模型输出”的实证仍是开放任务。其二，</w:t>
      </w:r>
      <w:r>
        <w:rPr>
          <w:rFonts w:ascii="Times New Roman" w:hAnsi="Times New Roman" w:eastAsia="宋体"/>
          <w:b/>
          <w:sz w:val="24"/>
        </w:rPr>
        <w:t>样本为 28 只当前成分股、410 个交易日、含一段蓝筹上行</w:t>
      </w:r>
      <w:r>
        <w:rPr>
          <w:rFonts w:ascii="Times New Roman" w:hAnsi="Times New Roman" w:eastAsia="宋体"/>
          <w:b w:val="0"/>
          <w:sz w:val="24"/>
        </w:rPr>
        <w:t>：已用三等分子区间检验排序稳定性（收益排序三段一致），但成分选择偏差与更长的牛熊周期覆盖仍未解决。其三，</w:t>
      </w:r>
      <w:r>
        <w:rPr>
          <w:rFonts w:ascii="Times New Roman" w:hAnsi="Times New Roman" w:eastAsia="宋体"/>
          <w:b/>
          <w:sz w:val="24"/>
        </w:rPr>
        <w:t>极端流动性枯竭与涨跌停摩擦未建模</w:t>
      </w:r>
      <w:r>
        <w:rPr>
          <w:rFonts w:ascii="Times New Roman" w:hAnsi="Times New Roman" w:eastAsia="宋体"/>
          <w:b w:val="0"/>
          <w:sz w:val="24"/>
        </w:rPr>
        <w:t>：已用 7bp 含滑点情景与凸性冲击情景逼近真实摩擦，但流动性瞬间消失的情形不在模型内。此外，自助法显示组间收益差异在统计上不显著，凡引用具体差值处，均应理解为点估计而非可重复的收益预测。</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复现链条三步走。行情：调腾讯财经公开接口下载 28 只沪深蓝筹 410 个交易日的前复权收盘价（prices.csv，11480 行），任何人可重新下载核验。信号：gen_signals.py 以种子 20261029 注入 6910 条买/卖信号（signals.csv），生成规则完全公开，复跑逐字节一致。实验：notebook 与 run_all.py 跑完回测、样本外、敏感性、反事实、成本扫描与再校准——文中每个表格和图都出自代码运行，没有手工填数。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