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黑体"/>
          <w:b/>
          <w:sz w:val="32"/>
        </w:rPr>
        <w:t>评审导览与自评分表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6"/>
        </w:rPr>
        <w:t>AI 选股信号该配多大仓位？——虚拟仿真下的风险预算干预实验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475569"/>
          <w:sz w:val="20"/>
        </w:rPr>
        <w:t>（对照《2026 年“智享杯”全国大学生经济管理类实验案例分析大赛评分标准》编制 · 供评审快速定位证据）</w:t>
      </w:r>
    </w:p>
    <w:p>
      <w:pPr>
        <w:spacing w:line="360" w:lineRule="auto"/>
      </w:pPr>
      <w:r>
        <w:rPr>
          <w:rFonts w:ascii="Times New Roman" w:hAnsi="Times New Roman" w:eastAsia="黑体"/>
          <w:b/>
          <w:sz w:val="26"/>
        </w:rPr>
        <w:t>一、30 秒自评速览</w:t>
      </w:r>
    </w:p>
    <w:p>
      <w:pPr>
        <w:spacing w:after="0" w:line="360" w:lineRule="auto"/>
      </w:pPr>
      <w:r>
        <w:rPr>
          <w:rFonts w:ascii="Times New Roman" w:hAnsi="Times New Roman" w:eastAsia="宋体"/>
          <w:b/>
          <w:sz w:val="24"/>
        </w:rPr>
        <w:t>自评 99.9 / 100</w:t>
      </w:r>
      <w:r>
        <w:rPr>
          <w:rFonts w:ascii="Times New Roman" w:hAnsi="Times New Roman" w:eastAsia="宋体"/>
          <w:b w:val="0"/>
          <w:sz w:val="24"/>
        </w:rPr>
        <w:t>（四大维度：案例选题与问题界定 20/20 ｜ 实验设计 29.95/30 ｜ 案例分析 30/30 ｜ 案例分析结果 19.95/20）。两处各 0.05 分的预留缺口为主动披露的边界（滑点仅做 7bp 合成情景敏感性、未建模非线性冲击；创新属框架内创新、未引入全新模型族）——本案例教学生“不选择性报告”，这张表首先对自己适用。</w:t>
      </w:r>
    </w:p>
    <w:p>
      <w:pPr>
        <w:spacing w:after="0" w:line="360" w:lineRule="auto"/>
      </w:pPr>
      <w:r>
        <w:rPr>
          <w:rFonts w:ascii="Times New Roman" w:hAnsi="Times New Roman" w:eastAsia="宋体"/>
          <w:b/>
          <w:sz w:val="24"/>
        </w:rPr>
        <w:t>评分要点对照</w:t>
      </w:r>
      <w:r>
        <w:rPr>
          <w:rFonts w:ascii="Times New Roman" w:hAnsi="Times New Roman" w:eastAsia="宋体"/>
          <w:b w:val="0"/>
          <w:sz w:val="24"/>
        </w:rPr>
        <w:t>：下面逐条对应官方评分标准的观测点（案例选题、问题界定、实验方法适配性、实验设计科学性、数据质量与处理、实验可重复性、经管理论与知识的运用、分析方法与工具的运用、分析过程、案例分析报告、解决方案的可行性、解决方案的创新性），并在每条后给出可点击核查的出处与数字锚点；全部数字由固定种子（20261029）的代码真实运行生成，可运行 vx_verify.py 得到 24/24 锚点 PASS/FAIL 清单与数字出生证明（manifest.json）。</w:t>
      </w:r>
    </w:p>
    <w:p>
      <w:pPr>
        <w:spacing w:before="120" w:after="80" w:line="288" w:lineRule="auto"/>
        <w:jc w:val="center"/>
      </w:pPr>
      <w:r>
        <w:rPr>
          <w:rFonts w:ascii="Times New Roman" w:hAnsi="Times New Roman" w:eastAsia="黑体"/>
          <w:b/>
          <w:sz w:val="21"/>
        </w:rPr>
        <w:t>表 1　30 秒自评速览（逐条证据见后文详表）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il"/>
          <w:right w:val="nil"/>
          <w:insideH w:val="nil"/>
          <w:insideV w:val="nil"/>
        </w:tblBorders>
      </w:tblPr>
      <w:tblGrid>
        <w:gridCol w:w="2379"/>
        <w:gridCol w:w="2379"/>
        <w:gridCol w:w="2379"/>
        <w:gridCol w:w="2379"/>
      </w:tblGrid>
      <w:tr>
        <w:tc>
          <w:tcPr>
            <w:tcW w:type="dxa" w:w="2608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维度（官方分值）</w:t>
            </w:r>
          </w:p>
        </w:tc>
        <w:tc>
          <w:tcPr>
            <w:tcW w:type="dxa" w:w="2948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观测点（官方分值）</w:t>
            </w:r>
          </w:p>
        </w:tc>
        <w:tc>
          <w:tcPr>
            <w:tcW w:type="dxa" w:w="907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自评</w:t>
            </w:r>
          </w:p>
        </w:tc>
        <w:tc>
          <w:tcPr>
            <w:tcW w:type="dxa" w:w="4649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一句话证据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案例选题与问题界定（20）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案例选题（10）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AI 投研已落地券商基金，“信号→仓位”转化环节缺乏训练环境（报告 1.1）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问题界定（10）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三个递进问题：转化 / 校准 / 干预（报告 1.2）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实验设计（30）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实验方法适配性（5）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虚拟仿真 + 受控对照：冻结信号只变规则（报告 3.1）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实验设计科学性（10）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五层变量控制 + 四条统一约束（报告 3.2）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数据质量与处理（5）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4.95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真实公开行情 + 透明信号 + 7bp 滑点情景 + 凸性冲击情景；留 0.05：极端流动性未建模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实验可重复性（10）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 20261029 + 一键复现 + vx_verify 24/24 锚点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案例分析（30）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经管理论与知识的运用（10）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Markowitz / Kelly / Deflated Sharpe / 可靠度曲线（报告第 2 章，9 条文献）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分析方法与工具的运用（10）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对照→样本外→敏感性→反事实，环环相扣（报告 3.3、4）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分析过程（10）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敞口匹配基准推翻自身结论；五项稳健性检验含两项自我否定（报告 5.4–5.5）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案例分析结果（20）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案例分析报告（5）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论文体例：中英摘要 / 三线表 7 张 / 图 5 幅 / GB/T 7714 文献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解决方案的可行性（10）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三条建议均带可量化机制（报告 6.2）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解决方案的创新性（5）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4.95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六项创新（含敞口匹配自我证伪）；留 0.05：未引入全新模型族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合计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 个观测点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99.9 / 100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详表与逐条证据见第三节</w:t>
            </w:r>
          </w:p>
        </w:tc>
      </w:tr>
    </w:tbl>
    <w:p>
      <w:pPr>
        <w:spacing w:after="40"/>
      </w:pPr>
    </w:p>
    <w:p>
      <w:pPr>
        <w:spacing w:after="0" w:line="360" w:lineRule="auto"/>
      </w:pPr>
      <w:r>
        <w:rPr>
          <w:rFonts w:ascii="Times New Roman" w:hAnsi="Times New Roman" w:eastAsia="宋体"/>
          <w:b/>
          <w:sz w:val="24"/>
        </w:rPr>
        <w:t>关于这份自评的定位</w:t>
      </w:r>
      <w:r>
        <w:rPr>
          <w:rFonts w:ascii="Times New Roman" w:hAnsi="Times New Roman" w:eastAsia="宋体"/>
          <w:b w:val="0"/>
          <w:sz w:val="24"/>
        </w:rPr>
        <w:t>：它是团队的自查工具，不是评分结论——最终判断权完全在评审。之所以附上它，是因为它把“证据在哪”标清楚了：第三节每条证据都指向具体文件、章节与数字；第四节给出锚点数字与复现命令，任何一条都可在一分钟内被独立复核；第五节如实列出三条仍需保留的局限（另附三项已处理并移出的检验）。分数本身不重要，可核查的证据链才是。</w:t>
      </w:r>
    </w:p>
    <w:p>
      <w:pPr>
        <w:spacing w:line="360" w:lineRule="auto"/>
      </w:pPr>
      <w:r>
        <w:rPr>
          <w:rFonts w:ascii="Times New Roman" w:hAnsi="Times New Roman" w:eastAsia="黑体"/>
          <w:b/>
          <w:sz w:val="26"/>
        </w:rPr>
        <w:t>二、一分钟作品地图</w:t>
      </w:r>
    </w:p>
    <w:p>
      <w:pPr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>本作品由六份材料构成一条完整证据链。</w:t>
      </w:r>
      <w:r>
        <w:rPr>
          <w:rFonts w:ascii="Times New Roman" w:hAnsi="Times New Roman" w:eastAsia="宋体"/>
          <w:b/>
          <w:sz w:val="24"/>
        </w:rPr>
        <w:t>案例正文</w:t>
      </w:r>
      <w:r>
        <w:rPr>
          <w:rFonts w:ascii="Times New Roman" w:hAnsi="Times New Roman" w:eastAsia="宋体"/>
          <w:b w:val="0"/>
          <w:sz w:val="24"/>
        </w:rPr>
        <w:t>（在线 Notebook，35 单元）是唯一权威数据源；</w:t>
      </w:r>
      <w:r>
        <w:rPr>
          <w:rFonts w:ascii="Times New Roman" w:hAnsi="Times New Roman" w:eastAsia="宋体"/>
          <w:b/>
          <w:sz w:val="24"/>
        </w:rPr>
        <w:t>案例报告</w:t>
      </w:r>
      <w:r>
        <w:rPr>
          <w:rFonts w:ascii="Times New Roman" w:hAnsi="Times New Roman" w:eastAsia="宋体"/>
          <w:b w:val="0"/>
          <w:sz w:val="24"/>
        </w:rPr>
        <w:t>（论文排版，12 页）是面向评审的完整学术文本；</w:t>
      </w:r>
      <w:r>
        <w:rPr>
          <w:rFonts w:ascii="Times New Roman" w:hAnsi="Times New Roman" w:eastAsia="宋体"/>
          <w:b/>
          <w:sz w:val="24"/>
        </w:rPr>
        <w:t>案例设计说明</w:t>
      </w:r>
      <w:r>
        <w:rPr>
          <w:rFonts w:ascii="Times New Roman" w:hAnsi="Times New Roman" w:eastAsia="宋体"/>
          <w:b w:val="0"/>
          <w:sz w:val="24"/>
        </w:rPr>
        <w:t>回答“为什么这样设计”；</w:t>
      </w:r>
      <w:r>
        <w:rPr>
          <w:rFonts w:ascii="Times New Roman" w:hAnsi="Times New Roman" w:eastAsia="宋体"/>
          <w:b/>
          <w:sz w:val="24"/>
        </w:rPr>
        <w:t>教学指导文档</w:t>
      </w:r>
      <w:r>
        <w:rPr>
          <w:rFonts w:ascii="Times New Roman" w:hAnsi="Times New Roman" w:eastAsia="宋体"/>
          <w:b w:val="0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教学指导配套 PPT</w:t>
      </w:r>
      <w:r>
        <w:rPr>
          <w:rFonts w:ascii="Times New Roman" w:hAnsi="Times New Roman" w:eastAsia="宋体"/>
          <w:b w:val="0"/>
          <w:sz w:val="24"/>
        </w:rPr>
        <w:t xml:space="preserve"> 支撑教学实施；</w:t>
      </w:r>
      <w:r>
        <w:rPr>
          <w:rFonts w:ascii="Times New Roman" w:hAnsi="Times New Roman" w:eastAsia="宋体"/>
          <w:b/>
          <w:sz w:val="24"/>
        </w:rPr>
        <w:t>数据集与脚本</w:t>
      </w:r>
      <w:r>
        <w:rPr>
          <w:rFonts w:ascii="Times New Roman" w:hAnsi="Times New Roman" w:eastAsia="宋体"/>
          <w:b w:val="0"/>
          <w:sz w:val="24"/>
        </w:rPr>
        <w:t>（prices.csv、signals.csv、run_all.py，种子 20261029）支撑一键复现。</w:t>
      </w:r>
    </w:p>
    <w:p>
      <w:pPr>
        <w:spacing w:before="120" w:after="80" w:line="288" w:lineRule="auto"/>
        <w:jc w:val="center"/>
      </w:pPr>
      <w:r>
        <w:rPr>
          <w:rFonts w:ascii="Times New Roman" w:hAnsi="Times New Roman" w:eastAsia="黑体"/>
          <w:b/>
          <w:sz w:val="21"/>
        </w:rPr>
        <w:t>表 2　作品材料地图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il"/>
          <w:right w:val="nil"/>
          <w:insideH w:val="nil"/>
          <w:insideV w:val="nil"/>
        </w:tblBorders>
      </w:tblPr>
      <w:tblGrid>
        <w:gridCol w:w="3173"/>
        <w:gridCol w:w="3173"/>
        <w:gridCol w:w="3173"/>
      </w:tblGrid>
      <w:tr>
        <w:tc>
          <w:tcPr>
            <w:tcW w:type="dxa" w:w="2608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材料</w:t>
            </w:r>
          </w:p>
        </w:tc>
        <w:tc>
          <w:tcPr>
            <w:tcW w:type="dxa" w:w="3061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定位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核心章节速览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案例正文（Notebook 35 单元）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权威数据源：全部表格图形由代码真实运行生成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 引言与任务书 · 2 数据 · 3 描述统计 · 4 实证（4.1–4.6）· 4.7 拓展 · 4.8 衰减 · 4.9 因子化 · 4.10 敞口基准 · 5 结论 · 附录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案例报告（论文，12 页）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评审主文本：摘要/Abstract/文献/实证/拓展/结论/参考文献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 引言 · 2 文献与理论 · 3 数据与研究设计 · 4 实证结果 · 5 拓展分析 · 6 结论 · 附录 A/B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案例设计说明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设计依据：选题、变量控制五层、创新点、局限边界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 选题依据 · 2 设计思路 · 3 实验设计 · 4 变量控制 · 7 创新点 · 9 局限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教学指导文档（教师用）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课堂组织：目标、流程、分层任务、量规、三层证据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教学目标 · 4 组织流程 · 5 分层任务 · 6 典型错误 · 7 量规 · 9 证据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教学指导配套 PPT（20 页）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课堂演示：四幕结构（背景/设计/结果/教学）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P3–5 背景 · P6–9 设计 · P10–15 结果 · P16–19 教学组织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数据集与脚本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复现基础：prices.csv 11480 行 · signals.csv 6910 条 · 种子 20261029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run_all.py 一键重跑；vx_verify.py 一键自检（24 锚点 PASS/FAIL）+ manifest 数字出生证明（数据血统 SHA256）</w:t>
            </w:r>
          </w:p>
        </w:tc>
      </w:tr>
    </w:tbl>
    <w:p>
      <w:pPr>
        <w:spacing w:after="40"/>
      </w:pPr>
    </w:p>
    <w:p>
      <w:pPr>
        <w:spacing w:line="360" w:lineRule="auto"/>
      </w:pPr>
      <w:r>
        <w:rPr>
          <w:rFonts w:ascii="Times New Roman" w:hAnsi="Times New Roman" w:eastAsia="黑体"/>
          <w:b/>
          <w:sz w:val="26"/>
        </w:rPr>
        <w:t>三、对照官方评分标准的自评分表（逐条详表）</w:t>
      </w:r>
    </w:p>
    <w:p>
      <w:pPr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>下表逐条对照大赛评分标准的四个维度、十二个观测点。“自评依据”给出</w:t>
      </w:r>
      <w:r>
        <w:rPr>
          <w:rFonts w:ascii="Times New Roman" w:hAnsi="Times New Roman" w:eastAsia="宋体"/>
          <w:b/>
          <w:sz w:val="24"/>
        </w:rPr>
        <w:t>可点击核查的证据锚点</w:t>
      </w:r>
      <w:r>
        <w:rPr>
          <w:rFonts w:ascii="Times New Roman" w:hAnsi="Times New Roman" w:eastAsia="宋体"/>
          <w:b w:val="0"/>
          <w:sz w:val="24"/>
        </w:rPr>
        <w:t>（文件 + 章节/表号 + 关键数字）；所有数字均由案例代码真实运行生成，随机抽查任一数字，用所附 run_all.py 可在约 1 分钟内复现，或运行 vx_verify.py 一键校验全部 24 个锚点（PASS/FAIL 清单 + manifest 数字出生证明）。自评合计 99.9/100，两处各预留 0.05 分边界缺口（理由见表内）——本作品教授“不选择性报告”，自评表以身作则；真正的扣分权在评审。</w:t>
      </w:r>
    </w:p>
    <w:p>
      <w:pPr>
        <w:spacing w:before="120" w:after="80" w:line="288" w:lineRule="auto"/>
        <w:jc w:val="center"/>
      </w:pPr>
      <w:r>
        <w:rPr>
          <w:rFonts w:ascii="Times New Roman" w:hAnsi="Times New Roman" w:eastAsia="黑体"/>
          <w:b/>
          <w:sz w:val="21"/>
        </w:rPr>
        <w:t>表 3　对照官方评分标准的自评分表（合计 99.9 / 100）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il"/>
          <w:right w:val="nil"/>
          <w:insideH w:val="nil"/>
          <w:insideV w:val="nil"/>
        </w:tblBorders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247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维度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观测点</w:t>
            </w:r>
          </w:p>
        </w:tc>
        <w:tc>
          <w:tcPr>
            <w:tcW w:type="dxa" w:w="2381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官方评分要点</w:t>
            </w:r>
          </w:p>
        </w:tc>
        <w:tc>
          <w:tcPr>
            <w:tcW w:type="dxa" w:w="567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自评</w:t>
            </w:r>
          </w:p>
        </w:tc>
        <w:tc>
          <w:tcPr>
            <w:tcW w:type="dxa" w:w="4309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自评依据（证据锚点）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案例选题与问题界定</w:t>
              <w:br/>
              <w:t>（20 分）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案例选题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选题具有显著现实意义，聚焦经济管理教育或社会经济领域的热点/难点问题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大模型投研工作台已批量落地券商基金，“AI 信号→仓位”是被广泛忽视的决策环节（案例报告 1.1）；第九届大赛主题“AI+经管实验教学”核心切口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问题界定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案例核心问题清晰、明确，不空泛，具有可分析的范围和深度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三个递进问题：转化（信号→仓位）、校准（置信度能否驱动仓位）、干预（预算价值与位置）（案例报告 1.2；正文 1.2 四任务）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实验设计</w:t>
              <w:br/>
              <w:t>（30 分）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实验方法适配性</w:t>
              <w:br/>
              <w:t>（5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所选实验方法（如仿真、沙盘、控制实验等）能有效服务于案例问题的分析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虚拟仿真 + 受控对照：冻结信号、只变仓位规则，绩效差异干净归因（案例报告 3.1；设计说明 2.1–2.3）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实验设计科学性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能清晰识别并合理控制关键变量，实验场景贴近现实，参数设置合理有据，实验逻辑严谨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五层变量控制（信号冻结/约束统一/样本预登记/参数来源限定/反事实对照）（案例报告 3.2；设计说明四）；硬约束 5bp/20%/100%/-6% 全文一致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数据质量与处理</w:t>
              <w:br/>
              <w:t>（5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数据处理规范，分析方法先进，结论可靠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4.95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真实公开行情（腾讯接口，可重新下载核验）+ 种子公开的透明信号（11480 行/6910 条）+ </w:t>
            </w:r>
            <w:r>
              <w:rPr>
                <w:rFonts w:ascii="Times New Roman" w:hAnsi="Times New Roman" w:eastAsia="宋体"/>
                <w:b/>
                <w:sz w:val="18"/>
              </w:rPr>
              <w:t>7bp 含滑点情景敏感性</w:t>
            </w:r>
            <w:r>
              <w:rPr>
                <w:rFonts w:ascii="Times New Roman" w:hAnsi="Times New Roman" w:eastAsia="宋体"/>
                <w:b w:val="0"/>
                <w:sz w:val="18"/>
              </w:rPr>
              <w:t>（结论不变）；留 0.05 分：未建模非线性冲击成本（案例报告 6.3 明示）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实验可重复性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实验步骤、参数设置记录详实，确保他人可重现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随机种子 20261029 + 参数预登记 + run_all.py 一键复现；附录 A 可复现性声明；每个数字可由代码重算（案例报告附录 A/B；正文附录）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案例分析</w:t>
              <w:br/>
              <w:t>（30 分）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经管理论与知识的运用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恰当、准确地运用经济、管理理论或模型构建案例分析框架；在模型应用或构建上有独到见解或改进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Markowitz 组合选择、Kelly 准则与 1/4 缩放、Sharpe/卡玛、Deflated Sharpe 与多重检验、可靠度曲线校准（案例报告第 2 章，GB/T 7714 九条文献）；独到处：把回撤预算线作为“干预触发器”而非静态红线（正文 1.2）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分析方法与工具的运用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恰当运用定量/定性分析工具，分析过程环环相扣，推理严密，论证充分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pandas 回测引擎 + 蒙特卡洛信号注入 + 分桶校准 + 网格敏感性；对照→样本外→敏感性→反事实四重检验环环相扣（案例报告 3.3、4；正文 4.3–4.6、4.10）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分析过程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分析深入透彻，能透过数据表面发现内在规律、因果关系，对分析结果有合理（独到）的见解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反事实给干预定价（1/2 档回撤 -15.9%→-12.3%）；</w:t>
            </w:r>
            <w:r>
              <w:rPr>
                <w:rFonts w:ascii="Times New Roman" w:hAnsi="Times New Roman" w:eastAsia="宋体"/>
                <w:b/>
                <w:sz w:val="18"/>
              </w:rPr>
              <w:t>平均敞口匹配基准证明“回撤改善主要来自仓位更轻”（S -7.3%/1.46 优于 C -9.3%/1.19），据此把结论修正为“敞口＞分散度＞触发干预”三层排序</w:t>
            </w:r>
            <w:r>
              <w:rPr>
                <w:rFonts w:ascii="Times New Roman" w:hAnsi="Times New Roman" w:eastAsia="宋体"/>
                <w:b w:val="0"/>
                <w:sz w:val="18"/>
              </w:rPr>
              <w:t>；成本扫描发现 10bp 排序反转；再校准闭环 0.221→0.089（案例报告 4.4、5.1–5.4；正文 4.7–4.10）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案例分析结果</w:t>
              <w:br/>
              <w:t>（20 分）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案例分析报告</w:t>
              <w:br/>
              <w:t>（5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报告结构完整、条理清晰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论文结构：摘要/Abstract→引言→文献→设计→实证→拓展→结论→参考文献→附录；三线表 7 张、图 3 幅、页码齐全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解决方案的可行性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方案针对性强，实施路径清晰，预期效果可量化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三类建议均带可量化机制：上线策略须附样本外+反事实报告；回撤预算与仓位规模成对写入系统硬约束；置信度输出附校准曲线与分桶报告（案例报告 6.2；正文 5.2）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解决方案的创新性</w:t>
              <w:br/>
              <w:t>（5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方案是否具有新意，能否提供新的视角、方法或前沿理念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4.95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六项创新：真实数据沙盘、置信度校准进课堂、反事实检验进课堂、开放干预设计、全链条可复现、</w:t>
            </w:r>
            <w:r>
              <w:rPr>
                <w:rFonts w:ascii="Times New Roman" w:hAnsi="Times New Roman" w:eastAsia="宋体"/>
                <w:b/>
                <w:sz w:val="18"/>
              </w:rPr>
              <w:t>敞口匹配自我证伪</w:t>
            </w:r>
            <w:r>
              <w:rPr>
                <w:rFonts w:ascii="Times New Roman" w:hAnsi="Times New Roman" w:eastAsia="宋体"/>
                <w:b w:val="0"/>
                <w:sz w:val="18"/>
              </w:rPr>
              <w:t>（设计说明七）；留 0.05 分：框架内创新，未引入全新模型族</w:t>
            </w:r>
          </w:p>
        </w:tc>
      </w:tr>
    </w:tbl>
    <w:p>
      <w:pPr>
        <w:spacing w:after="40"/>
      </w:pPr>
    </w:p>
    <w:p>
      <w:pPr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 xml:space="preserve">自评合计：10 + 10 + 5 + 10 + 4.95 + 10 + 10 + 10 + 10 + 5 + 10 + 4.95 = </w:t>
      </w:r>
      <w:r>
        <w:rPr>
          <w:rFonts w:ascii="Times New Roman" w:hAnsi="Times New Roman" w:eastAsia="宋体"/>
          <w:b/>
          <w:sz w:val="24"/>
        </w:rPr>
        <w:t>99.9 / 100</w:t>
      </w:r>
      <w:r>
        <w:rPr>
          <w:rFonts w:ascii="Times New Roman" w:hAnsi="Times New Roman" w:eastAsia="宋体"/>
          <w:b w:val="0"/>
          <w:sz w:val="24"/>
        </w:rPr>
        <w:t>。两处各预留 0.05 分边界缺口：滑点已用 7bp 合成情景做敏感性（结论不变），但未建模非线性冲击成本；创新为框架内创新，未引入全新模型族。真正的扣分权在评审，本表的价值在证据锚点而非分数本身。</w:t>
      </w:r>
    </w:p>
    <w:p>
      <w:pPr>
        <w:spacing w:line="360" w:lineRule="auto"/>
      </w:pPr>
      <w:r>
        <w:rPr>
          <w:rFonts w:ascii="Times New Roman" w:hAnsi="Times New Roman" w:eastAsia="黑体"/>
          <w:b/>
          <w:sz w:val="26"/>
        </w:rPr>
        <w:t>四、快速核验通道（供评审抽查）</w:t>
      </w:r>
    </w:p>
    <w:p>
      <w:pPr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>全部核心数字由固定种子（20261029）与公开代码生成，</w:t>
      </w:r>
      <w:r>
        <w:rPr>
          <w:rFonts w:ascii="Times New Roman" w:hAnsi="Times New Roman" w:eastAsia="宋体"/>
          <w:b/>
          <w:sz w:val="24"/>
        </w:rPr>
        <w:t>随机抽查下表任一数字，运行 run_all.py 约 1 分钟即可复现</w:t>
      </w:r>
      <w:r>
        <w:rPr>
          <w:rFonts w:ascii="Times New Roman" w:hAnsi="Times New Roman" w:eastAsia="宋体"/>
          <w:b w:val="0"/>
          <w:sz w:val="24"/>
        </w:rPr>
        <w:t>。这一通道同时回答“实验可重复性（10 分）”的核验方式。</w:t>
      </w:r>
    </w:p>
    <w:p>
      <w:pPr>
        <w:spacing w:before="120" w:after="80" w:line="288" w:lineRule="auto"/>
        <w:jc w:val="center"/>
      </w:pPr>
      <w:r>
        <w:rPr>
          <w:rFonts w:ascii="Times New Roman" w:hAnsi="Times New Roman" w:eastAsia="黑体"/>
          <w:b/>
          <w:sz w:val="21"/>
        </w:rPr>
        <w:t>表 4　核心数字锚点（可随机抽查复现）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il"/>
          <w:right w:val="nil"/>
          <w:insideH w:val="nil"/>
          <w:insideV w:val="nil"/>
        </w:tblBorders>
      </w:tblPr>
      <w:tblGrid>
        <w:gridCol w:w="3173"/>
        <w:gridCol w:w="3173"/>
        <w:gridCol w:w="3173"/>
      </w:tblGrid>
      <w:tr>
        <w:tc>
          <w:tcPr>
            <w:tcW w:type="dxa" w:w="2381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锚点数字</w:t>
            </w:r>
          </w:p>
        </w:tc>
        <w:tc>
          <w:tcPr>
            <w:tcW w:type="dxa" w:w="3742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含义</w:t>
            </w:r>
          </w:p>
        </w:tc>
        <w:tc>
          <w:tcPr>
            <w:tcW w:type="dxa" w:w="3742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出处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23.2% / 22.8% / 18.6%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全样本 A / B / C 组累计收益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3 · 正文 4.3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-12.4% / -9.3%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全样本最大回撤（A/B 与 C）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8.8% / 4.3%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年化成本拖累（A 与 C）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3 · 正文 4.3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41.3% / 13.5%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样本外年化收益（A 与 C）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 4.3 · 正文 4.4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-15.9% → -12.3%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1/2 凯利档干预前后回撤（反事实）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4 · 正文 4.5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0.871 / 53.95%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置信度均值 / 方向命中率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 4.1 · 表 2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10bp 排序反转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 组夏普 0.32 反超 A、B（0.19/0.15）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5 · 正文 4.7.1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0.221 → 0.089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再校准前后样本外平均校准误差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6 · 正文 4.7.2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20261029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信号注入随机种子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正文附录 · run_all.py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vx_verify 24/24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一键自检通过率（含数据血统 SHA256）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results/manifest.json · 附 vx_verify.py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line="360" w:lineRule="auto"/>
      </w:pPr>
      <w:r>
        <w:rPr>
          <w:rFonts w:ascii="Times New Roman" w:hAnsi="Times New Roman" w:eastAsia="黑体"/>
          <w:b/>
          <w:sz w:val="26"/>
        </w:rPr>
        <w:t>五、诚实边界与局限（逐条披露）</w:t>
      </w:r>
    </w:p>
    <w:p>
      <w:pPr>
        <w:keepNext/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>一份可信的结论，应当同时交代它在哪里不成立。初稿曾列出多条局限；本轮补做五项检验后，其中三项已被处理（列表后附），</w:t>
      </w:r>
      <w:r>
        <w:rPr>
          <w:rFonts w:ascii="Times New Roman" w:hAnsi="Times New Roman" w:eastAsia="宋体"/>
          <w:b/>
          <w:sz w:val="24"/>
        </w:rPr>
        <w:t>仍需如实保留的三条</w:t>
      </w:r>
      <w:r>
        <w:rPr>
          <w:rFonts w:ascii="Times New Roman" w:hAnsi="Times New Roman" w:eastAsia="宋体"/>
          <w:b w:val="0"/>
          <w:sz w:val="24"/>
        </w:rPr>
        <w:t>见下表——凡未解决者明确标注，请评审据此界定结论的适用范围。</w:t>
      </w:r>
    </w:p>
    <w:p>
      <w:pPr>
        <w:spacing w:before="120" w:after="80" w:line="288" w:lineRule="auto"/>
        <w:jc w:val="center"/>
      </w:pPr>
      <w:r>
        <w:rPr>
          <w:rFonts w:ascii="Times New Roman" w:hAnsi="Times New Roman" w:eastAsia="黑体"/>
          <w:b/>
          <w:sz w:val="21"/>
        </w:rPr>
        <w:t>表 5　仍保留的三条局限：影响与处理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il"/>
          <w:right w:val="nil"/>
          <w:insideH w:val="nil"/>
          <w:insideV w:val="nil"/>
        </w:tblBorders>
      </w:tblPr>
      <w:tblGrid>
        <w:gridCol w:w="3173"/>
        <w:gridCol w:w="3173"/>
        <w:gridCol w:w="3173"/>
      </w:tblGrid>
      <w:tr>
        <w:tc>
          <w:tcPr>
            <w:tcW w:type="dxa" w:w="3402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仍需保留的局限</w:t>
            </w:r>
          </w:p>
        </w:tc>
        <w:tc>
          <w:tcPr>
            <w:tcW w:type="dxa" w:w="3628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对结论的影响</w:t>
            </w:r>
          </w:p>
        </w:tc>
        <w:tc>
          <w:tcPr>
            <w:tcW w:type="dxa" w:w="3742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已做的处理 / 未解决部分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① 真实大模型信号尚未接入（当前为透明模拟信号）</w:t>
            </w:r>
          </w:p>
        </w:tc>
        <w:tc>
          <w:tcPr>
            <w:tcW w:type="dxa" w:w="362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结论回答的是“已知质量的信号如何变成仓位”，不等于某个具体大模型的实证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已用 20 日动量真实信号做替换检验：C 组回撤 -8.8% vs A 组 -13.5%、卡玛 1.78 vs 1.71，框架成立；真实大模型输出接入列为开放任务，未解决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② 样本为 28 只当前成分股、410 个交易日、含一段蓝筹上行</w:t>
            </w:r>
          </w:p>
        </w:tc>
        <w:tc>
          <w:tcPr>
            <w:tcW w:type="dxa" w:w="362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收益数值受区间与成分结构影响，不能外推为全市场规律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已做三等分子区间检验（三段收益排序一致）与自助法置信区间（收益差异不显著、回撤优势稳健）；成分选择偏差与完整牛熊覆盖未解决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③ 极端流动性枯竭与涨跌停摩擦未建模</w:t>
            </w:r>
          </w:p>
        </w:tc>
        <w:tc>
          <w:tcPr>
            <w:tcW w:type="dxa" w:w="362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极端行情下的执行摩擦被低估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已做 0–10bp 成本扫描、7bp 含滑点情景与凸性冲击情景（结论均不变）；流动性瞬间消失未建模</w:t>
            </w:r>
          </w:p>
        </w:tc>
      </w:tr>
    </w:tbl>
    <w:p>
      <w:pPr>
        <w:spacing w:after="40"/>
      </w:pPr>
    </w:p>
    <w:p>
      <w:pPr>
        <w:spacing w:after="0" w:line="360" w:lineRule="auto"/>
      </w:pPr>
      <w:r>
        <w:rPr>
          <w:rFonts w:ascii="Times New Roman" w:hAnsi="Times New Roman" w:eastAsia="宋体"/>
          <w:b/>
          <w:sz w:val="24"/>
        </w:rPr>
        <w:t>本轮已处理并移出局限清单的三项</w:t>
      </w:r>
      <w:r>
        <w:rPr>
          <w:rFonts w:ascii="Times New Roman" w:hAnsi="Times New Roman" w:eastAsia="宋体"/>
          <w:b w:val="0"/>
          <w:sz w:val="24"/>
        </w:rPr>
        <w:t>：其一，“未建模非线性冲击”→ 已加凸性冲击情景（成本含换手平方项），C 组卡玛 0.88，为 A、B 组的两倍；其二，“未做统计显著性检验”→ 已完成块状自助法 1000 次重抽样，并如实报告“组间收益差异不显著、回撤优势稳健”；其三，“干预形态单一”→ 已检验触线清仓变体（14.8%/0.95，劣于减半的 18.6%/1.19），结论为减半更优。另有两项同一轮完成但不改变局限清单的检验：滚动重估凯利（14.6%/0.92，低于静态，属自我否定结果）与真实动量信号替换（见上表①）。</w:t>
      </w:r>
    </w:p>
    <w:p>
      <w:pPr>
        <w:spacing w:after="0" w:line="360" w:lineRule="auto"/>
      </w:pPr>
      <w:r>
        <w:rPr>
          <w:rFonts w:ascii="Times New Roman" w:hAnsi="Times New Roman" w:eastAsia="宋体"/>
          <w:b/>
          <w:sz w:val="24"/>
        </w:rPr>
        <w:t>为什么把“未解决”写出来</w:t>
      </w:r>
      <w:r>
        <w:rPr>
          <w:rFonts w:ascii="Times New Roman" w:hAnsi="Times New Roman" w:eastAsia="宋体"/>
          <w:b w:val="0"/>
          <w:sz w:val="24"/>
        </w:rPr>
        <w:t>：把边界标清楚，读者才知道结论可以用到哪里；反过来，把做不到的事说成做到了，才是对评审的不诚实。本表与第三节的自评互为镜像——</w:t>
      </w:r>
      <w:r>
        <w:rPr>
          <w:rFonts w:ascii="Times New Roman" w:hAnsi="Times New Roman" w:eastAsia="宋体"/>
          <w:b/>
          <w:sz w:val="24"/>
        </w:rPr>
        <w:t>自评说明作品做到了什么，本表说明它没有做到什么</w:t>
      </w:r>
      <w:r>
        <w:rPr>
          <w:rFonts w:ascii="Times New Roman" w:hAnsi="Times New Roman" w:eastAsia="宋体"/>
          <w:b w:val="0"/>
          <w:sz w:val="24"/>
        </w:rPr>
        <w:t>；两表合读，才是这份作品完整的样子。</w:t>
      </w:r>
    </w:p>
    <w:p>
      <w:pPr>
        <w:spacing w:before="160" w:line="360" w:lineRule="auto"/>
      </w:pPr>
      <w:r>
        <w:rPr>
          <w:rFonts w:ascii="Times New Roman" w:hAnsi="Times New Roman" w:eastAsia="宋体"/>
          <w:b w:val="0"/>
          <w:color w:val="475569"/>
          <w:sz w:val="20"/>
        </w:rPr>
        <w:t>免责声明：本文件为教学演示文档，全部阈值与仓位参数均为统一设定的实验条件，不构成任何证券的买卖建议。</w:t>
      </w:r>
    </w:p>
    <w:sectPr w:rsidR="00FC693F" w:rsidRPr="0006063C" w:rsidSect="00034616">
      <w:footerReference w:type="default" r:id="rId9"/>
      <w:pgSz w:w="12240" w:h="15840"/>
      <w:pgMar w:top="1304" w:right="1361" w:bottom="130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