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选股信号，在统一硬约束（单边成本 5bp、个股上限 20%、总仓上限 100%、回撤预算 -6%）下比较多策略对照（满仓等权 A、置信度分档 B、1/4 凯利+回撤干预 C），并依次实施样本外检验、参数敏感性与反事实分析。结果表明：置信度均值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4.3%）；风险预算干预是有条件的保险，其价值随仓位规模上升而显现。拓展分析进一步发现：策略排序是成本的函数，单边成本升至 10bp 时 C 组夏普反超 A、B 组；对置信度做样本内分桶再校准可将样本外平均校准误差从 0.221 降至 0.089，但桶间区分度不变——“校准能修复模型说的，修不了模型知的”。全部结果可由所附代码一键复现。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本文回答三个递进的问题：其一（转化），同一组 AI 信号在不同的仓位规则下，会产生多大差异的风险形态与成本结构？其二（校准），AI 输出的置信度是否具备直接驱动仓位的校准质量，若不足，工程上的再校准能否补救？其三（干预），风险预算干预在不同仓位规模下价值几何，回撤预算线设在哪里最合理？</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pPr>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pPr>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全部规则在统一硬约束下运行：单边交易成本 5bp；单一标的上限 20%；组合总仓位上限 100%；最大回撤预算 -6%（触及即触发干预）。</w:t>
      </w:r>
      <w:r>
        <w:rPr>
          <w:rFonts w:ascii="Times New Roman" w:hAnsi="Times New Roman" w:eastAsia="宋体"/>
          <w:b/>
          <w:sz w:val="24"/>
        </w:rPr>
        <w:t>人工仅设硬约束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凯利）；反事实分析（同一规则移除干预）。此外，第 5 节增加两项拓展分析：交易成本扫描（0/2.5/5/10bp）与置信度再校准闭环（样本内校准 → 样本外验证）。</w:t>
      </w:r>
    </w:p>
    <w:p>
      <w:pPr>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after="0" w:line="360" w:lineRule="auto"/>
        <w:ind w:firstLine="480"/>
      </w:pPr>
      <w:r>
        <w:rPr>
          <w:rFonts w:ascii="Times New Roman" w:hAnsi="Times New Roman" w:eastAsia="宋体"/>
          <w:b w:val="0"/>
          <w:sz w:val="24"/>
        </w:rPr>
        <w:t>把信号当作一个因子、用量化行业的语言重述：全样本 IC（信号方向与次日超额收益的每日截面秩相关）均值为 0.062、ICIR 0.249、t 值 5.04、IC 为正占比 60.1%——</w:t>
      </w:r>
      <w:r>
        <w:rPr>
          <w:rFonts w:ascii="Times New Roman" w:hAnsi="Times New Roman" w:eastAsia="宋体"/>
          <w:b/>
          <w:sz w:val="24"/>
        </w:rPr>
        <w:t>预测力微弱但统计显著</w:t>
      </w:r>
      <w:r>
        <w:rPr>
          <w:rFonts w:ascii="Times New Roman" w:hAnsi="Times New Roman" w:eastAsia="宋体"/>
          <w:b w:val="0"/>
          <w:sz w:val="24"/>
        </w:rPr>
        <w:t>，属弱因子的典型量级。进一步按置信度固定宽度分桶考察次日超额收益：各桶无单调结构，最高置信桶 [0.95,1.0) 日均超额 +6.05bp 而中位数深达 -66.7bp（均值被 2024 年 10 月暴涨日的尾部收益主导），最低置信桶命中率反而最高（63.1%）——均值型与中位数型度量交叉印证：置信度不携带稳定的区分度。教学要点：</w:t>
      </w:r>
      <w:r>
        <w:rPr>
          <w:rFonts w:ascii="Times New Roman" w:hAnsi="Times New Roman" w:eastAsia="宋体"/>
          <w:b/>
          <w:sz w:val="24"/>
        </w:rPr>
        <w:t>评估任何 AI 信号，先问 IC 与 ICIR，再谈仓位规则</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三点发现：其一，策略排序不是常数，而是成本的函数——零成本下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w:t>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0.53”，模型输出的“说”与“做”重新对齐，任何大模型供应商都应内建这一步。其二，</w:t>
      </w:r>
      <w:r>
        <w:rPr>
          <w:rFonts w:ascii="Times New Roman" w:hAnsi="Times New Roman" w:eastAsia="宋体"/>
          <w:b/>
          <w:sz w:val="24"/>
        </w:rPr>
        <w:t>校准修复不了区分度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其三，</w:t>
      </w:r>
      <w:r>
        <w:rPr>
          <w:rFonts w:ascii="Times New Roman" w:hAnsi="Times New Roman" w:eastAsia="宋体"/>
          <w:b/>
          <w:sz w:val="24"/>
        </w:rPr>
        <w:t>分布漂移真实存在</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全部仓位规则建立在“t 日收盘后生成信号、t+1 执行”之上，其量化依据来自信号衰减检验：把“次日超额收益取对”的命中判定分别放到 t+1、t+2、t+3、t+5 上重算（同一样本、同一口径，6910 条信号），方向命中率从 t+1 的 53.95% 单调衰减——t+2 跌至 50.6%，t+3 起跌破 50%（49.8%），t+5 已无信息含量。三点含义：其一，</w:t>
      </w:r>
      <w:r>
        <w:rPr>
          <w:rFonts w:ascii="Times New Roman" w:hAnsi="Times New Roman" w:eastAsia="宋体"/>
          <w:b/>
          <w:sz w:val="24"/>
        </w:rPr>
        <w:t>信号有效期以日计</w:t>
      </w:r>
      <w:r>
        <w:rPr>
          <w:rFonts w:ascii="Times New Roman" w:hAnsi="Times New Roman" w:eastAsia="宋体"/>
          <w:b w:val="0"/>
          <w:sz w:val="24"/>
        </w:rPr>
        <w:t>，“AI 说买”之后每拖延一天，信息的价值就折损一截，“信号→仓位”必须是日频闭环；其二，仓位规则无需预测信号何时失效，只需在有效期内完成转化——转化链路的摩擦（成本、干预、约束）因此比信号本身更值得优化；其三，对 AI 系统建设方而言，投研信号的交付时点与执行时点之间的每一分钟延迟，都是未被计量的 alpha 损耗。</w:t>
      </w:r>
    </w:p>
    <w:p>
      <w:pPr>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11.4%；成本扫描进一步显示策略排序是成本的函数——10bp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风险预算干预是有条件的保险</w:t>
      </w:r>
      <w:r>
        <w:rPr>
          <w:rFonts w:ascii="Times New Roman" w:hAnsi="Times New Roman" w:eastAsia="宋体"/>
          <w:b w:val="0"/>
          <w:sz w:val="24"/>
        </w:rPr>
        <w:t>：其价值随仓位规模上升而显现（1/2 档回撤 -15.9% → -12.3%），预算线须与仓位规模成对设计（-3% 线卡玛 1.49、-6% 线 1.19、-9% 线 1.41）；反事实是评估其代价的必要基准。</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AI 是外骨骼，扣动扳机的必须是懂风险预算的人</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仿真未建模滑点、流动性冲击与涨跌停摩擦，结论不能直接外推至实盘执行环节；样本期为含一段蓝筹上行的单一市场段，区间结构会影响样本外对比的具体数值；信号为透明模拟而非真实大模型输出——这是受控归因的设计前提，真实信号的接入列为开放挑战；凯利分数对收益率均值估计高度敏感，1/4 缩放是保守化处理而非最优解，滚动再估计与多周期验证列为扩展方向。明示边界本身是数据诚实素养的一部分。</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pPr>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pPr>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本报告全部数据与结果可一键复现，链条分三部分：其一，行情（真实公开数据）——调用腾讯财经公开行情接口下载 28 只沪深大盘蓝筹 2024-01-02 至 2025-10-28 共 410 个交易日的前复权日线收盘价（prices.csv，11480 行）；其二，信号（透明模拟实验条件）——以固定随机种子 20261029 注入买/卖信号与置信度（signals.csv，6910 条），信号生成规则完全公开，复跑结果逐字节一致；其三，实验（notebook 与 run_all.py）——全部回测、样本外检验、敏感性分析、反事实分析、成本扫描与再校准闭环由所附代码执行，文中每个表格与图形均由代码真实运行生成，无手工录入数字。随机种子、参数与硬约束在全文明示；对照组、样本外区间、反事实情形在实验设计表中预先声明，不存在事后挑选结果。</w:t>
      </w:r>
    </w:p>
    <w:p>
      <w:pPr>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最大回撤预算线（基准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