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选股信号，在统一硬约束（单边成本 5bp、个股上限 20%、总仓上限 100%、回撤预算 -6%）下比较多策略对照（满仓等权 A、置信度分档 B、1/4 凯利+回撤干预 C），并依次实施样本外检验、参数敏感性与反事实分析。结果表明：置信度均值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4.3%）；风险预算干预是有条件的保险，其价值随仓位规模上升而显现。拓展分析进一步发现：策略排序是成本的函数，单边成本升至 10bp 时 C 组夏普反超 A、B 组；对置信度做样本内分桶再校准可将样本外平均校准误差从 0.221 降至 0.089，但桶间区分度不变——“校准能修复模型说的，修不了模型知的”。全部结果可由所附代码一键复现。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本文回答三个递进的问题：其一（转化），同一组 AI 信号在不同的仓位规则下，会产生多大差异的风险形态与成本结构？其二（校准），AI 输出的置信度是否具备直接驱动仓位的校准质量，若不足，工程上的再校准能否补救？其三（干预），风险预算干预在不同仓位规模下价值几何，回撤预算线设在哪里最合理？</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全部规则在统一硬约束下运行：单边交易成本 5bp；单一标的上限 20%；组合总仓位上限 100%；最大回撤预算 -6%（触及即触发干预）。</w:t>
      </w:r>
      <w:r>
        <w:rPr>
          <w:rFonts w:ascii="Times New Roman" w:hAnsi="Times New Roman" w:eastAsia="宋体"/>
          <w:b/>
          <w:sz w:val="24"/>
        </w:rPr>
        <w:t>人工仅设硬约束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凯利）；反事实分析（同一规则移除干预）。此外，第 5 节增加两项拓展分析：交易成本扫描（0/2.5/5/10bp）与置信度再校准闭环（样本内校准 → 样本外验证）。</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三点发现：其一，策略排序不是常数，而是成本的函数——零成本下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0.53”，模型输出的“说”与“做”重新对齐，任何大模型供应商都应内建这一步。其二，</w:t>
      </w:r>
      <w:r>
        <w:rPr>
          <w:rFonts w:ascii="Times New Roman" w:hAnsi="Times New Roman" w:eastAsia="宋体"/>
          <w:b/>
          <w:sz w:val="24"/>
        </w:rPr>
        <w:t>校准修复不了区分度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其三，</w:t>
      </w:r>
      <w:r>
        <w:rPr>
          <w:rFonts w:ascii="Times New Roman" w:hAnsi="Times New Roman" w:eastAsia="宋体"/>
          <w:b/>
          <w:sz w:val="24"/>
        </w:rPr>
        <w:t>分布漂移真实存在</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全部仓位规则建立在“t 日收盘后生成信号、t+1 执行”之上，其量化依据来自信号衰减检验：把“次日超额收益取对”的命中判定分别放到 t+1、t+2、t+3、t+5 上重算（同一样本、同一口径，6910 条信号），方向命中率从 t+1 的 53.95% 单调衰减——t+2 跌至 50.6%，t+3 起跌破 50%（49.8%），t+5 已无信息含量。三点含义：其一，</w:t>
      </w:r>
      <w:r>
        <w:rPr>
          <w:rFonts w:ascii="Times New Roman" w:hAnsi="Times New Roman" w:eastAsia="宋体"/>
          <w:b/>
          <w:sz w:val="24"/>
        </w:rPr>
        <w:t>信号有效期以日计</w:t>
      </w:r>
      <w:r>
        <w:rPr>
          <w:rFonts w:ascii="Times New Roman" w:hAnsi="Times New Roman" w:eastAsia="宋体"/>
          <w:b w:val="0"/>
          <w:sz w:val="24"/>
        </w:rPr>
        <w:t>，“AI 说买”之后每拖延一天，信息的价值就折损一截，“信号→仓位”必须是日频闭环；其二，仓位规则无需预测信号何时失效，只需在有效期内完成转化——转化链路的摩擦（成本、干预、约束）因此比信号本身更值得优化；其三，对 AI 系统建设方而言，投研信号的交付时点与执行时点之间的每一分钟延迟，都是未被计量的 alpha 损耗。</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11.4%；成本扫描进一步显示策略排序是成本的函数——10bp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风险预算干预是有条件的保险</w:t>
      </w:r>
      <w:r>
        <w:rPr>
          <w:rFonts w:ascii="Times New Roman" w:hAnsi="Times New Roman" w:eastAsia="宋体"/>
          <w:b w:val="0"/>
          <w:sz w:val="24"/>
        </w:rPr>
        <w:t>：其价值随仓位规模上升而显现（1/2 档回撤 -15.9% → -12.3%），预算线须与仓位规模成对设计（-3% 线卡玛 1.49、-6% 线 1.19、-9% 线 1.41）；反事实是评估其代价的必要基准。</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仿真未建模滑点、流动性冲击与涨跌停摩擦，结论不能直接外推至实盘执行环节；样本期为含一段蓝筹上行的单一市场段，区间结构会影响样本外对比的具体数值；信号为透明模拟而非真实大模型输出——这是受控归因的设计前提，真实信号的接入列为开放挑战；凯利分数对收益率均值估计高度敏感，1/4 缩放是保守化处理而非最优解，滚动再估计与多周期验证列为扩展方向。明示边界本身是数据诚实素养的一部分。</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本报告全部数据与结果可一键复现，链条分三部分：其一，行情（真实公开数据）——调用腾讯财经公开行情接口下载 28 只沪深大盘蓝筹 2024-01-02 至 2025-10-28 共 410 个交易日的前复权日线收盘价（prices.csv，11480 行）；其二，信号（透明模拟实验条件）——以固定随机种子 20261029 注入买/卖信号与置信度（signals.csv，6910 条），信号生成规则完全公开，复跑结果逐字节一致；其三，实验（notebook 与 run_all.py）——全部回测、样本外检验、敏感性分析、反事实分析、成本扫描与再校准闭环由所附代码执行，文中每个表格与图形均由代码真实运行生成，无手工录入数字。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最大回撤预算线（基准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