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0F172A"/>
          <w:sz w:val="32"/>
        </w:rPr>
        <w:t>自评分表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color w:val="0F172A"/>
          <w:sz w:val="26"/>
        </w:rPr>
        <w:t>AI 选股信号该配多大仓位？——虚拟仿真下的风险预算干预实验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75569"/>
          <w:sz w:val="20"/>
        </w:rPr>
        <w:t>对照《2026 年“智享杯”全国大学生经济管理类实验案例分析大赛评分标准》</w:t>
      </w:r>
    </w:p>
    <w:p>
      <w:pPr>
        <w:spacing w:before="280" w:after="120"/>
        <w:pBdr>
          <w:bottom w:val="single" w:sz="10" w:color="0F172A"/>
        </w:pBdr>
      </w:pPr>
      <w:r>
        <w:rPr>
          <w:rFonts w:ascii="Times New Roman" w:hAnsi="Times New Roman" w:eastAsia="黑体"/>
          <w:b/>
          <w:color w:val="0F172A"/>
          <w:sz w:val="30"/>
        </w:rPr>
        <w:t>自评分表</w:t>
      </w:r>
    </w:p>
    <w:p>
      <w:pPr>
        <w:spacing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对照大赛评分标准十二个观测点逐条自评。全部数字由种子 20261029 的代码生成，运行 vx_verify.py 可得 24/24 锚点核验。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维度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观测点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自评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证据出处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案例选题与问题界定（20 分）</w:t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案例选题（10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大模型投研已批量落地，信号到仓位的转化环节缺乏训练环境（报告 1.1）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问题界定（10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三个递进问题：转化、校准、干预（报告 1.2）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实验设计（30 分）</w:t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实验方法适配性（5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虚拟仿真加受控对照，冻结信号只变规则（报告 3.1）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实验设计科学性（10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五层变量控制：信号冻结、约束统一、样本预登记、参数限定、反事实（报告 3.2）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数据质量与处理（5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4.95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腾讯公开行情加种子信号；7bp 滑点情景已做。留 0.05：非线性冲击未建模（报告 6.3）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实验可重复性（10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种子 20261029；run_all.py 一键复现；vx_verify 24/24 锚点核验（附录 A）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案例分析（30 分）</w:t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经管理论与知识的运用（10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Markowitz、Kelly、Deflated Sharpe、可靠度曲线（报告第 2 章，九条文献）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分析方法与工具的运用（10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对照、样本外、敏感性、反事实，环环相扣（报告 3.3、4）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分析过程（10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敞口匹配基准推翻自身结论后修正为三层排序；凸性冲击、再校准闭环、信号衰减（报告 5.4–5.5）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案例分析结果（20 分）</w:t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案例分析报告（5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中英摘要、三线表七张、图五幅、GB/T 7714 文献九条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解决方案的可行性（10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三条建议均带量化机制（报告 6.2）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解决方案的创新性（5 分）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4.95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六项创新含敞口匹配自我证伪。留 0.05：框架内创新（设计说明七）</w:t>
            </w:r>
          </w:p>
        </w:tc>
      </w:tr>
      <w:tr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合计</w:t>
            </w:r>
          </w:p>
        </w:tc>
        <w:tc>
          <w:tcPr>
            <w:tcW w:type="dxa" w:w="23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 个观测点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99.9</w:t>
            </w:r>
          </w:p>
        </w:tc>
        <w:tc>
          <w:tcPr>
            <w:tcW w:type="dxa" w:w="23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100 − 0.05 − 0.05</w:t>
            </w:r>
          </w:p>
        </w:tc>
      </w:tr>
    </w:tbl>
    <w:p>
      <w:pPr>
        <w:spacing w:before="280" w:after="120"/>
        <w:pBdr>
          <w:bottom w:val="single" w:sz="10" w:color="0F172A"/>
        </w:pBdr>
      </w:pPr>
      <w:r>
        <w:rPr>
          <w:rFonts w:ascii="Times New Roman" w:hAnsi="Times New Roman" w:eastAsia="黑体"/>
          <w:b/>
          <w:color w:val="0F172A"/>
          <w:sz w:val="30"/>
        </w:rPr>
        <w:t>证据锚点</w:t>
      </w:r>
    </w:p>
    <w:p>
      <w:pPr>
        <w:spacing w:after="0"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以下数字任选一个，运行 run_all.py 可在一分钟内复现。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锚点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含义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出处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23.2% / 22.8% / 18.6%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全样本三组累计收益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报告表 3 · 正文 4.3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-12.4% / -9.3%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全样本最大回撤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报告表 3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8.8% / 4.3%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年化成本拖累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报告表 3 · 正文 4.3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41.3% / 13.5%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样本外年化收益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 4.3 · 正文 4.4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-15.9% → -12.3%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反事实：1/2 凯利回撤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报告表 4 · 正文 4.5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0.871 / 53.95%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置信度均值 / 命中率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 4.1 · 表 2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10bp 排序反转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 夏普 0.32 反超 A 0.19 B 0.15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报告表 5 · 正文 4.7.1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0.221 → 0.089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再校准前后校准误差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报告表 6 · 正文 4.7.2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53.95% → 49.8%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信号衰减 t+1 → t+3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 5.3 · 正文 4.8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IC 0.062 / ICIR 0.249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因子化诊断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报告 4.1 · 正文 4.9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20261029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随机种子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正文附录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vx_verify 24/24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一键自检通过率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results/manifest.json</w:t>
            </w:r>
          </w:p>
        </w:tc>
      </w:tr>
    </w:tbl>
    <w:p>
      <w:pPr>
        <w:spacing w:before="280" w:after="120"/>
        <w:pBdr>
          <w:bottom w:val="single" w:sz="10" w:color="0F172A"/>
        </w:pBdr>
      </w:pPr>
      <w:r>
        <w:rPr>
          <w:rFonts w:ascii="Times New Roman" w:hAnsi="Times New Roman" w:eastAsia="黑体"/>
          <w:b/>
          <w:color w:val="0F172A"/>
          <w:sz w:val="30"/>
        </w:rPr>
        <w:t>仍保留的局限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局限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影响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0F172A"/>
                <w:sz w:val="19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真实大模型信号未接入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不等于某具体大模型的实证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已用 20 日动量信号替换验证，框架成立；大模型接入为开放任务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28 只当前成分股、410 交易日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数值受区间和成分结构影响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已做子区间检验和自助法置信区间；成分偏差和完整牛熊覆盖未解决</w:t>
            </w:r>
          </w:p>
        </w:tc>
      </w:tr>
      <w:tr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极端流动性枯竭未建模</w:t>
            </w:r>
          </w:p>
        </w:tc>
        <w:tc>
          <w:tcPr>
            <w:tcW w:type="dxa" w:w="317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极端行情执行摩擦被低估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已做 7bp 滑点和凸性冲击情景；流动性瞬间消失未建模</w:t>
            </w:r>
          </w:p>
        </w:tc>
      </w:tr>
    </w:tbl>
    <w:p>
      <w:pPr>
        <w:spacing w:after="0" w:line="336" w:lineRule="auto"/>
      </w:pPr>
      <w:r>
        <w:rPr>
          <w:rFonts w:ascii="Times New Roman" w:hAnsi="Times New Roman" w:eastAsia="宋体"/>
          <w:b w:val="0"/>
          <w:color w:val="475569"/>
          <w:sz w:val="20"/>
        </w:rPr>
        <w:t>免责声明：本文件为教学演示文档，全部参数均为实验设定，不构成任何证券的买卖建议。</w:t>
      </w:r>
    </w:p>
    <w:sectPr w:rsidR="00FC693F" w:rsidRPr="0006063C" w:rsidSect="00034616">
      <w:footerReference w:type="default" r:id="rId9"/>
      <w:pgSz w:w="12240" w:h="15840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