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47556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0F172A"/>
          <w:sz w:val="60"/>
        </w:rPr>
        <w:t>实验案例分析报告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520"/>
        <w:jc w:val="center"/>
      </w:pPr>
      <w:r>
        <w:rPr>
          <w:rFonts w:ascii="Times New Roman" w:hAnsi="Times New Roman" w:eastAsia="宋体"/>
          <w:b w:val="0"/>
          <w:color w:val="475569"/>
          <w:sz w:val="23"/>
        </w:rPr>
        <w:t>关键词：仓位决策；风险预算；置信度校准；受控对照实验；虚拟仿真</w:t>
      </w:r>
    </w:p>
    <w:p>
      <w:pPr>
        <w:jc w:val="center"/>
      </w:pPr>
      <w:r>
        <w:rPr>
          <w:rFonts w:ascii="Times New Roman" w:hAnsi="Times New Roman" w:eastAsia="宋体"/>
          <w:b w:val="0"/>
          <w:color w:val="475569"/>
          <w:sz w:val="22"/>
        </w:rPr>
        <w:t>数据区间：2024-01-02 至 2025-10-28（数据截至 data_cutoff = 2025-10-28）</w:t>
      </w:r>
    </w:p>
    <w:p>
      <w:r>
        <w:br w:type="page"/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摘要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大模型投研工作台每日输出买/卖观点与置信度，但“信号配多大仓位”这一决定账户损益与回撤的环节，长期缺乏可训练、可考核、可复现的实验环境。本报告在虚拟仿真条件下构建受控对照实验：以 28 只沪深大盘蓝筹 2024-01-02 至 2025-10-28 共 410 个交易日的真实公开行情为沙盘，以固定种子（20261029）透明注入 6910 条 AI 选股信号，冻结信号与硬约束（单边成本 5bp、个股上限 20%、总仓上限 100%、回撤预算 -6%），仅变动“信号→仓位”转化规则，比较多策略对照（满仓等权 A、置信度分档 B、1/4 凯利+回撤干预 C），并依次实施样本外检验、参数敏感性与反事实分析。结果显示：校准失败的置信度不能驱动仓位（B 组与 A 组几乎重合）；交易成本是仓位规则的一等公民（A 组年化成本拖累 8.8%，C 组 4.3%）；风险预算干预是有条件的保险，其价值随仓位规模显现。全部结果可由所附代码一键复现。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color w:val="475569"/>
          <w:sz w:val="21"/>
        </w:rPr>
        <w:t>免责声明：本报告为教学演示文本，所有阈值与参数均为实验设定，不构成任何投资建议。</w:t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一、　问题提出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1.1　背景：AI 投研链条上的“最后一厘米”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证券公司、基金公司正在批量引入大模型投研工作台：每日对数百只标的给出看多/看空观点与置信度。信号“准不准”已被大量研究讨论，但</w:t>
      </w:r>
      <w:r>
        <w:rPr>
          <w:rFonts w:ascii="Times New Roman" w:hAnsi="Times New Roman" w:eastAsia="宋体"/>
          <w:b/>
          <w:sz w:val="24"/>
        </w:rPr>
        <w:t>信号“配多大仓位”——从信号到资金之间的转化规则——才是直接决定账户损益与回撤的环节</w:t>
      </w:r>
      <w:r>
        <w:rPr>
          <w:rFonts w:ascii="Times New Roman" w:hAnsi="Times New Roman" w:eastAsia="宋体"/>
          <w:b w:val="0"/>
          <w:sz w:val="24"/>
        </w:rPr>
        <w:t>。现实中，这一环节往往依赖交易员临场经验，缺乏可训练、可考核、可复现的实验环境。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从决策链的构成看，AI 的输出处在“信号生成”环节，其与最终交易决策的拟合程度，取决于“信号→仓位”的转化规则设计：</w:t>
      </w:r>
      <w:r>
        <w:rPr>
          <w:rFonts w:ascii="Times New Roman" w:hAnsi="Times New Roman" w:eastAsia="宋体"/>
          <w:b/>
          <w:sz w:val="24"/>
        </w:rPr>
        <w:t>方向与置信度经仓位规则直接决定组合权重，移除信号则决策链失效</w:t>
      </w:r>
      <w:r>
        <w:rPr>
          <w:rFonts w:ascii="Times New Roman" w:hAnsi="Times New Roman" w:eastAsia="宋体"/>
          <w:b w:val="0"/>
          <w:sz w:val="24"/>
        </w:rPr>
        <w:t>；人工不介入逐笔判断，仅设定换手率、集中度与回撤预算等硬约束；每一笔决策都可回溯至信号生成规则（种子固定）与模型原始输出（置信度）。本实验的全部设计围绕这一环节展开。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1.2　研究问题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问题一（转化）</w:t>
      </w:r>
      <w:r>
        <w:rPr>
          <w:rFonts w:ascii="Times New Roman" w:hAnsi="Times New Roman" w:eastAsia="宋体"/>
          <w:b w:val="0"/>
          <w:sz w:val="24"/>
        </w:rPr>
        <w:t>：同一组 AI 信号，在不同的仓位规则下，会产生多大差异的风险形态与成本结构？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问题二（校准）</w:t>
      </w:r>
      <w:r>
        <w:rPr>
          <w:rFonts w:ascii="Times New Roman" w:hAnsi="Times New Roman" w:eastAsia="宋体"/>
          <w:b w:val="0"/>
          <w:sz w:val="24"/>
        </w:rPr>
        <w:t>：AI 输出的置信度，是否具备直接驱动仓位的校准质量？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问题三（干预）</w:t>
      </w:r>
      <w:r>
        <w:rPr>
          <w:rFonts w:ascii="Times New Roman" w:hAnsi="Times New Roman" w:eastAsia="宋体"/>
          <w:b w:val="0"/>
          <w:sz w:val="24"/>
        </w:rPr>
        <w:t>：风险预算干预在不同仓位规模下价值几何？回撤预算线设在哪里最合理？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1.3　实验定位与证据承诺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本实验以</w:t>
      </w:r>
      <w:r>
        <w:rPr>
          <w:rFonts w:ascii="Times New Roman" w:hAnsi="Times New Roman" w:eastAsia="宋体"/>
          <w:b/>
          <w:sz w:val="24"/>
        </w:rPr>
        <w:t>可验证证据</w:t>
      </w:r>
      <w:r>
        <w:rPr>
          <w:rFonts w:ascii="Times New Roman" w:hAnsi="Times New Roman" w:eastAsia="宋体"/>
          <w:b w:val="0"/>
          <w:sz w:val="24"/>
        </w:rPr>
        <w:t>为纲，预先承诺五项证据设计：</w:t>
      </w:r>
      <w:r>
        <w:rPr>
          <w:rFonts w:ascii="Times New Roman" w:hAnsi="Times New Roman" w:eastAsia="宋体"/>
          <w:b/>
          <w:sz w:val="24"/>
        </w:rPr>
        <w:t>多策略对照</w:t>
      </w:r>
      <w:r>
        <w:rPr>
          <w:rFonts w:ascii="Times New Roman" w:hAnsi="Times New Roman" w:eastAsia="宋体"/>
          <w:b w:val="0"/>
          <w:sz w:val="24"/>
        </w:rPr>
        <w:t>（A/B/C 三组共用同一信号与约束）、</w:t>
      </w:r>
      <w:r>
        <w:rPr>
          <w:rFonts w:ascii="Times New Roman" w:hAnsi="Times New Roman" w:eastAsia="宋体"/>
          <w:b/>
          <w:sz w:val="24"/>
        </w:rPr>
        <w:t>样本外检验</w:t>
      </w:r>
      <w:r>
        <w:rPr>
          <w:rFonts w:ascii="Times New Roman" w:hAnsi="Times New Roman" w:eastAsia="宋体"/>
          <w:b w:val="0"/>
          <w:sz w:val="24"/>
        </w:rPr>
        <w:t>（前 70% 估计、后 30% 验证）、</w:t>
      </w:r>
      <w:r>
        <w:rPr>
          <w:rFonts w:ascii="Times New Roman" w:hAnsi="Times New Roman" w:eastAsia="宋体"/>
          <w:b/>
          <w:sz w:val="24"/>
        </w:rPr>
        <w:t>反事实分析</w:t>
      </w:r>
      <w:r>
        <w:rPr>
          <w:rFonts w:ascii="Times New Roman" w:hAnsi="Times New Roman" w:eastAsia="宋体"/>
          <w:b w:val="0"/>
          <w:sz w:val="24"/>
        </w:rPr>
        <w:t>（同一规则移除干预重跑）、</w:t>
      </w:r>
      <w:r>
        <w:rPr>
          <w:rFonts w:ascii="Times New Roman" w:hAnsi="Times New Roman" w:eastAsia="宋体"/>
          <w:b/>
          <w:sz w:val="24"/>
        </w:rPr>
        <w:t>可解释归因</w:t>
      </w:r>
      <w:r>
        <w:rPr>
          <w:rFonts w:ascii="Times New Roman" w:hAnsi="Times New Roman" w:eastAsia="宋体"/>
          <w:b w:val="0"/>
          <w:sz w:val="24"/>
        </w:rPr>
        <w:t>（绩效差异分解至仓位规则与成本拖累）、</w:t>
      </w:r>
      <w:r>
        <w:rPr>
          <w:rFonts w:ascii="Times New Roman" w:hAnsi="Times New Roman" w:eastAsia="宋体"/>
          <w:b/>
          <w:sz w:val="24"/>
        </w:rPr>
        <w:t>复现能力</w:t>
      </w:r>
      <w:r>
        <w:rPr>
          <w:rFonts w:ascii="Times New Roman" w:hAnsi="Times New Roman" w:eastAsia="宋体"/>
          <w:b w:val="0"/>
          <w:sz w:val="24"/>
        </w:rPr>
        <w:t>（随机种子固定、代码与参数全量公开、一键重跑）。结果不唯一：干预规则的设计空间开放，不同设计应得出不同结论并接受数据检验。</w:t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二、　数据与方法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2.1　数据：真实行情 × 透明信号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数据层</w:t>
            </w:r>
          </w:p>
        </w:tc>
        <w:tc>
          <w:tcPr>
            <w:tcW w:type="dxa" w:w="158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性质</w:t>
            </w:r>
          </w:p>
        </w:tc>
        <w:tc>
          <w:tcPr>
            <w:tcW w:type="dxa" w:w="5102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来源与规则</w:t>
            </w:r>
          </w:p>
        </w:tc>
        <w:tc>
          <w:tcPr>
            <w:tcW w:type="dxa" w:w="170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规模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行情层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真实公开数据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腾讯财经公开行情接口，28 只沪深大盘蓝筹前复权日线收盘价，2024-01-02 至 2025-10-28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11480 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透明模拟实验条件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gen_signals.py 固定种子 20261029：方向 = 次日超额收益符号以 55% 概率取对（实测命中率 53.95%）；置信度 = 真实超额幅度线性映射 + 噪声（故意保留校准误差）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6910 条</w:t>
            </w:r>
          </w:p>
        </w:tc>
      </w:tr>
    </w:tbl>
    <w:p>
      <w:pPr>
        <w:spacing w:after="40"/>
      </w:pP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采用“真实行情 + 透明信号”的二元结构，理由有二：其一，行情真实可重新下载核验，保证背景事实可核查；其二，信号生成机制完全公开，使全班在同一条件下实验，任何绩效差异都能干净地归因于仓位规则，而非信号噪声。每个数字都有“出生证明”：来源接口、生成脚本、随机种子全部明示，这是复现能力的根基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2.2　方法：受控对照 + 四重检验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核心方法是</w:t>
      </w:r>
      <w:r>
        <w:rPr>
          <w:rFonts w:ascii="Times New Roman" w:hAnsi="Times New Roman" w:eastAsia="宋体"/>
          <w:b/>
          <w:sz w:val="24"/>
        </w:rPr>
        <w:t>冻结信息集、只变动转化规则</w:t>
      </w:r>
      <w:r>
        <w:rPr>
          <w:rFonts w:ascii="Times New Roman" w:hAnsi="Times New Roman" w:eastAsia="宋体"/>
          <w:b w:val="0"/>
          <w:sz w:val="24"/>
        </w:rPr>
        <w:t>的受控对照设计，配合四重检验：多策略对照识别规则效应，样本外检验排除运气与过拟合，参数敏感性刻画结论的适用边界，反事实分析分离干预机制本身的价值。归因方法上，将各组绩效差异分解为仓位结构差异与成本拖累差异两部分，使“AI 在决策链中起了什么作用”变得可解释、可追溯。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2.3　硬约束与变量控制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硬约束（教师统一设定，违反即方案无效）：单边交易成本 5bp；单一标的上限 20%；组合总仓位上限 100%；最大回撤预算 -6%（触及即触发干预）。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时序纪律：信号在 t 日收盘后生成，只作用于 t+1 收益；任何参数估计只使用前 70% 样本内数据。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人工角色：</w:t>
      </w:r>
      <w:r>
        <w:rPr>
          <w:rFonts w:ascii="Times New Roman" w:hAnsi="Times New Roman" w:eastAsia="宋体"/>
          <w:b/>
          <w:sz w:val="24"/>
        </w:rPr>
        <w:t>人工仅设硬约束</w:t>
      </w:r>
      <w:r>
        <w:rPr>
          <w:rFonts w:ascii="Times New Roman" w:hAnsi="Times New Roman" w:eastAsia="宋体"/>
          <w:b w:val="0"/>
          <w:sz w:val="24"/>
        </w:rPr>
        <w:t>（上述四条），不介入逐笔买卖判断——决策由规则对信号的响应自动生成，可回溯、可复核。</w:t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三、　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3.1　三组仓位规则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组别</w:t>
            </w:r>
          </w:p>
        </w:tc>
        <w:tc>
          <w:tcPr>
            <w:tcW w:type="dxa" w:w="5329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规则</w:t>
            </w:r>
          </w:p>
        </w:tc>
        <w:tc>
          <w:tcPr>
            <w:tcW w:type="dxa" w:w="272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设计意图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 对照组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有信号即满仓等权，无风险预算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锚定“直觉做法”的基准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B 实验组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置信度分档固定分数（≥0.7 → 30%，0.55–0.7 → 20%）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检验“置信度直接映射仓位”是否可行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 实验组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样本内估计凯利分数 × 1/4 + 回撤触线减半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定量风险预算 + 主动干预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3.2　检验设计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样本外检验</w:t>
      </w:r>
      <w:r>
        <w:rPr>
          <w:rFonts w:ascii="Times New Roman" w:hAnsi="Times New Roman" w:eastAsia="宋体"/>
          <w:b w:val="0"/>
          <w:sz w:val="24"/>
        </w:rPr>
        <w:t>：参数不动，回测起点移至 70% 分位（后 123 个交易日）。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敏感性分析</w:t>
      </w:r>
      <w:r>
        <w:rPr>
          <w:rFonts w:ascii="Times New Roman" w:hAnsi="Times New Roman" w:eastAsia="宋体"/>
          <w:b w:val="0"/>
          <w:sz w:val="24"/>
        </w:rPr>
        <w:t>：凯利缩放 1/8、1/4、1/2、1 倍 × 干预有无（全样本），识别结论成立的参数范围。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干预线敏感性</w:t>
      </w:r>
      <w:r>
        <w:rPr>
          <w:rFonts w:ascii="Times New Roman" w:hAnsi="Times New Roman" w:eastAsia="宋体"/>
          <w:b w:val="0"/>
          <w:sz w:val="24"/>
        </w:rPr>
        <w:t>：回撤预算线 -3%、-6%、-9%（固定 1/4 凯利），回答“预算线设在哪里”。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反事实分析</w:t>
      </w:r>
      <w:r>
        <w:rPr>
          <w:rFonts w:ascii="Times New Roman" w:hAnsi="Times New Roman" w:eastAsia="宋体"/>
          <w:b w:val="0"/>
          <w:sz w:val="24"/>
        </w:rPr>
        <w:t>：同一规则分别在有干预、无干预两种情形下运行，把“干预价值”从“仓位规模”中分离。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3.3　实验设计表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环节</w:t>
            </w:r>
          </w:p>
        </w:tc>
        <w:tc>
          <w:tcPr>
            <w:tcW w:type="dxa" w:w="5216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设计</w:t>
            </w:r>
          </w:p>
        </w:tc>
        <w:tc>
          <w:tcPr>
            <w:tcW w:type="dxa" w:w="2835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提出任务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风险预算官任务书：角色、硬约束、五项交付物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任务边界清晰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说明条件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数据规则说明表：来源、股票池、信号规则、样本划分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条件可核查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设计方案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三组对照 + 三重检验，参数预登记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方案可比较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运行实验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在线 Notebook 30 单元真实运行；run_all.py 一键复现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过程可追溯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分析结果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全样本、样本外、敏感性与反事实、干预线敏感性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结果可解释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形成建议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对金融机构、监管与教学、AI 系统建设方的三条建议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建议可落地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四、　结果与发现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4.1　信号诊断：置信度存在系统性过度自信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6910 条信号的方向命中率 53.95%（设定 55%），日均 16.9 条，覆盖率 60.2%，看多占比 50.3%。置信度均值 0.871，但按置信度分桶的真实命中率在 50.9%–58.3% 之间波动、</w:t>
      </w:r>
      <w:r>
        <w:rPr>
          <w:rFonts w:ascii="Times New Roman" w:hAnsi="Times New Roman" w:eastAsia="宋体"/>
          <w:b/>
          <w:sz w:val="24"/>
        </w:rPr>
        <w:t>无单调性</w:t>
      </w:r>
      <w:r>
        <w:rPr>
          <w:rFonts w:ascii="Times New Roman" w:hAnsi="Times New Roman" w:eastAsia="宋体"/>
          <w:b w:val="0"/>
          <w:sz w:val="24"/>
        </w:rPr>
        <w:t>：[0.5,0.6) 桶 58.3%（446 条）、[0.6,0.7) 桶 50.9%（709 条）、[0.7,0.8) 桶 54.3%（746 条）、[0.8,0.9) 桶 54.1%（712 条）、[0.9,1.0) 桶 54.0%（4214 条，占 61%）。</w:t>
      </w: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模型说出的 0.9，是它的情绪，不是市场的概率——未经校准的置信度直接映射仓位，等于把模型的过度自信放大成账户的过度敞口。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4.2　全样本对照：同样的信号，完全不同的风险形态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81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组别</w:t>
            </w:r>
          </w:p>
        </w:tc>
        <w:tc>
          <w:tcPr>
            <w:tcW w:type="dxa" w:w="113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累计收益</w:t>
            </w:r>
          </w:p>
        </w:tc>
        <w:tc>
          <w:tcPr>
            <w:tcW w:type="dxa" w:w="107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年化波动</w:t>
            </w:r>
          </w:p>
        </w:tc>
        <w:tc>
          <w:tcPr>
            <w:tcW w:type="dxa" w:w="90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夏普</w:t>
            </w:r>
          </w:p>
        </w:tc>
        <w:tc>
          <w:tcPr>
            <w:tcW w:type="dxa" w:w="113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最大回撤</w:t>
            </w:r>
          </w:p>
        </w:tc>
        <w:tc>
          <w:tcPr>
            <w:tcW w:type="dxa" w:w="90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卡玛</w:t>
            </w:r>
          </w:p>
        </w:tc>
        <w:tc>
          <w:tcPr>
            <w:tcW w:type="dxa" w:w="113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日均换手</w:t>
            </w:r>
          </w:p>
        </w:tc>
        <w:tc>
          <w:tcPr>
            <w:tcW w:type="dxa" w:w="153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年化成本拖累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 满仓等权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23.2%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16.8%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1.11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8.8%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 置信度分档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22.8%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16.8%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0.68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1.09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0.73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9.2%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 1/4凯利+干预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18.6%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16.6%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0.55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-9.3%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1.19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0.34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4.3%</w:t>
            </w:r>
          </w:p>
        </w:tc>
      </w:tr>
    </w:tbl>
    <w:p>
      <w:pPr>
        <w:spacing w:after="40"/>
      </w:pP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/>
          <w:sz w:val="24"/>
        </w:rPr>
        <w:t>判断先行</w:t>
      </w:r>
      <w:r>
        <w:rPr>
          <w:rFonts w:ascii="Times New Roman" w:hAnsi="Times New Roman" w:eastAsia="宋体"/>
          <w:b w:val="0"/>
          <w:sz w:val="24"/>
        </w:rPr>
        <w:t>：三组的差异全部来自仓位规则——信号、行情、约束完全相同。C 组以约 4.6 个百分点的收益代价（18.6% vs 23.2%），把最大回撤压缩 3.1 个百分点（-9.3% vs -12.4%），年化成本拖累从 8.8% 降到 4.3%，卡玛比率 1.19 优于 A 组的 1.11。</w:t>
      </w:r>
      <w:r>
        <w:rPr>
          <w:rFonts w:ascii="Times New Roman" w:hAnsi="Times New Roman" w:eastAsia="宋体"/>
          <w:b/>
          <w:sz w:val="24"/>
        </w:rPr>
        <w:t>证据链</w:t>
      </w:r>
      <w:r>
        <w:rPr>
          <w:rFonts w:ascii="Times New Roman" w:hAnsi="Times New Roman" w:eastAsia="宋体"/>
          <w:b w:val="0"/>
          <w:sz w:val="24"/>
        </w:rPr>
        <w:t>：成本归因显示 A 组日均换手 0.70、乘以单边 5bp 即年化约 8.8 个百分点的拖累；C 组低换手（0.34）使成本近乎减半。</w:t>
      </w:r>
      <w:r>
        <w:rPr>
          <w:rFonts w:ascii="Times New Roman" w:hAnsi="Times New Roman" w:eastAsia="宋体"/>
          <w:b/>
          <w:sz w:val="24"/>
        </w:rPr>
        <w:t>配置含义</w:t>
      </w:r>
      <w:r>
        <w:rPr>
          <w:rFonts w:ascii="Times New Roman" w:hAnsi="Times New Roman" w:eastAsia="宋体"/>
          <w:b w:val="0"/>
          <w:sz w:val="24"/>
        </w:rPr>
        <w:t>：凯利集中持仓降不了波动（三组波动几乎相同），风险预算的价值要用回撤与成本衡量，而不是夏普。数据截至 2025-10-28，全部数字可由所附代码一键复现。</w:t>
      </w: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同样的信号，不同的仓位规则，买到的是完全不同的风险——分水岭不在预测，在转化。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4.3　样本外检验：风险预算是“有价格的保险”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后 30% 样本（123 个交易日）恰为蓝筹上行段：A 组年化 41.3%、夏普 2.71、最大回撤 -4.1%、换手升至 0.91（成本拖累约 11.4%）；C 组年化 13.5%、波动 7.4%、最大回撤 -2.5%、夏普 1.56、卡玛 5.49。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/>
          <w:sz w:val="24"/>
        </w:rPr>
        <w:t>判断先行</w:t>
      </w:r>
      <w:r>
        <w:rPr>
          <w:rFonts w:ascii="Times New Roman" w:hAnsi="Times New Roman" w:eastAsia="宋体"/>
          <w:b w:val="0"/>
          <w:sz w:val="24"/>
        </w:rPr>
        <w:t>：上行段风险预算组大幅落后——这不是失败，而是保险的定价。</w:t>
      </w:r>
      <w:r>
        <w:rPr>
          <w:rFonts w:ascii="Times New Roman" w:hAnsi="Times New Roman" w:eastAsia="宋体"/>
          <w:b/>
          <w:sz w:val="24"/>
        </w:rPr>
        <w:t>证据链</w:t>
      </w:r>
      <w:r>
        <w:rPr>
          <w:rFonts w:ascii="Times New Roman" w:hAnsi="Times New Roman" w:eastAsia="宋体"/>
          <w:b w:val="0"/>
          <w:sz w:val="24"/>
        </w:rPr>
        <w:t>：满仓组的高换手在上行段被成本进一步放大（11.4%），而 C 组以更低的波动（7.4% vs 14.5%）与更浅的回撤（-2.5% vs -4.1%）换取了绝对收益的落后。</w:t>
      </w:r>
      <w:r>
        <w:rPr>
          <w:rFonts w:ascii="Times New Roman" w:hAnsi="Times New Roman" w:eastAsia="宋体"/>
          <w:b/>
          <w:sz w:val="24"/>
        </w:rPr>
        <w:t>配置含义</w:t>
      </w:r>
      <w:r>
        <w:rPr>
          <w:rFonts w:ascii="Times New Roman" w:hAnsi="Times New Roman" w:eastAsia="宋体"/>
          <w:b w:val="0"/>
          <w:sz w:val="24"/>
        </w:rPr>
        <w:t>：评估干预机制不能只看单一区间——只看这一段会得出“预算无用”的误判，只看回撤段又会得出“预算万能”的误判；两个区间合起来读，才是完整的证据。</w:t>
      </w: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牛市里嫌它贵、回撤来临时谢它还在的风险预算，是账户里真正的安全带——保费看得见的年份，恰是它最便宜的年份。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4.4　敏感性与反事实：干预的价值随仓位规模显现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24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凯利缩放</w:t>
            </w:r>
          </w:p>
        </w:tc>
        <w:tc>
          <w:tcPr>
            <w:tcW w:type="dxa" w:w="170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有干预（累计）</w:t>
            </w:r>
          </w:p>
        </w:tc>
        <w:tc>
          <w:tcPr>
            <w:tcW w:type="dxa" w:w="170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无干预（累计）</w:t>
            </w:r>
          </w:p>
        </w:tc>
        <w:tc>
          <w:tcPr>
            <w:tcW w:type="dxa" w:w="2268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最大回撤（有/无）</w:t>
            </w:r>
          </w:p>
        </w:tc>
        <w:tc>
          <w:tcPr>
            <w:tcW w:type="dxa" w:w="2608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解读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-4.7%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-4.7%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-4.7% / -4.7%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仓位足够轻，干预无事可做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18.6%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22.7%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-9.3% / -9.3%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-6% 预算线对轻仓位偏松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-12.3% / -15.9%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干预价值开始显现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 倍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20.6%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41.6%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-12.6% / -15.7%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满仓凯利不可取</w:t>
            </w:r>
          </w:p>
        </w:tc>
      </w:tr>
    </w:tbl>
    <w:p>
      <w:pPr>
        <w:spacing w:after="40"/>
      </w:pP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/>
          <w:sz w:val="24"/>
        </w:rPr>
        <w:t>判断先行</w:t>
      </w:r>
      <w:r>
        <w:rPr>
          <w:rFonts w:ascii="Times New Roman" w:hAnsi="Times New Roman" w:eastAsia="宋体"/>
          <w:b w:val="0"/>
          <w:sz w:val="24"/>
        </w:rPr>
        <w:t>：反事实分析（移除干预）证明干预是“有条件的保险”——1/8 档有无干预完全相同，1/2 档回撤从 -15.9% 收窄至 -12.3%，1 倍档累计收益从 41.6% 降至 20.6% 但回撤同时收窄。</w:t>
      </w:r>
      <w:r>
        <w:rPr>
          <w:rFonts w:ascii="Times New Roman" w:hAnsi="Times New Roman" w:eastAsia="宋体"/>
          <w:b/>
          <w:sz w:val="24"/>
        </w:rPr>
        <w:t>证据链</w:t>
      </w:r>
      <w:r>
        <w:rPr>
          <w:rFonts w:ascii="Times New Roman" w:hAnsi="Times New Roman" w:eastAsia="宋体"/>
          <w:b w:val="0"/>
          <w:sz w:val="24"/>
        </w:rPr>
        <w:t>：干预线敏感性（1/4 凯利全样本）显示 -3% 线卡玛 1.49、-6% 线 1.19、-9% 线 1.41——太松等于没干预，太紧则过度止损。</w:t>
      </w:r>
      <w:r>
        <w:rPr>
          <w:rFonts w:ascii="Times New Roman" w:hAnsi="Times New Roman" w:eastAsia="宋体"/>
          <w:b/>
          <w:sz w:val="24"/>
        </w:rPr>
        <w:t>配置含义</w:t>
      </w:r>
      <w:r>
        <w:rPr>
          <w:rFonts w:ascii="Times New Roman" w:hAnsi="Times New Roman" w:eastAsia="宋体"/>
          <w:b w:val="0"/>
          <w:sz w:val="24"/>
        </w:rPr>
        <w:t>：机构应像管理保费一样成对设计“仓位规模 × 干预线”，预算线必须与仓位规模匹配。</w:t>
      </w: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干预线不是画在哪都行的红线——仓位多大、线就得多紧，错配的预算等于没有预算。</w:t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五、　结论与启示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5.1　三条结论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预测力 ≠ 盈利能力，分水岭在转化规则</w:t>
      </w:r>
      <w:r>
        <w:rPr>
          <w:rFonts w:ascii="Times New Roman" w:hAnsi="Times New Roman" w:eastAsia="宋体"/>
          <w:b w:val="0"/>
          <w:sz w:val="24"/>
        </w:rPr>
        <w:t>：方向命中率 53.95% 的同一信号，在不同仓位规则下产生完全不同的风险形态；决定“AI 在决策链中最终贡献了什么”的，是“信号→仓位”这一环，而非信号本身。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校准失败的置信度不能驱动仓位</w:t>
      </w:r>
      <w:r>
        <w:rPr>
          <w:rFonts w:ascii="Times New Roman" w:hAnsi="Times New Roman" w:eastAsia="宋体"/>
          <w:b w:val="0"/>
          <w:sz w:val="24"/>
        </w:rPr>
        <w:t>：置信度均值 0.871 而分桶命中率无单调性（高置信桶仅 54.0%），B 组与 A 组几乎重合（22.8% vs 23.2%）——置信度只能作为参考输入，须经凯利打折与硬约束双重衰减。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风险预算干预是有条件的保险</w:t>
      </w:r>
      <w:r>
        <w:rPr>
          <w:rFonts w:ascii="Times New Roman" w:hAnsi="Times New Roman" w:eastAsia="宋体"/>
          <w:b w:val="0"/>
          <w:sz w:val="24"/>
        </w:rPr>
        <w:t>：其价值随仓位规模上升而显现，且预算线须与仓位规模匹配（1/4 凯利配 -3% 线卡玛 1.49、配 -6% 线 1.19）；移除干预的反事实（1/2 档回撤 -15.9%、1 倍档累计 41.6% 但回撤 -15.7%）是评估其代价的必要基准。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5.2　方法论启示：让 AI 的作用可验证、可复核、可追溯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本实验的方法论价值在于把“AI 在决策链中起了什么作用”变成一组可检验的命题：</w:t>
      </w:r>
      <w:r>
        <w:rPr>
          <w:rFonts w:ascii="Times New Roman" w:hAnsi="Times New Roman" w:eastAsia="宋体"/>
          <w:b/>
          <w:sz w:val="24"/>
        </w:rPr>
        <w:t>多策略对照</w:t>
      </w:r>
      <w:r>
        <w:rPr>
          <w:rFonts w:ascii="Times New Roman" w:hAnsi="Times New Roman" w:eastAsia="宋体"/>
          <w:b w:val="0"/>
          <w:sz w:val="24"/>
        </w:rPr>
        <w:t>识别规则效应，</w:t>
      </w:r>
      <w:r>
        <w:rPr>
          <w:rFonts w:ascii="Times New Roman" w:hAnsi="Times New Roman" w:eastAsia="宋体"/>
          <w:b/>
          <w:sz w:val="24"/>
        </w:rPr>
        <w:t>样本外检验</w:t>
      </w:r>
      <w:r>
        <w:rPr>
          <w:rFonts w:ascii="Times New Roman" w:hAnsi="Times New Roman" w:eastAsia="宋体"/>
          <w:b w:val="0"/>
          <w:sz w:val="24"/>
        </w:rPr>
        <w:t>排除运气，</w:t>
      </w:r>
      <w:r>
        <w:rPr>
          <w:rFonts w:ascii="Times New Roman" w:hAnsi="Times New Roman" w:eastAsia="宋体"/>
          <w:b/>
          <w:sz w:val="24"/>
        </w:rPr>
        <w:t>反事实分析</w:t>
      </w:r>
      <w:r>
        <w:rPr>
          <w:rFonts w:ascii="Times New Roman" w:hAnsi="Times New Roman" w:eastAsia="宋体"/>
          <w:b w:val="0"/>
          <w:sz w:val="24"/>
        </w:rPr>
        <w:t>给干预定价，</w:t>
      </w:r>
      <w:r>
        <w:rPr>
          <w:rFonts w:ascii="Times New Roman" w:hAnsi="Times New Roman" w:eastAsia="宋体"/>
          <w:b/>
          <w:sz w:val="24"/>
        </w:rPr>
        <w:t>可解释归因</w:t>
      </w:r>
      <w:r>
        <w:rPr>
          <w:rFonts w:ascii="Times New Roman" w:hAnsi="Times New Roman" w:eastAsia="宋体"/>
          <w:b w:val="0"/>
          <w:sz w:val="24"/>
        </w:rPr>
        <w:t>把绩效差异分解到仓位结构与成本拖累，</w:t>
      </w:r>
      <w:r>
        <w:rPr>
          <w:rFonts w:ascii="Times New Roman" w:hAnsi="Times New Roman" w:eastAsia="宋体"/>
          <w:b/>
          <w:sz w:val="24"/>
        </w:rPr>
        <w:t>复现能力</w:t>
      </w:r>
      <w:r>
        <w:rPr>
          <w:rFonts w:ascii="Times New Roman" w:hAnsi="Times New Roman" w:eastAsia="宋体"/>
          <w:b w:val="0"/>
          <w:sz w:val="24"/>
        </w:rPr>
        <w:t>（种子固定、参数预登记、一键重跑）使每一个数字可回查。这五项可验证证据，同样适用于评审任何“AI 参与决策”的方案：凡不能提供者，其结论应视为未经验证。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 AI 系统建设方的对应要求：置信度输出必须附带校准曲线与历史命中率分桶报告；未经验证的置信度不得直接驱动资金分配；人工仅保留硬约束设定权，决策链路对输入语料与模型原始输出完全可回溯。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5.3　局限与边界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仿真未建模滑点、流动性冲击与涨跌停摩擦，结论不能直接外推至实盘执行环节；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样本期为 2024-01 至 2025-10 的单一市场段（含一段蓝筹上行），区间结构会影响样本外对比的具体数值；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信号为透明模拟而非真实大模型输出——这是受控归因的设计前提，真实信号的接入（保持规则不变重跑并分解贡献）列为开放挑战任务；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凯利分数对收益率均值估计高度敏感，1/4 缩放是保守化处理而非最优解；滚动再估计与多周期验证列为扩展方向。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上述边界在全部配套材料中如实标注——明示边界本身是数据诚实素养的一部分，也是本实验区别于“演示型作品”的特征。</w:t>
      </w: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AI 是外骨骼，扣动扳机的必须是懂风险预算的人。</w:t>
      </w:r>
    </w:p>
    <w:p>
      <w:pPr>
        <w:spacing w:before="200"/>
      </w:pPr>
      <w:r>
        <w:rPr>
          <w:rFonts w:ascii="Times New Roman" w:hAnsi="Times New Roman" w:eastAsia="宋体"/>
          <w:b w:val="0"/>
          <w:color w:val="475569"/>
          <w:sz w:val="20"/>
        </w:rPr>
        <w:t>免责声明：本文为虚拟仿真环境下的实验教学演示文本，全部阈值与仓位参数均为统一设定的实验条件，不构成任何证券的买卖建议；历史与模拟回测结果不代表未来收益。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