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Times New Roman" w:hAnsi="Times New Roman" w:eastAsia="黑体"/>
          <w:b/>
          <w:sz w:val="32"/>
        </w:rPr>
        <w:t>第九届“智享杯”全国大学生经济管理类实验案例分析大赛</w:t>
      </w:r>
    </w:p>
    <w:p>
      <w:pPr>
        <w:spacing w:before="0" w:after="1800"/>
        <w:jc w:val="center"/>
      </w:pPr>
      <w:r>
        <w:rPr>
          <w:rFonts w:ascii="Times New Roman" w:hAnsi="Times New Roman" w:eastAsia="黑体"/>
          <w:b w:val="0"/>
          <w:sz w:val="28"/>
        </w:rPr>
        <w:t>（学生赛区 · 数据分析案例）</w:t>
      </w:r>
    </w:p>
    <w:p>
      <w:pPr>
        <w:spacing w:before="800" w:after="320"/>
        <w:jc w:val="center"/>
      </w:pPr>
      <w:r>
        <w:rPr>
          <w:rFonts w:ascii="Times New Roman" w:hAnsi="Times New Roman" w:eastAsia="黑体"/>
          <w:b/>
          <w:sz w:val="48"/>
        </w:rPr>
        <w:t>智享杯 · 全国大学生经济管理类实验案例分析大赛（学生赛区）</w:t>
      </w:r>
    </w:p>
    <w:p>
      <w:pPr>
        <w:spacing w:before="0" w:after="1800"/>
        <w:jc w:val="center"/>
      </w:pPr>
      <w:r>
        <w:rPr>
          <w:rFonts w:ascii="Times New Roman" w:hAnsi="Times New Roman" w:eastAsia="仿宋"/>
          <w:b/>
          <w:sz w:val="36"/>
        </w:rPr>
        <w:t>教学指导文档</w:t>
      </w:r>
    </w:p>
    <w:p>
      <w:pPr>
        <w:spacing w:before="0" w:after="160"/>
        <w:jc w:val="center"/>
      </w:pPr>
      <w:r>
        <w:rPr>
          <w:rFonts w:ascii="Times New Roman" w:hAnsi="Times New Roman" w:eastAsia="仿宋"/>
          <w:b w:val="0"/>
          <w:sz w:val="28"/>
        </w:rPr>
        <w:t>参赛团队：大赛匿名评审版</w:t>
      </w:r>
    </w:p>
    <w:p>
      <w:pPr>
        <w:spacing w:before="0" w:after="0"/>
        <w:jc w:val="center"/>
      </w:pPr>
      <w:r>
        <w:rPr>
          <w:rFonts w:ascii="Times New Roman" w:hAnsi="Times New Roman" w:eastAsia="仿宋"/>
          <w:b w:val="0"/>
          <w:sz w:val="28"/>
        </w:rPr>
        <w:t>完成日期：2026 年 10 月 31 日</w:t>
      </w:r>
    </w:p>
    <w:p>
      <w:pPr>
        <w:pageBreakBefore/>
        <w:spacing w:after="360"/>
        <w:jc w:val="center"/>
      </w:pPr>
      <w:r>
        <w:rPr>
          <w:rFonts w:ascii="Times New Roman" w:hAnsi="Times New Roman" w:eastAsia="黑体"/>
          <w:b/>
          <w:sz w:val="44"/>
        </w:rPr>
        <w:t>目　　录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一、　案例概述与适用课程</w:t>
      </w:r>
      <w:r>
        <w:rPr>
          <w:rFonts w:ascii="Times New Roman" w:hAnsi="Times New Roman" w:eastAsia="宋体"/>
          <w:sz w:val="24"/>
        </w:rPr>
        <w:tab/>
        <w:t>5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1.1　案例定位与一句话叙事</w:t>
      </w:r>
      <w:r>
        <w:rPr>
          <w:rFonts w:ascii="Times New Roman" w:hAnsi="Times New Roman" w:eastAsia="宋体"/>
          <w:sz w:val="22"/>
        </w:rPr>
        <w:tab/>
        <w:t>5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1.2　实验类型定位</w:t>
      </w:r>
      <w:r>
        <w:rPr>
          <w:rFonts w:ascii="Times New Roman" w:hAnsi="Times New Roman" w:eastAsia="宋体"/>
          <w:sz w:val="22"/>
        </w:rPr>
        <w:tab/>
        <w:t>5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1.3　适用课程与契合知识点</w:t>
      </w:r>
      <w:r>
        <w:rPr>
          <w:rFonts w:ascii="Times New Roman" w:hAnsi="Times New Roman" w:eastAsia="宋体"/>
          <w:sz w:val="22"/>
        </w:rPr>
        <w:tab/>
        <w:t>5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1.4　适用对象与先修要求</w:t>
      </w:r>
      <w:r>
        <w:rPr>
          <w:rFonts w:ascii="Times New Roman" w:hAnsi="Times New Roman" w:eastAsia="宋体"/>
          <w:sz w:val="22"/>
        </w:rPr>
        <w:tab/>
        <w:t>5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1.5　学时建议</w:t>
      </w:r>
      <w:r>
        <w:rPr>
          <w:rFonts w:ascii="Times New Roman" w:hAnsi="Times New Roman" w:eastAsia="宋体"/>
          <w:sz w:val="22"/>
        </w:rPr>
        <w:tab/>
        <w:t>6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1.6　与大赛评分判据的对齐（教师备课索引）</w:t>
      </w:r>
      <w:r>
        <w:rPr>
          <w:rFonts w:ascii="Times New Roman" w:hAnsi="Times New Roman" w:eastAsia="宋体"/>
          <w:sz w:val="22"/>
        </w:rPr>
        <w:tab/>
        <w:t>6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二、　教学目标（三维 · 可观察 · 可取证）</w:t>
      </w:r>
      <w:r>
        <w:rPr>
          <w:rFonts w:ascii="Times New Roman" w:hAnsi="Times New Roman" w:eastAsia="宋体"/>
          <w:sz w:val="24"/>
        </w:rPr>
        <w:tab/>
        <w:t>7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2.1　知识目标（K）</w:t>
      </w:r>
      <w:r>
        <w:rPr>
          <w:rFonts w:ascii="Times New Roman" w:hAnsi="Times New Roman" w:eastAsia="宋体"/>
          <w:sz w:val="22"/>
        </w:rPr>
        <w:tab/>
        <w:t>7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2.2　能力目标（A）</w:t>
      </w:r>
      <w:r>
        <w:rPr>
          <w:rFonts w:ascii="Times New Roman" w:hAnsi="Times New Roman" w:eastAsia="宋体"/>
          <w:sz w:val="22"/>
        </w:rPr>
        <w:tab/>
        <w:t>7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2.3　素养目标（Q）</w:t>
      </w:r>
      <w:r>
        <w:rPr>
          <w:rFonts w:ascii="Times New Roman" w:hAnsi="Times New Roman" w:eastAsia="宋体"/>
          <w:sz w:val="22"/>
        </w:rPr>
        <w:tab/>
        <w:t>7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三、　课前准备</w:t>
      </w:r>
      <w:r>
        <w:rPr>
          <w:rFonts w:ascii="Times New Roman" w:hAnsi="Times New Roman" w:eastAsia="宋体"/>
          <w:sz w:val="24"/>
        </w:rPr>
        <w:tab/>
        <w:t>9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3.1　教师准备清单（倒计时表）</w:t>
      </w:r>
      <w:r>
        <w:rPr>
          <w:rFonts w:ascii="Times New Roman" w:hAnsi="Times New Roman" w:eastAsia="宋体"/>
          <w:sz w:val="22"/>
        </w:rPr>
        <w:tab/>
        <w:t>9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3.2　学生准备清单</w:t>
      </w:r>
      <w:r>
        <w:rPr>
          <w:rFonts w:ascii="Times New Roman" w:hAnsi="Times New Roman" w:eastAsia="宋体"/>
          <w:sz w:val="22"/>
        </w:rPr>
        <w:tab/>
        <w:t>9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3.3　平台使用三步指引（可直接投屏）</w:t>
      </w:r>
      <w:r>
        <w:rPr>
          <w:rFonts w:ascii="Times New Roman" w:hAnsi="Times New Roman" w:eastAsia="宋体"/>
          <w:sz w:val="22"/>
        </w:rPr>
        <w:tab/>
        <w:t>9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3.4　数据集说明（学生版口径）</w:t>
      </w:r>
      <w:r>
        <w:rPr>
          <w:rFonts w:ascii="Times New Roman" w:hAnsi="Times New Roman" w:eastAsia="宋体"/>
          <w:sz w:val="22"/>
        </w:rPr>
        <w:tab/>
        <w:t>9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3.5　课前检查清单（开课前逐项打勾）</w:t>
      </w:r>
      <w:r>
        <w:rPr>
          <w:rFonts w:ascii="Times New Roman" w:hAnsi="Times New Roman" w:eastAsia="宋体"/>
          <w:sz w:val="22"/>
        </w:rPr>
        <w:tab/>
        <w:t>10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四、　实验组织流程</w:t>
      </w:r>
      <w:r>
        <w:rPr>
          <w:rFonts w:ascii="Times New Roman" w:hAnsi="Times New Roman" w:eastAsia="宋体"/>
          <w:sz w:val="24"/>
        </w:rPr>
        <w:tab/>
        <w:t>11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4.1　标准版：2 课时（90 分钟）课堂时间表</w:t>
      </w:r>
      <w:r>
        <w:rPr>
          <w:rFonts w:ascii="Times New Roman" w:hAnsi="Times New Roman" w:eastAsia="宋体"/>
          <w:sz w:val="22"/>
        </w:rPr>
        <w:tab/>
        <w:t>11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4.2　扩展版：4 课时（180 分钟）组织方案</w:t>
      </w:r>
      <w:r>
        <w:rPr>
          <w:rFonts w:ascii="Times New Roman" w:hAnsi="Times New Roman" w:eastAsia="宋体"/>
          <w:sz w:val="22"/>
        </w:rPr>
        <w:tab/>
        <w:t>11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4.3　教师角色转换：三个“不替代”</w:t>
      </w:r>
      <w:r>
        <w:rPr>
          <w:rFonts w:ascii="Times New Roman" w:hAnsi="Times New Roman" w:eastAsia="宋体"/>
          <w:sz w:val="22"/>
        </w:rPr>
        <w:tab/>
        <w:t>11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4.4　节奏控制与取舍</w:t>
      </w:r>
      <w:r>
        <w:rPr>
          <w:rFonts w:ascii="Times New Roman" w:hAnsi="Times New Roman" w:eastAsia="宋体"/>
          <w:sz w:val="22"/>
        </w:rPr>
        <w:tab/>
        <w:t>12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五、　分层任务设计（对应正文“实验作业与思考题”8 题）</w:t>
      </w:r>
      <w:r>
        <w:rPr>
          <w:rFonts w:ascii="Times New Roman" w:hAnsi="Times New Roman" w:eastAsia="宋体"/>
          <w:sz w:val="24"/>
        </w:rPr>
        <w:tab/>
        <w:t>13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5.1　分层逻辑与评分权重落位</w:t>
      </w:r>
      <w:r>
        <w:rPr>
          <w:rFonts w:ascii="Times New Roman" w:hAnsi="Times New Roman" w:eastAsia="宋体"/>
          <w:sz w:val="22"/>
        </w:rPr>
        <w:tab/>
        <w:t>13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5.2　各题指导要点</w:t>
      </w:r>
      <w:r>
        <w:rPr>
          <w:rFonts w:ascii="Times New Roman" w:hAnsi="Times New Roman" w:eastAsia="宋体"/>
          <w:sz w:val="22"/>
        </w:rPr>
        <w:tab/>
        <w:t>14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5.3　“结果不唯一”的教学处理</w:t>
      </w:r>
      <w:r>
        <w:rPr>
          <w:rFonts w:ascii="Times New Roman" w:hAnsi="Times New Roman" w:eastAsia="宋体"/>
          <w:sz w:val="22"/>
        </w:rPr>
        <w:tab/>
        <w:t>15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六、　典型错误引导（实验前必读 · 五坑三段式）</w:t>
      </w:r>
      <w:r>
        <w:rPr>
          <w:rFonts w:ascii="Times New Roman" w:hAnsi="Times New Roman" w:eastAsia="宋体"/>
          <w:sz w:val="24"/>
        </w:rPr>
        <w:tab/>
        <w:t>16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6.1　坑 1：前视偏差</w:t>
      </w:r>
      <w:r>
        <w:rPr>
          <w:rFonts w:ascii="Times New Roman" w:hAnsi="Times New Roman" w:eastAsia="宋体"/>
          <w:sz w:val="22"/>
        </w:rPr>
        <w:tab/>
        <w:t>16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6.2　坑 2：忽略交易成本</w:t>
      </w:r>
      <w:r>
        <w:rPr>
          <w:rFonts w:ascii="Times New Roman" w:hAnsi="Times New Roman" w:eastAsia="宋体"/>
          <w:sz w:val="22"/>
        </w:rPr>
        <w:tab/>
        <w:t>16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6.3　坑 3：样本外信息泄漏</w:t>
      </w:r>
      <w:r>
        <w:rPr>
          <w:rFonts w:ascii="Times New Roman" w:hAnsi="Times New Roman" w:eastAsia="宋体"/>
          <w:sz w:val="22"/>
        </w:rPr>
        <w:tab/>
        <w:t>16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6.4　坑 4：过拟合凯利分数与参数网格</w:t>
      </w:r>
      <w:r>
        <w:rPr>
          <w:rFonts w:ascii="Times New Roman" w:hAnsi="Times New Roman" w:eastAsia="宋体"/>
          <w:sz w:val="22"/>
        </w:rPr>
        <w:tab/>
        <w:t>16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6.5　坑 5：只报有利结果（选择性报告）</w:t>
      </w:r>
      <w:r>
        <w:rPr>
          <w:rFonts w:ascii="Times New Roman" w:hAnsi="Times New Roman" w:eastAsia="宋体"/>
          <w:sz w:val="22"/>
        </w:rPr>
        <w:tab/>
        <w:t>17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6.6　五坑速查表（学生报告附录用）</w:t>
      </w:r>
      <w:r>
        <w:rPr>
          <w:rFonts w:ascii="Times New Roman" w:hAnsi="Times New Roman" w:eastAsia="宋体"/>
          <w:sz w:val="22"/>
        </w:rPr>
        <w:tab/>
        <w:t>17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七、　评分量规（四维 100 分制）</w:t>
      </w:r>
      <w:r>
        <w:rPr>
          <w:rFonts w:ascii="Times New Roman" w:hAnsi="Times New Roman" w:eastAsia="宋体"/>
          <w:sz w:val="24"/>
        </w:rPr>
        <w:tab/>
        <w:t>18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7.1　四维量规总表（每维四档可观察描述）</w:t>
      </w:r>
      <w:r>
        <w:rPr>
          <w:rFonts w:ascii="Times New Roman" w:hAnsi="Times New Roman" w:eastAsia="宋体"/>
          <w:sz w:val="22"/>
        </w:rPr>
        <w:tab/>
        <w:t>18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7.2　维度 × 证据来源对照</w:t>
      </w:r>
      <w:r>
        <w:rPr>
          <w:rFonts w:ascii="Times New Roman" w:hAnsi="Times New Roman" w:eastAsia="宋体"/>
          <w:sz w:val="22"/>
        </w:rPr>
        <w:tab/>
        <w:t>18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7.3　评分流程建议</w:t>
      </w:r>
      <w:r>
        <w:rPr>
          <w:rFonts w:ascii="Times New Roman" w:hAnsi="Times New Roman" w:eastAsia="宋体"/>
          <w:sz w:val="22"/>
        </w:rPr>
        <w:tab/>
        <w:t>18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八、　教师 FAQ（10 问）</w:t>
      </w:r>
      <w:r>
        <w:rPr>
          <w:rFonts w:ascii="Times New Roman" w:hAnsi="Times New Roman" w:eastAsia="宋体"/>
          <w:sz w:val="24"/>
        </w:rPr>
        <w:tab/>
        <w:t>19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九、　学习证据与改进证据（第二、三层证据）</w:t>
      </w:r>
      <w:r>
        <w:rPr>
          <w:rFonts w:ascii="Times New Roman" w:hAnsi="Times New Roman" w:eastAsia="宋体"/>
          <w:sz w:val="24"/>
        </w:rPr>
        <w:tab/>
        <w:t>21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9.1　三层证据框架</w:t>
      </w:r>
      <w:r>
        <w:rPr>
          <w:rFonts w:ascii="Times New Roman" w:hAnsi="Times New Roman" w:eastAsia="宋体"/>
          <w:sz w:val="22"/>
        </w:rPr>
        <w:tab/>
        <w:t>21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9.2　前测题（课前 15 分钟，摸底不计分）</w:t>
      </w:r>
      <w:r>
        <w:rPr>
          <w:rFonts w:ascii="Times New Roman" w:hAnsi="Times New Roman" w:eastAsia="宋体"/>
          <w:sz w:val="22"/>
        </w:rPr>
        <w:tab/>
        <w:t>21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9.3　后测题（结课时 20 分钟，与前测一一对应）</w:t>
      </w:r>
      <w:r>
        <w:rPr>
          <w:rFonts w:ascii="Times New Roman" w:hAnsi="Times New Roman" w:eastAsia="宋体"/>
          <w:sz w:val="22"/>
        </w:rPr>
        <w:tab/>
        <w:t>21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9.4　学生反思报告模板（结课后 24 小时内提交）</w:t>
      </w:r>
      <w:r>
        <w:rPr>
          <w:rFonts w:ascii="Times New Roman" w:hAnsi="Times New Roman" w:eastAsia="宋体"/>
          <w:sz w:val="22"/>
        </w:rPr>
        <w:tab/>
        <w:t>22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9.5　教师改进记录表模板（每轮课后填写，归档为第三层证据）</w:t>
      </w:r>
      <w:r>
        <w:rPr>
          <w:rFonts w:ascii="Times New Roman" w:hAnsi="Times New Roman" w:eastAsia="宋体"/>
          <w:sz w:val="22"/>
        </w:rPr>
        <w:tab/>
        <w:t>22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十、　三类材料包与配套 PPT 使用说明</w:t>
      </w:r>
      <w:r>
        <w:rPr>
          <w:rFonts w:ascii="Times New Roman" w:hAnsi="Times New Roman" w:eastAsia="宋体"/>
          <w:sz w:val="24"/>
        </w:rPr>
        <w:tab/>
        <w:t>23</w:t>
      </w:r>
    </w:p>
    <w:p>
      <w:pPr>
        <w:spacing w:before="1800"/>
      </w:pPr>
    </w:p>
    <w:p>
      <w:pPr>
        <w:pageBreakBefore/>
        <w:jc w:val="center"/>
      </w:pPr>
      <w:r>
        <w:rPr>
          <w:rFonts w:ascii="Times New Roman" w:hAnsi="Times New Roman" w:eastAsia="黑体"/>
          <w:b w:val="0"/>
          <w:color w:val="595959"/>
          <w:sz w:val="26"/>
        </w:rPr>
        <w:t>智享杯 · 全国大学生经济管理类实验案例分析大赛（学生赛区）</w:t>
      </w:r>
    </w:p>
    <w:p>
      <w:pPr>
        <w:spacing w:before="480"/>
        <w:jc w:val="center"/>
      </w:pPr>
      <w:r>
        <w:rPr>
          <w:rFonts w:ascii="Times New Roman" w:hAnsi="Times New Roman" w:eastAsia="黑体"/>
          <w:b/>
          <w:color w:val="1F3B63"/>
          <w:sz w:val="60"/>
        </w:rPr>
        <w:t>教学指导文档</w:t>
      </w:r>
    </w:p>
    <w:p>
      <w:pPr>
        <w:spacing w:before="280"/>
        <w:jc w:val="center"/>
      </w:pPr>
      <w:r>
        <w:rPr>
          <w:rFonts w:ascii="Times New Roman" w:hAnsi="Times New Roman" w:eastAsia="黑体"/>
          <w:b/>
          <w:sz w:val="38"/>
        </w:rPr>
        <w:t>AI 选股信号该配多大仓位？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——虚拟仿真下的风险预算干预实验</w:t>
      </w:r>
    </w:p>
    <w:p>
      <w:pPr>
        <w:spacing w:before="400"/>
        <w:jc w:val="center"/>
      </w:pPr>
      <w:r>
        <w:rPr>
          <w:rFonts w:ascii="Times New Roman" w:hAnsi="Times New Roman" w:eastAsia="宋体"/>
          <w:b w:val="0"/>
          <w:color w:val="595959"/>
          <w:sz w:val="23"/>
        </w:rPr>
        <w:t>（教师用 · 含课堂组织、分层任务、典型错误引导、评分量规与三层证据设计）</w:t>
      </w:r>
    </w:p>
    <w:p>
      <w:pPr>
        <w:spacing w:before="60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配套材料：案例正文（在线 Notebook，50 单元）· 实验数据集（prices.csv / signals.csv）· 教学指导配套 PPT（20 页）</w:t>
      </w:r>
    </w:p>
    <w:p>
      <w:r>
        <w:br w:type="page"/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一、　案例概述与适用课程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1.1　案例定位与一句话叙事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证券公司、基金公司正在批量引入大模型投研工作台：每天对数百只标的输出看多/看空观点与置信度。</w:t>
      </w:r>
      <w:r>
        <w:rPr>
          <w:rFonts w:ascii="Times New Roman" w:hAnsi="Times New Roman" w:eastAsia="宋体"/>
          <w:b/>
          <w:sz w:val="24"/>
        </w:rPr>
        <w:t>信号“准不准”已被反复讨论，但信号“配多大仓位”——从信号到资金之间的转化规则——缺乏可训练、可考核、可复现的实验环境</w:t>
      </w:r>
      <w:r>
        <w:rPr>
          <w:rFonts w:ascii="Times New Roman" w:hAnsi="Times New Roman" w:eastAsia="宋体"/>
          <w:b w:val="0"/>
          <w:sz w:val="24"/>
        </w:rPr>
        <w:t>。本案例把“AI 选股 → 仓位决策 → 风险后果”的完整链条搬进虚拟仿真沙盘：学生以“风险预算官”的身份，在同一组冻结的 AI 信号上设计并比较三种仓位规则，用全样本对照、样本外检验、参数敏感性与反事实分析回答一个真实业务问题；拓展分析进一步覆盖成本扫描（策略排序是成本的函数）与置信度再校准闭环（样本内校准 → 样本外验证）——</w:t>
      </w:r>
      <w:r>
        <w:rPr>
          <w:rFonts w:ascii="Times New Roman" w:hAnsi="Times New Roman" w:eastAsia="宋体"/>
          <w:b/>
          <w:sz w:val="24"/>
        </w:rPr>
        <w:t>AI 的预测力，到底有多少能穿过交易成本与回撤约束变成收益？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实验在案例平台在线 Notebook 中完成（Python 3 内核，打开即跑、零安装）：行情为真实公开数据，信号为种子公开的透明模拟实验条件，全部表格与图形由代码单元真实运行生成，每一个数字都可复现、可追溯。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1.2　实验类型定位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按大赛对经管实验方法的分类，本案例属于</w:t>
      </w:r>
      <w:r>
        <w:rPr>
          <w:rFonts w:ascii="Times New Roman" w:hAnsi="Times New Roman" w:eastAsia="宋体"/>
          <w:b/>
          <w:sz w:val="24"/>
        </w:rPr>
        <w:t>“计算实验 + 数据分析实验”混合型</w:t>
      </w:r>
      <w:r>
        <w:rPr>
          <w:rFonts w:ascii="Times New Roman" w:hAnsi="Times New Roman" w:eastAsia="宋体"/>
          <w:b w:val="0"/>
          <w:sz w:val="24"/>
        </w:rPr>
        <w:t>：一方面在规则确定的环境中比较不同仓位策略的优劣（计算实验），另一方面对真实行情数据做诊断、检验与稳健性分析（数据分析实验）。案例严格保留“结果不唯一”——干预规则的设计空间向学生开放，不同设计应得出不同结论并接受数据检验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1.3　适用课程与契合知识点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课程</w:t>
            </w:r>
          </w:p>
        </w:tc>
        <w:tc>
          <w:tcPr>
            <w:tcW w:type="dxa" w:w="464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契合章节 / 知识点</w:t>
            </w:r>
          </w:p>
        </w:tc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建议使用深度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投资学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资产配置与组合管理：风险—收益权衡、仓位管理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全流程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量化投资 / 金融工程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回测方法论、凯利公式、交易成本建模、过拟合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全流程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金融风险管理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风险预算、最大回撤、压力测试、干预机制设计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重点使用第 4.3–4.6 节与第六节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 金融数据分析 / 金融科技实验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数据获取与诊断、pandas 回测、可视化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重点使用第 2–3 节与基础任务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行为金融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过度自信、置信度校准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重点使用第 4.3 节信号诊断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1.4　适用对象与先修要求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适用对象</w:t>
      </w:r>
      <w:r>
        <w:rPr>
          <w:rFonts w:ascii="Times New Roman" w:hAnsi="Times New Roman" w:eastAsia="宋体"/>
          <w:b w:val="0"/>
          <w:sz w:val="24"/>
        </w:rPr>
        <w:t>：金融学、金融工程、经济统计等专业本科三、四年级；金融专业硕士一年级。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先修知识</w:t>
      </w:r>
      <w:r>
        <w:rPr>
          <w:rFonts w:ascii="Times New Roman" w:hAnsi="Times New Roman" w:eastAsia="宋体"/>
          <w:b w:val="0"/>
          <w:sz w:val="24"/>
        </w:rPr>
        <w:t>：概率统计基础（会看分布与分桶）、投资学基本概念（收益率、波动率、最大回撤）、Python 基本操作（pandas 读表、groupby）。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先修技能兜底</w:t>
      </w:r>
      <w:r>
        <w:rPr>
          <w:rFonts w:ascii="Times New Roman" w:hAnsi="Times New Roman" w:eastAsia="宋体"/>
          <w:b w:val="0"/>
          <w:sz w:val="24"/>
        </w:rPr>
        <w:t>：代码不熟练的学生可使用平台“代码帮助”面板与案例正文中的完整代码单元；本案例的门槛在“规则设计与证据解释”，不在代码语法。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1.5　学时建议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提供 </w:t>
      </w:r>
      <w:r>
        <w:rPr>
          <w:rFonts w:ascii="Times New Roman" w:hAnsi="Times New Roman" w:eastAsia="宋体"/>
          <w:b/>
          <w:sz w:val="24"/>
        </w:rPr>
        <w:t>2 课时（90 分钟）标准版</w:t>
      </w:r>
      <w:r>
        <w:rPr>
          <w:rFonts w:ascii="Times New Roman" w:hAnsi="Times New Roman" w:eastAsia="宋体"/>
          <w:b w:val="0"/>
          <w:sz w:val="24"/>
        </w:rPr>
        <w:t xml:space="preserve">与 </w:t>
      </w:r>
      <w:r>
        <w:rPr>
          <w:rFonts w:ascii="Times New Roman" w:hAnsi="Times New Roman" w:eastAsia="宋体"/>
          <w:b/>
          <w:sz w:val="24"/>
        </w:rPr>
        <w:t>4 课时（180 分钟）扩展版</w:t>
      </w:r>
      <w:r>
        <w:rPr>
          <w:rFonts w:ascii="Times New Roman" w:hAnsi="Times New Roman" w:eastAsia="宋体"/>
          <w:b w:val="0"/>
          <w:sz w:val="24"/>
        </w:rPr>
        <w:t>两套课堂组织方案（见第四节），分别对应“完整走一遍主链路”与“含反事实设计工作坊与正式答辩”的两种教学深度。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1.6　与大赛评分判据的对齐（教师备课索引）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大赛评审以“人工智能在投研决策链条中所处环节、及其与最终交易决策的拟合程度”为核心依据，以可验证证据为基础，且要求 AI 实质介入决策生成。本案例的对应落点如下，供教师备课与指导学生答辩时使用：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评分判据</w:t>
            </w:r>
          </w:p>
        </w:tc>
        <w:tc>
          <w:tcPr>
            <w:tcW w:type="dxa" w:w="408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本案例落点</w:t>
            </w:r>
          </w:p>
        </w:tc>
        <w:tc>
          <w:tcPr>
            <w:tcW w:type="dxa" w:w="24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课堂 / 答辩话术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以 AI 所处环节及其与最终交易决策的拟合程度为核心依据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案例把“信号→仓位”环节整体搬进沙盘：AI 方向与置信度经仓位规则直接决定组合权重，移除信号则决策链失效；</w:t>
            </w:r>
            <w:r>
              <w:rPr>
                <w:rFonts w:ascii="Times New Roman" w:hAnsi="Times New Roman" w:eastAsia="宋体"/>
                <w:b/>
                <w:sz w:val="19"/>
              </w:rPr>
              <w:t>人工仅设硬约束</w:t>
            </w:r>
            <w:r>
              <w:rPr>
                <w:rFonts w:ascii="Times New Roman" w:hAnsi="Times New Roman" w:eastAsia="宋体"/>
                <w:b w:val="0"/>
                <w:sz w:val="19"/>
              </w:rPr>
              <w:t>（成本、集中度、回撤预算）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先讲清“AI 的输出在哪一环、如何变成仓位”，再谈结果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以可验证证据为基础：样本外检验、多策略对照、反事实分析、可解释归因、复现能力，缺者降分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五项证据即本案例的方法论主线：多策略对照（A/B/C）、样本外检验（前 70% / 后 30%）、反事实分析（干预有无）、可解释归因（成本拖累分解）、复现能力（种子 20261029、一键重跑）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要求学生报告五项证据缺一不可；与量规“过程可追溯 / 解释合理性”直接挂钩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AI 仅作结论性表述、未介入决策生成的方案不予认可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本案例 AI 信号是仓位决策的原始输入（端到端参与决策生成），决策可回溯至信号生成规则与模型原始输出（置信度）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让学生写明“决策由信号驱动、参数预登记、结果可回溯”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color w:val="595959"/>
          <w:sz w:val="23"/>
        </w:rPr>
        <w:t>教学提示：这组判据同时是评分量规（第七节）的命题依据——“过程可追溯 30 分”对应复现能力与可解释归因，“解释合理性 30 分”对应样本外检验与反事实分析的双向陈述。学生理解了判据，就理解了为什么“高收益不加分、不可复现扣大分”。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二、　教学目标（三维 · 可观察 · 可取证）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目标全部写成</w:t>
      </w:r>
      <w:r>
        <w:rPr>
          <w:rFonts w:ascii="Times New Roman" w:hAnsi="Times New Roman" w:eastAsia="宋体"/>
          <w:b/>
          <w:sz w:val="24"/>
        </w:rPr>
        <w:t>可观察行为 + 主要证据</w:t>
      </w:r>
      <w:r>
        <w:rPr>
          <w:rFonts w:ascii="Times New Roman" w:hAnsi="Times New Roman" w:eastAsia="宋体"/>
          <w:b w:val="0"/>
          <w:sz w:val="24"/>
        </w:rPr>
        <w:t>的对子，便于直接对接评分量规（第七节）。教师可在任务书中只下发目标条目，本节自留作备课索引。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2.1　知识目标（K）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7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可观察行为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主要证据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K1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说出“信号→仓位→风险后果”链条中仓位规则的作用位置，解释为什么方向命中率 55% 的信号仍可能亏损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任务书问答 / 报告第一章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K2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描述换手率、单边成本与仓位规模的数量关系，解释为何 5bp 成本在满仓组形成约 8.8 个百分点的年化拖累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成本归因表（正文 4.3）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K3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解释置信度校准的概念，依据校准分桶表指出 AI 置信度“均值 0.871、真实命中约 54%”的过度自信证据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校准分桶表（正文 4.3）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K4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陈述凯利分数的含义、1/4 缩放的保守性理由，以及回撤预算线“红线 + 干预触发器”的双重属性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实验设计表（正文 1.5）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2.2　能力目标（A）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能力方向</w:t>
            </w:r>
          </w:p>
        </w:tc>
        <w:tc>
          <w:tcPr>
            <w:tcW w:type="dxa" w:w="476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可观察行为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主要证据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数据诊断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运行信号诊断单元，产出统计特征表与校准分桶表，指出至少一处校准失真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信号诊断记录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实验设计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在冻结信号与硬约束下设计至少两种可比较的仓位规则，并说明控制了哪些变量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实验设计表 / 规则说明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决策论证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用样本外检验与敏感性结果为一页纸仓位建议辩护，正面处理“样本外收益落后”一类反例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一页纸建议 + 答辩问答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批判性判断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识别 AI 置信度的系统性过度自信，提出至少一条校准改进方案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思考题 8 作答 / 改进记录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2.3　素养目标（Q）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Q1 数据诚实</w:t>
      </w:r>
      <w:r>
        <w:rPr>
          <w:rFonts w:ascii="Times New Roman" w:hAnsi="Times New Roman" w:eastAsia="宋体"/>
          <w:b w:val="0"/>
          <w:sz w:val="24"/>
        </w:rPr>
        <w:t>：报告中的每个数字都能由代码复现，数据来源与随机种子明示。证据：可复现性声明与运行记录。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Q2 敬畏不确定性</w:t>
      </w:r>
      <w:r>
        <w:rPr>
          <w:rFonts w:ascii="Times New Roman" w:hAnsi="Times New Roman" w:eastAsia="宋体"/>
          <w:b w:val="0"/>
          <w:sz w:val="24"/>
        </w:rPr>
        <w:t>：接受“结果不唯一”，用区间、条件与概率语言而非单点结论表述判断。证据：报告措辞检查。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Q3 规则先行</w:t>
      </w:r>
      <w:r>
        <w:rPr>
          <w:rFonts w:ascii="Times New Roman" w:hAnsi="Times New Roman" w:eastAsia="宋体"/>
          <w:b w:val="0"/>
          <w:sz w:val="24"/>
        </w:rPr>
        <w:t>：养成“先定规则、登记参数、再跑实验”的职业习惯，杜绝事后挑参数。证据：参数预登记表。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三、　课前准备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3.1　教师准备清单（倒计时表）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时间点</w:t>
            </w:r>
          </w:p>
        </w:tc>
        <w:tc>
          <w:tcPr>
            <w:tcW w:type="dxa" w:w="476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动作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核对要点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提前 7 天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在案例平台确认案例正文可打开、数据集已挂载、内核正常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任取一个代码单元试运行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提前 5 天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发布实验任务书（正文 1.3 节）与评分量规（本文件第七节）；完成 3–4 人/组分组并指定组长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量规先行：学生必须先知道怎么被评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提前 3 天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试运行 run_all.py，确认关键数字与案例正文一致；打印答辩评分表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 组累计 23.2%、C 组 18.6% 等锚点数字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提前 1 天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检查学生账号登录情况；下发前测题（第九节 9.2），限时 15 分钟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前测结果仅作学情摸底，不计分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当天开课前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确认平台在线 Notebook 内核就绪（Python 3 ipykernel）；黑板写明硬约束四条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5bp 成本 / 个股 20% / 总仓 100%（硬）/ 回撤触线 -6%（软）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3.2　学生准备清单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注册并登录案例平台，能独立打开案例正文（在线 Notebook 环境）。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顺序浏览正文第 1–3 节，完成“三个自测”：①能背出硬约束四条；②能在附录找到信号种子号 20261029；③能说清 A / B / C 三组各自是什么规则。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Python 自测：会 pandas.read_csv、groupby 与基本画图。不达标不阻断实验——正文代码可整段运行，课堂注意力应放在规则设计与证据解释上。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3.3　平台使用三步指引（可直接投屏）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操作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① 登录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打开案例平台 www.chinadatacase.com 并登录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统一账号，无需本地安装任何软件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② 打开案例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进入案例正文页，载入在线 Notebook（Python 3 内核）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正文、数据集、代码、运行结果一体化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③ 运行实验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自上而下逐单元运行；或运行全部后从上往下读结果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卡住时使用右侧“代码帮助”与“AI 代码诊断”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3.4　数据集说明（学生版口径）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文件</w:t>
            </w:r>
          </w:p>
        </w:tc>
        <w:tc>
          <w:tcPr>
            <w:tcW w:type="dxa" w:w="4876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关键字段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规模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prices.csv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28 只沪深大盘蓝筹前复权日线收盘价（2024-01-02 至 2025-10-28，共 410 个交易日，腾讯财经公开行情接口）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date, ticker, close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11480 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signals.csv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透明蒙特卡洛注入的买/卖信号（种子 20261029，方向以 55% 概率取对，实测命中率 53.95%）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date, ticker, direction, confidence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6910 条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color w:val="595959"/>
          <w:sz w:val="23"/>
        </w:rPr>
        <w:t>口径提醒（教师必讲）：行情是</w:t>
      </w:r>
      <w:r>
        <w:rPr>
          <w:rFonts w:ascii="Times New Roman" w:hAnsi="Times New Roman" w:eastAsia="宋体"/>
          <w:b/>
          <w:color w:val="595959"/>
          <w:sz w:val="23"/>
        </w:rPr>
        <w:t>真实公开数据</w:t>
      </w:r>
      <w:r>
        <w:rPr>
          <w:rFonts w:ascii="Times New Roman" w:hAnsi="Times New Roman" w:eastAsia="宋体"/>
          <w:b w:val="0"/>
          <w:color w:val="595959"/>
          <w:sz w:val="23"/>
        </w:rPr>
        <w:t>，信号是</w:t>
      </w:r>
      <w:r>
        <w:rPr>
          <w:rFonts w:ascii="Times New Roman" w:hAnsi="Times New Roman" w:eastAsia="宋体"/>
          <w:b/>
          <w:color w:val="595959"/>
          <w:sz w:val="23"/>
        </w:rPr>
        <w:t>透明模拟的实验条件</w:t>
      </w:r>
      <w:r>
        <w:rPr>
          <w:rFonts w:ascii="Times New Roman" w:hAnsi="Times New Roman" w:eastAsia="宋体"/>
          <w:b w:val="0"/>
          <w:color w:val="595959"/>
          <w:sz w:val="23"/>
        </w:rPr>
        <w:t>——二者共同构成“真实行情沙盘 × 透明信号注入”的受控环境。这一二元结构是本案例数据真实性与可复现性的根基，学生报告必须原样转述，不得写成“真实 AI 信号”。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3.5　课前检查清单（开课前逐项打勾）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□ 案例正文在线可打开，内核就绪　□ 数据集两个 CSV 挂载正常　□ 任务书与量规已下发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□ 分组名单与组长确认　□ 前测题已回收　□ 答辩评分表打印就绪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四、　实验组织流程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4.1　标准版：2 课时（90 分钟）课堂时间表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时段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教师动作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学生动作</w:t>
            </w:r>
          </w:p>
        </w:tc>
        <w:tc>
          <w:tcPr>
            <w:tcW w:type="dxa" w:w="192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产出物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0–10'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任务书发布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发布任务书（正文 1.3）；强调“信号已冻结，规则你来设计”；黑板写硬约束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精读任务书，圈出硬约束与交付物清单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任务确认单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10–25'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数据诊断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演示运行第 2–3 节；示范如何读校准分桶表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运行诊断单元，填写信号诊断表（命中率 / 置信度分布 / 校准桶）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信号诊断记录（A1）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25–60'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规则设计与全样本回测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巡回答疑；只追问“你的对照组是什么”“控制了什么变量”，不代选参数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组内设计仓位规则（至少一种 + 对照组 A），运行 4.3 节回测，完成三组对比表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规则设计说明 + 全样本绩效对比表（A2）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60–80'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样本外与敏感性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抛出追问：“参数不动、起点后移，结论还在吗？干预线挪一挪呢？”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 4.4–4.6 节，记录样本外对比与干预线敏感性结果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样本外对比表 + 敏感性表（A3）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80–90'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组间快答与总结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抽 2–3 组做一页纸陈述；从“成本—回撤”双视角点评；收后测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一页纸仓位建议陈述；组间互评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一页纸建议 + 快答记录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4.2　扩展版：4 课时（180 分钟）组织方案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在标准版基础上增加四个环节，形成完整闭环：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反事实设计工作坊（45'）</w:t>
      </w:r>
      <w:r>
        <w:rPr>
          <w:rFonts w:ascii="Times New Roman" w:hAnsi="Times New Roman" w:eastAsia="宋体"/>
          <w:b w:val="0"/>
          <w:sz w:val="24"/>
        </w:rPr>
        <w:t>：学生自选凯利缩放（1/8、1/4、1/2、1 倍）× 干预有无的网格组合重跑实验，亲自产出“移除干预”的反事实表，体会“干预价值随仓位规模显现”（1/2 档回撤 -15.9% → -12.3%，1 倍档累计 41.6% → 20.6%）。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干预线联合搜索（题 4，40'）</w:t>
      </w:r>
      <w:r>
        <w:rPr>
          <w:rFonts w:ascii="Times New Roman" w:hAnsi="Times New Roman" w:eastAsia="宋体"/>
          <w:b w:val="0"/>
          <w:sz w:val="24"/>
        </w:rPr>
        <w:t>：以卡玛比率最大为目标在（凯利缩放 × 预算线）网格上搜索，并要求学生自己论证该最优值是否构成对样本的过拟合。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正式分组答辩（每组 8'+3' 问答）</w:t>
      </w:r>
      <w:r>
        <w:rPr>
          <w:rFonts w:ascii="Times New Roman" w:hAnsi="Times New Roman" w:eastAsia="宋体"/>
          <w:b w:val="0"/>
          <w:sz w:val="24"/>
        </w:rPr>
        <w:t>：按量规评分，重点质询“反事实表在哪”“最优参数是不是挑出来的”。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后测与反思（30'）</w:t>
      </w:r>
      <w:r>
        <w:rPr>
          <w:rFonts w:ascii="Times New Roman" w:hAnsi="Times New Roman" w:eastAsia="宋体"/>
          <w:b w:val="0"/>
          <w:sz w:val="24"/>
        </w:rPr>
        <w:t>：完成后测题（9.3）与反思报告（9.4），与前测对照形成学习证据。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4.3　教师角色转换：三个“不替代”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不替学生选参数</w:t>
      </w:r>
      <w:r>
        <w:rPr>
          <w:rFonts w:ascii="Times New Roman" w:hAnsi="Times New Roman" w:eastAsia="宋体"/>
          <w:b w:val="0"/>
          <w:sz w:val="24"/>
        </w:rPr>
        <w:t>：参数必须由组内讨论决定并预登记，教师不给出“推荐值”。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不提前给结论</w:t>
      </w:r>
      <w:r>
        <w:rPr>
          <w:rFonts w:ascii="Times New Roman" w:hAnsi="Times New Roman" w:eastAsia="宋体"/>
          <w:b w:val="0"/>
          <w:sz w:val="24"/>
        </w:rPr>
        <w:t>：对“哪组最好”一律以“你的证据是什么”回应，把结论权交给数据。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不修学生代码</w:t>
      </w:r>
      <w:r>
        <w:rPr>
          <w:rFonts w:ascii="Times New Roman" w:hAnsi="Times New Roman" w:eastAsia="宋体"/>
          <w:b w:val="0"/>
          <w:sz w:val="24"/>
        </w:rPr>
        <w:t>：只指出诊断路径（先看报错行，再查数据对齐方向），动手权留给学生。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4.4　节奏控制与取舍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若课堂超时，</w:t>
      </w:r>
      <w:r>
        <w:rPr>
          <w:rFonts w:ascii="Times New Roman" w:hAnsi="Times New Roman" w:eastAsia="宋体"/>
          <w:b/>
          <w:sz w:val="24"/>
        </w:rPr>
        <w:t>优先保“对照回测”与“样本外检验”两个环节</w:t>
      </w:r>
      <w:r>
        <w:rPr>
          <w:rFonts w:ascii="Times New Roman" w:hAnsi="Times New Roman" w:eastAsia="宋体"/>
          <w:b w:val="0"/>
          <w:sz w:val="24"/>
        </w:rPr>
        <w:t>（这是实验性的主战场），敏感性分析与反事实可整体移入课后作业；快答压缩为每组 1 分钟。反之若提前完成，加问“如果总仓位上限降到 60%，三组排序会变吗”，作为口头敏感性练习。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五、　分层任务设计（对应正文“实验作业与思考题”8 题）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5.1　分层逻辑与评分权重落位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总评 100 分由第七节四维量规构成。8 道题的得分</w:t>
      </w:r>
      <w:r>
        <w:rPr>
          <w:rFonts w:ascii="Times New Roman" w:hAnsi="Times New Roman" w:eastAsia="宋体"/>
          <w:b/>
          <w:sz w:val="24"/>
        </w:rPr>
        <w:t>嵌入量规对应维度</w:t>
      </w:r>
      <w:r>
        <w:rPr>
          <w:rFonts w:ascii="Times New Roman" w:hAnsi="Times New Roman" w:eastAsia="宋体"/>
          <w:b w:val="0"/>
          <w:sz w:val="24"/>
        </w:rPr>
        <w:t>，不另设总分：基础任务落在“实验完整性”（20 分）内；进阶任务在该维度内二选一必做其一；挑战任务为选做，完成且质量突出者可总分外加不超过 5 分的加分（加分不改变四维结构，须在评语中注明）；思考题落在“解释合理性”（30 分）内。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题号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层级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任务</w:t>
            </w:r>
          </w:p>
        </w:tc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预计用时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评分落位</w:t>
            </w:r>
          </w:p>
        </w:tc>
        <w:tc>
          <w:tcPr>
            <w:tcW w:type="dxa" w:w="107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对应能力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基础必做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把“触线减半”替换为自设计的干预规则（触线清仓、波动率目标制等），重跑 4.3–4.6 全部实验论证改进是否有效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40'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实验完整性 6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A2 / A3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基础必做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 fetch_prices.py、gen_signals.py 重新生成数据集，复现完整链条并核对数字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30'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实验完整性 6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Q1 / A1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进阶选做（3、4 二选一必做）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把命中率降至 50%（无预测力）重新生成信号并重跑，解释为何风险预算组相对抗跌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40'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实验完整性 5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A2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进阶选做（同上）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以卡玛比率最大为目标，在（凯利缩放 × 预算线）网格上搜索并讨论是否过拟合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40'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实验完整性 5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A3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挑战选做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接入公开量化信号源或自行生成信号，分解“信号质量差异”与“仓位规则差异”各自贡献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60'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实验完整性 3 分 + 总分外加分（≤5）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思考题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命中率只有 54% 时，还愿意为置信度最高一档配重仓吗？用校准表与成本数据回答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解释合理性 4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K3 / A4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思考题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样本外 C 组绝对收益落后，是否说明风险预算失败？从“保险定价”角度辩护或批评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解释合理性 4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A3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思考题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如果你是大模型供应商，会如何改造置信度的输出与校准流程？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解释合理性 4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A4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5.2　各题指导要点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题 1（改进干预机制）——预期产出与评分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接受触线清仓、梯度减仓、动态波动率目标、时间止损等任何规则；</w:t>
      </w:r>
      <w:r>
        <w:rPr>
          <w:rFonts w:ascii="Times New Roman" w:hAnsi="Times New Roman" w:eastAsia="宋体"/>
          <w:b/>
          <w:sz w:val="24"/>
        </w:rPr>
        <w:t>评分看两点</w:t>
      </w:r>
      <w:r>
        <w:rPr>
          <w:rFonts w:ascii="Times New Roman" w:hAnsi="Times New Roman" w:eastAsia="宋体"/>
          <w:b w:val="0"/>
          <w:sz w:val="24"/>
        </w:rPr>
        <w:t>：是否完整重跑 4.3–4.6 并给出反事实对照；是否诚实报告新规则的不利结果（如上行段的机会成本）。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常见卡点：新规则引入了额外参数却未做敏感性检查。处理：追问“你的止损阈值挪 2 个百分点，结论还稳吗”。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题 2（复现完整链条）——数据诚实的落点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允许的误差仅限浮点精度量级；出现大偏差时按“种子 → 日期区间 → 成本参数”顺序排查。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本题为 Q1（数据诚实）的核心证据：要求学生粘贴复现命令与核对的锚点数字（如 A 组累计 23.2%）。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题 3（命中率降至 50%）——预期结论方向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无预测力时三组都难以盈利，但 C 组相对抗跌：低换手 + 低仓位使成本拖累更小、回撤更浅。引导讨论“风险预算的价值在坏行情中显现”，与正文样本外结论互为镜像。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题 4（干预线联合搜索）——过拟合的自我审查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网格最优的卡玛组合几乎必然是“对这段历史的过拟合”；评分要求学生</w:t>
      </w:r>
      <w:r>
        <w:rPr>
          <w:rFonts w:ascii="Times New Roman" w:hAnsi="Times New Roman" w:eastAsia="宋体"/>
          <w:b/>
          <w:sz w:val="24"/>
        </w:rPr>
        <w:t>自己说出这一点</w:t>
      </w:r>
      <w:r>
        <w:rPr>
          <w:rFonts w:ascii="Times New Roman" w:hAnsi="Times New Roman" w:eastAsia="宋体"/>
          <w:b w:val="0"/>
          <w:sz w:val="24"/>
        </w:rPr>
        <w:t>并给出样本外复验结果。能主动讨论过拟合的报告，A3 维度从优档计。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题 5（真实信号接入）——开放挑战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接受任何公开信号源或学生自产信号，但</w:t>
      </w:r>
      <w:r>
        <w:rPr>
          <w:rFonts w:ascii="Times New Roman" w:hAnsi="Times New Roman" w:eastAsia="宋体"/>
          <w:b/>
          <w:sz w:val="24"/>
        </w:rPr>
        <w:t>必须注明出处与生成方式</w:t>
      </w:r>
      <w:r>
        <w:rPr>
          <w:rFonts w:ascii="Times New Roman" w:hAnsi="Times New Roman" w:eastAsia="宋体"/>
          <w:b w:val="0"/>
          <w:sz w:val="24"/>
        </w:rPr>
        <w:t>；目标是把“信号质量”与“仓位规则”两个因素的贡献分开（固定规则换信号、固定信号换规则的两次对比）。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思考题 6–8——参考答题方向（不唯一）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题 6：参考方向为“不敢”——校准表显示高置信桶真实命中率仅约 54%（[0.9,1.0) 桶 54.0%、占 61%），叠加成本后重仓的期望并不占优。能引用分桶数字即可给优。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题 7：参考方向为“不是失败”——上行段保险的机会成本即保费；同时接受“单边牛市中该保险确实昂贵”的批评，关键看是否同时使用样本外数字（C 组 13.5% vs A 组 41.3%，回撤 -2.5% vs -4.1%）双向陈述。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题 8：参考方向——输出校准曲线与历史命中率分桶报告、采用概率化输出并做温度缩放等后校准、对未验证置信度禁止直接驱动资金分配。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5.3　“结果不唯一”的教学处理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课堂话术固定为一句：</w:t>
      </w:r>
      <w:r>
        <w:rPr>
          <w:rFonts w:ascii="Times New Roman" w:hAnsi="Times New Roman" w:eastAsia="宋体"/>
          <w:b/>
          <w:sz w:val="24"/>
        </w:rPr>
        <w:t>“好的实验不怕你们得出不同答案，怕的是全班只能得出同一个答案。”</w:t>
      </w:r>
      <w:r>
        <w:rPr>
          <w:rFonts w:ascii="Times New Roman" w:hAnsi="Times New Roman" w:eastAsia="宋体"/>
          <w:b w:val="0"/>
          <w:sz w:val="24"/>
        </w:rPr>
        <w:t xml:space="preserve"> 教师评价对象是“证据链质量”而非“结论是否与案例一致”；学生自设计的干预规则得出更差结果但分析到位，得分可以高于照抄案例规则而分析平庸的报告。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六、　典型错误引导（实验前必读 · 五坑三段式）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每个坑按“错误现象 → 为什么错 → 如何自查”三段展开。建议投屏讲 5 分钟，并要求学生在报告附录勾选“五坑自查表”。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6.1　坑 1：前视偏差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86"/>
        <w:gridCol w:w="4986"/>
      </w:tblGrid>
      <w:tr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三段式</w:t>
            </w:r>
          </w:p>
        </w:tc>
        <w:tc>
          <w:tcPr>
            <w:tcW w:type="dxa" w:w="80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错误现象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所有策略收益同步“虚高”，夏普比率高达 3 以上，样本内几乎不亏损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为什么错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信号在 t 日收盘后生成，只能作用于 t+1 及以后的收益；把信号对齐到 t 日收益，等于用明天的信号交易今天的价格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如何自查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检查数据合并与 shift 方向：t 日信号必须配 t+1 收益（正文代码单元已示范 shift(1) 对齐）；把对齐方向故意改错重跑一次，观察收益虚高多少，建立体感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6.2　坑 2：忽略交易成本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86"/>
        <w:gridCol w:w="4986"/>
      </w:tblGrid>
      <w:tr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三段式</w:t>
            </w:r>
          </w:p>
        </w:tc>
        <w:tc>
          <w:tcPr>
            <w:tcW w:type="dxa" w:w="80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错误现象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满仓组夏普异常漂亮；“改进”后收益提升全部来自多交易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为什么错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满仓组日均换手约 0.70，乘以单边 5bp，年化拖累约 8.8 个百分点——足以吞掉微弱的预测力；样本外上行段换手升至 0.91，拖累约 11.4%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如何自查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报告必须包含“成本拖累”一行；把成本参数设为 0 重跑一次，对比“无成本幻象”与真实结果的差距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6.3　坑 3：样本外信息泄漏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86"/>
        <w:gridCol w:w="4986"/>
      </w:tblGrid>
      <w:tr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三段式</w:t>
            </w:r>
          </w:p>
        </w:tc>
        <w:tc>
          <w:tcPr>
            <w:tcW w:type="dxa" w:w="80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错误现象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样本外结果与全样本几乎相同，或“恰好”全面更优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为什么错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参数（凯利分数、干预线）若用全样本估计，等于偷看了后 30% 的答案；样本外检验随即失效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如何自查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打印参数估计所用区间，确认只用了前 70%；任何在样本外子区间上调过的参数，必须声明并降级为“探索性结果”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6.4　坑 4：过拟合凯利分数与参数网格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86"/>
        <w:gridCol w:w="4986"/>
      </w:tblGrid>
      <w:tr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三段式</w:t>
            </w:r>
          </w:p>
        </w:tc>
        <w:tc>
          <w:tcPr>
            <w:tcW w:type="dxa" w:w="80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错误现象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网格搜索出的“最优（缩放 × 预算线）组合”在样本外明显失效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为什么错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以全样本最优为目标反选参数，本质是把这一段历史的噪声当成了规律；凯利估计本身对收益率均值极度敏感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如何自查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最优参数必须在样本外子区间复验；报告须有一段“过拟合风险”讨论；1/4 缩放这类保守取值的理由要能自圆其说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6.5　坑 5：只报有利结果（选择性报告）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86"/>
        <w:gridCol w:w="4986"/>
      </w:tblGrid>
      <w:tr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三段式</w:t>
            </w:r>
          </w:p>
        </w:tc>
        <w:tc>
          <w:tcPr>
            <w:tcW w:type="dxa" w:w="80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错误现象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报告里只出现“干预有效”的表格，找不到移除干预的反事实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为什么错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反事实（无干预：1/4 档累计 22.7%、1 倍档累计 41.6%）是评估干预代价的基准；只报有利结果违背实验伦理，也是评审现场一票否决的高频点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如何自查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反事实表必须与主表并列出现；结论段必须同时陈述“得到了什么”与“付出了什么”（如 C 组以 4.6 个百分点收益代价换取回撤压缩 3.1 个百分点）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6.6　五坑速查表（学生报告附录用）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92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坑</w:t>
            </w:r>
          </w:p>
        </w:tc>
        <w:tc>
          <w:tcPr>
            <w:tcW w:type="dxa" w:w="374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一票否决点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自查关键词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前视偏差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信号对齐方向错误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shift / t+1 / 对齐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忽略成本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无成本拖累行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换手 × 5bp / 年化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样本外泄漏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参数用了全样本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 70% / 估计区间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过拟合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最优参数未复验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网格 / 样本外复验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选择性报告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缺反事实表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移除干预 / 有利+不利</w:t>
            </w:r>
          </w:p>
        </w:tc>
      </w:tr>
    </w:tbl>
    <w:p>
      <w:pPr>
        <w:spacing w:after="40"/>
      </w:pP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七、　评分量规（四维 100 分制）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/>
          <w:sz w:val="24"/>
        </w:rPr>
        <w:t>过程可追溯 30 + 解释合理性 30 + 实验完整性 20 + 报告规范 20</w:t>
      </w:r>
      <w:r>
        <w:rPr>
          <w:rFonts w:ascii="Times New Roman" w:hAnsi="Times New Roman" w:eastAsia="宋体"/>
          <w:b w:val="0"/>
          <w:sz w:val="24"/>
        </w:rPr>
        <w:t>。量规随任务书一同发布；高收益不加分，不可复现扣“过程可追溯”分。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7.1　四维量规总表（每维四档可观察描述）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维度</w:t>
            </w:r>
          </w:p>
        </w:tc>
        <w:tc>
          <w:tcPr>
            <w:tcW w:type="dxa" w:w="56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权重</w:t>
            </w:r>
          </w:p>
        </w:tc>
        <w:tc>
          <w:tcPr>
            <w:tcW w:type="dxa" w:w="24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优</w:t>
            </w:r>
          </w:p>
        </w:tc>
        <w:tc>
          <w:tcPr>
            <w:tcW w:type="dxa" w:w="192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良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合格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待改进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过程可追溯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任取数字均可由代码复现；参数全部预登记且估计区间明示；种子与版本记录完整（25–30）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主要结果可复现，个别步骤记录不全（21–24）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能给出关键代码，但参数登记不完整（15–20）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数字无法复现或来源不明（&lt;15）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解释合理性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结论与证据严格对应；双向陈述代价与收益；含反事实与过拟合讨论（25–30）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解释基本成立，个别结论超出证据（21–24）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有解释但以描述为主，因果语言粗糙（15–20）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只报数字或与证据脱节（&lt;15）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实验完整性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基础 2 题 + 进阶 1 题完整且含敏感性（17–20）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基础 2 题完整，进阶深度不足（13–16）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仅完成基础任务的一部分（9–12）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关键实验缺失（&lt;9）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报告规范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结构对应六环节；图表编号规范；数据来源与口径逐项标注（17–20）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结构完整，标注偶有缺漏（13–16）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结构松散但要素齐备（9–12）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要素缺失或口径混乱（&lt;9）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7.2　维度 × 证据来源对照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86"/>
        <w:gridCol w:w="4986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维度</w:t>
            </w:r>
          </w:p>
        </w:tc>
        <w:tc>
          <w:tcPr>
            <w:tcW w:type="dxa" w:w="782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主要证据来源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过程可追溯</w:t>
            </w:r>
          </w:p>
        </w:tc>
        <w:tc>
          <w:tcPr>
            <w:tcW w:type="dxa" w:w="7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在线 Notebook 运行记录、参数预登记表、可复现性声明（正文附录）、复现命令（题 2）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解释合理性</w:t>
            </w:r>
          </w:p>
        </w:tc>
        <w:tc>
          <w:tcPr>
            <w:tcW w:type="dxa" w:w="7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报告结论段、思考题 6–8、答辩问答记录、反事实与敏感性表的解读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实验完整性</w:t>
            </w:r>
          </w:p>
        </w:tc>
        <w:tc>
          <w:tcPr>
            <w:tcW w:type="dxa" w:w="7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题 1–5 提交物（落位见 5.1 权重表）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报告规范</w:t>
            </w:r>
          </w:p>
        </w:tc>
        <w:tc>
          <w:tcPr>
            <w:tcW w:type="dxa" w:w="7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报告正文结构、图表与出处标注、口径一致性（与案例数字可对上）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7.3　评分流程建议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双评 + 仲裁</w:t>
      </w:r>
      <w:r>
        <w:rPr>
          <w:rFonts w:ascii="Times New Roman" w:hAnsi="Times New Roman" w:eastAsia="宋体"/>
          <w:b w:val="0"/>
          <w:sz w:val="24"/>
        </w:rPr>
        <w:t>：任课教师与助教（或组间互评）独立打分，差值超过 10 分提交教师仲裁。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匿名编号</w:t>
      </w:r>
      <w:r>
        <w:rPr>
          <w:rFonts w:ascii="Times New Roman" w:hAnsi="Times New Roman" w:eastAsia="宋体"/>
          <w:b w:val="0"/>
          <w:sz w:val="24"/>
        </w:rPr>
        <w:t>：报告以组号标识，评分表不出现姓名。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两个硬性动作</w:t>
      </w:r>
      <w:r>
        <w:rPr>
          <w:rFonts w:ascii="Times New Roman" w:hAnsi="Times New Roman" w:eastAsia="宋体"/>
          <w:b w:val="0"/>
          <w:sz w:val="24"/>
        </w:rPr>
        <w:t>：随机抽取每组一个数字现场复现（对应“过程可追溯”）；每份报告必查反事实表是否在场（对应坑 5）。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八、　教师 FAQ（10 问）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Q1　学生运行单元报错、跑不出结果，怎么办？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按“环境 → 代码 → 数据 → 方法”四步排查：先确认内核就绪与数据集挂载正常；再读报错行定位代码；然后核对 CSV 字段名与对齐方向；最后才讨论方法本身。平台“AI 代码诊断”可作第一响应，但要求学生把 AI 建议自己跑一遍验证并在报告注明改了什么——这本身就是 A4 能力的训练点。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Q2　学生算出来的数字与案例不一致，正常吗？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浮点精度量级的差异正常；明显差异按“种子 20261029 → 日期区间 → 成本参数 → 对齐方向”顺序排查。凡属学生有意修改的参数导致的不同，不仅正常，而且正是开放设计的价值——要求学生在报告中声明改动即可。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Q3　学生自设计的干预线比案例“更优”，就给高分吗？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不。评分看证据链：最优参数是否只用样本内数据得到、是否在样本外复验、是否讨论了过拟合（坑 3、坑 4）。没有复验的“最优”按待改进处理；有完整复验与代价讨论的，即使结论保守也给优。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Q4　2 课时做不完整个链条，可以砍哪里？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优先保“对照回测”与“样本外检验”；敏感性分析（4.5–4.6）移作课后作业，下次课前 10 分钟快答。反事实工作坊只在 4 课时版开展。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Q5　信号是模拟的，会不会影响教学价值？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这正是设计：信号是实验条件而非被评测对象。方向 55% 概率取对、种子公开、置信度故意保留校准误差，才能把“同样信号、不同规则”的差异干净地归因于仓位规则；真实 AI 信号的噪声会污染归因（题 5 为有意接入真实信号的挑战出口）。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Q6　学生问“能不能直接拿去实盘”，怎么回答？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不能，且差距明确写在本案例的边界里：仿真未含滑点、流动性冲击与涨跌停摩擦，信号亦非真实产品输出。引导口径：仿真回答“规则在给定条件下是否稳健”，实盘前还须完成全链条压力测试——这本身是 5.2 政策建议的一部分。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Q7　凯利公式要讲到什么深度？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概念层即可：知道凯利分数把“优势与赔率”折算成“建议仓位”、全凯利波动过大、1/4 缩放是常见保守化处理。数学推导不作要求，有兴趣的学生可挑战题 4 的网格搜索并观察其对估计误差的敏感。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Q8　如何防止组间抄袭？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三道锁：过程可追溯（现场抽数字复现）、参数预登记（各组参数组合天然不同）、答辩问答（规则设计的理由只有做的人答得出）。抄袭组通常卡在第一道锁。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Q9　置信度校准要不要展开讲？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本案例只需可靠度曲线（分桶命中率）概念：把“模型说 0.9”与“真实十次对几次”分开。这是 K3/A4 的落点，也是 AI 主题下最容易迁移到其他课程的素养点；不要求概率校准的数学细节。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Q10　本实验如何与课程期末考核衔接？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两种接法：作为平时实验成绩（量规四维直接折算）；或作为课程期末报告的素材之一（本报告占 40–50%，叠加一题开放设计）。建议前者，因为过程证据在课堂现场最完整。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九、　学习证据与改进证据（第二、三层证据）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9.1　三层证据框架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层级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证据类型</w:t>
            </w:r>
          </w:p>
        </w:tc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形式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第一层：实验产出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实验本身的成绩与作品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报告、图表、代码、答辩记录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评学习结果（量规四维）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第二层：学习证据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能力增益的独立观测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前测/后测对照、反思报告、能力自评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证明“学生确实学到了”，而非只产出作品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第三层：改进证据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教学本身的迭代记录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卡点统计、量规修订日志、学生建议回流表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证明案例在真实课堂中被持续改进、可推广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9.2　前测题（课前 15 分钟，摸底不计分）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题号</w:t>
            </w:r>
          </w:p>
        </w:tc>
        <w:tc>
          <w:tcPr>
            <w:tcW w:type="dxa" w:w="476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题目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要点（教师版）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判断并说理：AI 信号方向命中率 55%，意味着策略年化收益也会明显为正。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错。预测力≠盈利能力：成本、仓位规则与回撤约束都在信号之后（K1）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估算：某策略日均换手 0.70、单边成本 5bp，年化成本拖累大约多少？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量级估算：0.70 × 5bp × 约 250 交易日 ≈ 8–9 个百分点/年（K2）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模型给出的置信度 0.9 的信号，是否一定应配比置信度 0.6 更大的仓位？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不一定，取决于置信度是否校准：过度自信的 0.9 真实命中可能仅约 54%（K3）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“最大回撤预算 -6%”这条线，在你看来是“不许跌破的红线”还是“触发了要做什么的信号”？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开放；本案例把它用作干预触发器（红线+工具双重属性，K4）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从“AI 说买”到真实下单，中间还差哪几步？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仓位规则、成本与约束检查、风险预算校验、合规与执行（开放，K1）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9.3　后测题（结课时 20 分钟，与前测一一对应）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题号</w:t>
            </w:r>
          </w:p>
        </w:tc>
        <w:tc>
          <w:tcPr>
            <w:tcW w:type="dxa" w:w="476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题目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要点（教师版）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用本案例三组全样本数字，说明“预测力≠盈利能力”的分水岭在哪里。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同信号下 A 23.2% / B 22.8% / C 18.6%，差异全部来自仓位规则与成本；C 以 4.6 个百分点代价换回撤压缩 3.1 个百分点（K1）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计算：样本外满仓组日均换手 0.91，估算其年化成本拖累量级。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0.91 × 5bp × 250 ≈ 11 个百分点/年（与案例 11.4% 同量级）（K2）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依据校准分桶表解释：为什么置信度分档的 B 组与满仓 A 组绩效几乎重合。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各桶命中率 50.9%–58.3% 无单调性，高置信桶 54.0%；置信度不携带真实区分度，分档加权自然退化（K3）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用“凯利缩放 × 干预有无”的结果说明：为什么说风险预算干预是“有条件的保险”。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1/8 档有无干预相同、1/2 档回撤 -15.9%→-12.3%、1 倍档 41.6%→20.6%：价值随仓位规模显现（K4/A3）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若你是大模型供应商，列出对置信度输出的两条校准要求。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输出校准曲线/分桶命中率；概率化输出+后校准；未验证置信度禁止驱动资金（A4）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color w:val="595959"/>
          <w:sz w:val="23"/>
        </w:rPr>
        <w:t>增益解读：对每名学生计算 F→P 对应题的进步档位（0/1/2），班级层面的“平均增益 ≥ 1 档人数占比”即为第二层学习证据的核心指标；不追求满分率，追求</w:t>
      </w:r>
      <w:r>
        <w:rPr>
          <w:rFonts w:ascii="Times New Roman" w:hAnsi="Times New Roman" w:eastAsia="宋体"/>
          <w:b/>
          <w:color w:val="595959"/>
          <w:sz w:val="23"/>
        </w:rPr>
        <w:t>概念转变的可观测性</w:t>
      </w:r>
      <w:r>
        <w:rPr>
          <w:rFonts w:ascii="Times New Roman" w:hAnsi="Times New Roman" w:eastAsia="宋体"/>
          <w:b w:val="0"/>
          <w:color w:val="595959"/>
          <w:sz w:val="23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9.4　学生反思报告模板（结课后 24 小时内提交）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86"/>
        <w:gridCol w:w="4986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栏目</w:t>
            </w:r>
          </w:p>
        </w:tc>
        <w:tc>
          <w:tcPr>
            <w:tcW w:type="dxa" w:w="6803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填写要求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① 我进场前的假设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开课前我对“AI 信号怎么变成钱”的直觉是什么（2–3 句）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② 数据让我意外的两点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必须引用具体数字（如成本拖累、校准桶、反事实差异）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③ 若重做，我会改的一处规则及理由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写清改动、预期方向、验证方法（不要求真的重跑）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④ 证据强度自评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给自己的结论按“可复现/样本外/敏感性”三要素打强中弱并说明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9.5　教师改进记录表模板（每轮课后填写，归档为第三层证据）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86"/>
        <w:gridCol w:w="4986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栏目</w:t>
            </w:r>
          </w:p>
        </w:tc>
        <w:tc>
          <w:tcPr>
            <w:tcW w:type="dxa" w:w="6803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填写要求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环节卡点统计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哪个环节超时/报错最多，各多少组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典型错误频次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五坑各中招组数（对应第六节）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量规修订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哪些档位描述在评分时难以区分，如何改写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下轮动作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任务书/时序/分组的 1–3 条具体调整</w:t>
            </w:r>
          </w:p>
        </w:tc>
      </w:tr>
    </w:tbl>
    <w:p>
      <w:pPr>
        <w:spacing w:after="40"/>
      </w:pP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十、　三类材料包与配套 PPT 使用说明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10.1　材料包对照表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材料包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面向</w:t>
            </w:r>
          </w:p>
        </w:tc>
        <w:tc>
          <w:tcPr>
            <w:tcW w:type="dxa" w:w="6576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内容清单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学生包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上课学生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案例正文（在线 Notebook）· 数据集（prices.csv / signals.csv）· 实验任务书（正文 1.3）· 评分量规（本文件第七节）· 前测题（9.2）· 反思报告模板（9.4）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教师包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任课教师 / 助教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本教学指导文档 · 教学指导配套 PPT（20 页）· 后测题与要点（9.3）· 答辩评分表 · 教师 FAQ（第八节）· 教师改进记录表（9.5）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运行共享包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其他院校复用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fetch_prices.py · gen_signals.py · run_all.py · 种子与参数说明（正文附录可复现性声明）· 硬约束清单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10.2　配套 PPT 的四幕结构与课堂环节映射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PPT 幕</w:t>
            </w:r>
          </w:p>
        </w:tc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页码</w:t>
            </w:r>
          </w:p>
        </w:tc>
        <w:tc>
          <w:tcPr>
            <w:tcW w:type="dxa" w:w="5443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建议使用时机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第一幕 · 背景与意义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P3–P5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开课前 5 分钟：建立“最后一厘米”问题意识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第二幕 · 实验设计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P6–P9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任务书发布环节（0–10'）之后，讲清“信号冻结、只变规则”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第三幕 · 结果与发现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P10–P15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学生跑完 4.3–4.6 后对照讲解，或教师版先讲后跑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第四幕 · 教学组织与评价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P16–P19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布置分层任务与量规说明时使用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附　附录：大赛“案例建设自检清单”对照表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85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官方自检项</w:t>
            </w:r>
          </w:p>
        </w:tc>
        <w:tc>
          <w:tcPr>
            <w:tcW w:type="dxa" w:w="532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本案例落实位置</w:t>
            </w:r>
          </w:p>
        </w:tc>
        <w:tc>
          <w:tcPr>
            <w:tcW w:type="dxa" w:w="45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① 选题来自真实业务问题，背景事实可核查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1.1（大模型投研工作台进入真实业务）+ 数据规则说明表（1.4，行情可重新下载核验）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② 有明确、可观察的能力目标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本文件第二节：K/A/Q 三维，每条带可观察行为与证据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③ 数据来源可靠，脱敏与授权手续齐全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公开行情接口 + 透明模拟信号，不含任何个人信息；授权材料按大赛流程签署提交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④ 有方案比较、变量控制或稳健性检验设计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1.5 实验设计表；4.4 样本外、4.5 敏感性与反事实、4.6 干预线敏感性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⑤ 实验结果不唯一，留有探索空间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1.5“预期结果与评分提示”声明；分层任务题 1/3/4/5 均为开放设计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⑥ 六环节完整（任务—条件—方案—运行—分析—建议）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任务书 1.3 / 条件 1.4 / 方案 1.5 / 运行 Notebook 与 run_all.py / 分析 4.3–4.6 / 建议 5.2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⑦ 三类材料包齐备（学生 / 教师 / 运行共享）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本文件第十节对照表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⑧ 指导手册含典型错误引导与分层设计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本文件第五节（分层）、第六节（五坑三段式）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⑨ 有第二、三层证据（学习证据 / 改进证据）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本文件第九节（前后测、反思模板、改进记录）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⑩ 匿名评审版已去除姓名与学校信息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全部交付物提交前逐字扫描确认；本文件不含任何作者与单位信息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Times New Roman" w:hAnsi="Times New Roman" w:eastAsia="黑体"/>
          <w:b/>
          <w:sz w:val="26"/>
        </w:rPr>
        <w:t>我们不培养操作机械臂最熟练的人，我们培养握有否决权、也担得起否决后果的主公。</w:t>
      </w:r>
    </w:p>
    <w:p>
      <w:pPr>
        <w:spacing w:before="80"/>
      </w:pPr>
      <w:r>
        <w:rPr>
          <w:rFonts w:ascii="Times New Roman" w:hAnsi="Times New Roman" w:eastAsia="宋体"/>
          <w:b w:val="0"/>
          <w:color w:val="595959"/>
          <w:sz w:val="20"/>
        </w:rPr>
        <w:t>免责声明：本文件为实验教学演示文档，全部阈值与仓位参数均为统一设定的实验条件，不构成任何证券的买卖建议。</w:t>
      </w:r>
    </w:p>
    <w:p>
      <w:pPr>
        <w:spacing w:before="200"/>
      </w:pPr>
      <w:r>
        <w:rPr>
          <w:rFonts w:ascii="Times New Roman" w:hAnsi="Times New Roman" w:eastAsia="宋体"/>
          <w:b w:val="0"/>
          <w:color w:val="595959"/>
          <w:sz w:val="20"/>
        </w:rPr>
        <w:t>版本说明：本教学指导文档与案例正文、数据集、配套 PPT、案例报告同版本发布；文中全部数字与案例正文一致（核心锚点：A 组累计 23.2%、B 组 22.8%、C 组 18.6%，样本外 A 组年化 41.3%、C 组 13.5%，成本拖累 8.8% vs 4.3%）。如实验数据更新，以正文可复现性声明所载种子与参数为准。</w:t>
      </w:r>
    </w:p>
    <w:sectPr w:rsidR="00FC693F" w:rsidRPr="0006063C" w:rsidSect="00034616">
      <w:footerReference w:type="default" r:id="rId9"/>
      <w:pgSz w:w="12240" w:h="15840"/>
      <w:pgMar w:top="1304" w:right="1134" w:bottom="130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