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Times New Roman" w:hAnsi="Times New Roman" w:eastAsia="黑体"/>
          <w:b/>
          <w:sz w:val="32"/>
        </w:rPr>
        <w:t>第九届“智享杯”全国大学生经济管理类实验案例分析大赛</w:t>
      </w:r>
    </w:p>
    <w:p>
      <w:pPr>
        <w:spacing w:before="0" w:after="1800"/>
        <w:jc w:val="center"/>
      </w:pPr>
      <w:r>
        <w:rPr>
          <w:rFonts w:ascii="Times New Roman" w:hAnsi="Times New Roman" w:eastAsia="黑体"/>
          <w:b w:val="0"/>
          <w:sz w:val="28"/>
        </w:rPr>
        <w:t>（学生赛区 · 数据分析案例）</w:t>
      </w:r>
    </w:p>
    <w:p>
      <w:pPr>
        <w:spacing w:before="800" w:after="320"/>
        <w:jc w:val="center"/>
      </w:pPr>
      <w:r>
        <w:rPr>
          <w:rFonts w:ascii="Times New Roman" w:hAnsi="Times New Roman" w:eastAsia="黑体"/>
          <w:b/>
          <w:sz w:val="48"/>
        </w:rPr>
        <w:t>智享杯 · 全国大学生经济管理类实验案例分析大赛（学生赛区）</w:t>
      </w:r>
    </w:p>
    <w:p>
      <w:pPr>
        <w:spacing w:before="0" w:after="1800"/>
        <w:jc w:val="center"/>
      </w:pPr>
      <w:r>
        <w:rPr>
          <w:rFonts w:ascii="Times New Roman" w:hAnsi="Times New Roman" w:eastAsia="仿宋"/>
          <w:b/>
          <w:sz w:val="36"/>
        </w:rPr>
        <w:t>案例设计说明</w:t>
      </w:r>
    </w:p>
    <w:p>
      <w:pPr>
        <w:spacing w:before="0" w:after="160"/>
        <w:jc w:val="center"/>
      </w:pPr>
      <w:r>
        <w:rPr>
          <w:rFonts w:ascii="Times New Roman" w:hAnsi="Times New Roman" w:eastAsia="仿宋"/>
          <w:b w:val="0"/>
          <w:sz w:val="28"/>
        </w:rPr>
        <w:t>参赛团队：大赛匿名评审版</w:t>
      </w:r>
    </w:p>
    <w:p>
      <w:pPr>
        <w:spacing w:before="0" w:after="0"/>
        <w:jc w:val="center"/>
      </w:pPr>
      <w:r>
        <w:rPr>
          <w:rFonts w:ascii="Times New Roman" w:hAnsi="Times New Roman" w:eastAsia="仿宋"/>
          <w:b w:val="0"/>
          <w:sz w:val="28"/>
        </w:rPr>
        <w:t>完成日期：2026 年 10 月 31 日</w:t>
      </w:r>
    </w:p>
    <w:p>
      <w:pPr>
        <w:pageBreakBefore/>
        <w:spacing w:after="360"/>
        <w:jc w:val="center"/>
      </w:pPr>
      <w:r>
        <w:rPr>
          <w:rFonts w:ascii="Times New Roman" w:hAnsi="Times New Roman" w:eastAsia="黑体"/>
          <w:b/>
          <w:sz w:val="44"/>
        </w:rPr>
        <w:t>目　　录</w:t>
      </w:r>
    </w:p>
    <w:p>
      <w:pPr>
        <w:pageBreakBefore w:val="0"/>
        <w:tabs>
          <w:tab w:pos="8731" w:val="right" w:leader="dot"/>
        </w:tabs>
        <w:spacing w:after="80"/>
        <w:ind w:left="0"/>
      </w:pPr>
      <w:r>
        <w:rPr>
          <w:rFonts w:ascii="Times New Roman" w:hAnsi="Times New Roman" w:eastAsia="宋体"/>
          <w:b/>
          <w:sz w:val="24"/>
        </w:rPr>
        <w:t>一、　选题依据</w:t>
      </w:r>
      <w:r>
        <w:rPr>
          <w:rFonts w:ascii="Times New Roman" w:hAnsi="Times New Roman" w:eastAsia="宋体"/>
          <w:sz w:val="24"/>
        </w:rPr>
        <w:tab/>
        <w:t>4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1.1　现实需求：AI 投研链条上的“最后一厘米”</w:t>
      </w:r>
      <w:r>
        <w:rPr>
          <w:rFonts w:ascii="Times New Roman" w:hAnsi="Times New Roman" w:eastAsia="宋体"/>
          <w:sz w:val="22"/>
        </w:rPr>
        <w:tab/>
        <w:t>4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1.2　教学空白：传统教学的三重断裂</w:t>
      </w:r>
      <w:r>
        <w:rPr>
          <w:rFonts w:ascii="Times New Roman" w:hAnsi="Times New Roman" w:eastAsia="宋体"/>
          <w:sz w:val="22"/>
        </w:rPr>
        <w:tab/>
        <w:t>4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1.3　与大赛主题的契合</w:t>
      </w:r>
      <w:r>
        <w:rPr>
          <w:rFonts w:ascii="Times New Roman" w:hAnsi="Times New Roman" w:eastAsia="宋体"/>
          <w:sz w:val="22"/>
        </w:rPr>
        <w:tab/>
        <w:t>4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1.4　与大赛评分判据的对齐</w:t>
      </w:r>
      <w:r>
        <w:rPr>
          <w:rFonts w:ascii="Times New Roman" w:hAnsi="Times New Roman" w:eastAsia="宋体"/>
          <w:sz w:val="22"/>
        </w:rPr>
        <w:tab/>
        <w:t>4</w:t>
      </w:r>
    </w:p>
    <w:p>
      <w:pPr>
        <w:pageBreakBefore w:val="0"/>
        <w:tabs>
          <w:tab w:pos="8731" w:val="right" w:leader="dot"/>
        </w:tabs>
        <w:spacing w:after="80"/>
        <w:ind w:left="0"/>
      </w:pPr>
      <w:r>
        <w:rPr>
          <w:rFonts w:ascii="Times New Roman" w:hAnsi="Times New Roman" w:eastAsia="宋体"/>
          <w:b/>
          <w:sz w:val="24"/>
        </w:rPr>
        <w:t>二、　设计思路</w:t>
      </w:r>
      <w:r>
        <w:rPr>
          <w:rFonts w:ascii="Times New Roman" w:hAnsi="Times New Roman" w:eastAsia="宋体"/>
          <w:sz w:val="24"/>
        </w:rPr>
        <w:tab/>
        <w:t>5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2.1　总体思路：受控对照的“信号 → 仓位 → 后果”沙盘</w:t>
      </w:r>
      <w:r>
        <w:rPr>
          <w:rFonts w:ascii="Times New Roman" w:hAnsi="Times New Roman" w:eastAsia="宋体"/>
          <w:sz w:val="22"/>
        </w:rPr>
        <w:tab/>
        <w:t>5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2.2　数据二元结构：真实行情 × 透明信号</w:t>
      </w:r>
      <w:r>
        <w:rPr>
          <w:rFonts w:ascii="Times New Roman" w:hAnsi="Times New Roman" w:eastAsia="宋体"/>
          <w:sz w:val="22"/>
        </w:rPr>
        <w:tab/>
        <w:t>5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2.3　虚拟仿真的定位</w:t>
      </w:r>
      <w:r>
        <w:rPr>
          <w:rFonts w:ascii="Times New Roman" w:hAnsi="Times New Roman" w:eastAsia="宋体"/>
          <w:sz w:val="22"/>
        </w:rPr>
        <w:tab/>
        <w:t>5</w:t>
      </w:r>
    </w:p>
    <w:p>
      <w:pPr>
        <w:pageBreakBefore w:val="0"/>
        <w:tabs>
          <w:tab w:pos="8731" w:val="right" w:leader="dot"/>
        </w:tabs>
        <w:spacing w:after="80"/>
        <w:ind w:left="0"/>
      </w:pPr>
      <w:r>
        <w:rPr>
          <w:rFonts w:ascii="Times New Roman" w:hAnsi="Times New Roman" w:eastAsia="宋体"/>
          <w:b/>
          <w:sz w:val="24"/>
        </w:rPr>
        <w:t>三、　实验设计</w:t>
      </w:r>
      <w:r>
        <w:rPr>
          <w:rFonts w:ascii="Times New Roman" w:hAnsi="Times New Roman" w:eastAsia="宋体"/>
          <w:sz w:val="24"/>
        </w:rPr>
        <w:tab/>
        <w:t>6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3.1　规则约束（教师统一设定）</w:t>
      </w:r>
      <w:r>
        <w:rPr>
          <w:rFonts w:ascii="Times New Roman" w:hAnsi="Times New Roman" w:eastAsia="宋体"/>
          <w:sz w:val="22"/>
        </w:rPr>
        <w:tab/>
        <w:t>6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3.2　实验设计表</w:t>
      </w:r>
      <w:r>
        <w:rPr>
          <w:rFonts w:ascii="Times New Roman" w:hAnsi="Times New Roman" w:eastAsia="宋体"/>
          <w:sz w:val="22"/>
        </w:rPr>
        <w:tab/>
        <w:t>6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3.3　与大赛“六个必要环节”的对应</w:t>
      </w:r>
      <w:r>
        <w:rPr>
          <w:rFonts w:ascii="Times New Roman" w:hAnsi="Times New Roman" w:eastAsia="宋体"/>
          <w:sz w:val="22"/>
        </w:rPr>
        <w:tab/>
        <w:t>6</w:t>
      </w:r>
    </w:p>
    <w:p>
      <w:pPr>
        <w:pageBreakBefore w:val="0"/>
        <w:tabs>
          <w:tab w:pos="8731" w:val="right" w:leader="dot"/>
        </w:tabs>
        <w:spacing w:after="80"/>
        <w:ind w:left="0"/>
      </w:pPr>
      <w:r>
        <w:rPr>
          <w:rFonts w:ascii="Times New Roman" w:hAnsi="Times New Roman" w:eastAsia="宋体"/>
          <w:b/>
          <w:sz w:val="24"/>
        </w:rPr>
        <w:t>四、　变量控制说明</w:t>
      </w:r>
      <w:r>
        <w:rPr>
          <w:rFonts w:ascii="Times New Roman" w:hAnsi="Times New Roman" w:eastAsia="宋体"/>
          <w:sz w:val="24"/>
        </w:rPr>
        <w:tab/>
        <w:t>7</w:t>
      </w:r>
    </w:p>
    <w:p>
      <w:pPr>
        <w:pageBreakBefore w:val="0"/>
        <w:tabs>
          <w:tab w:pos="8731" w:val="right" w:leader="dot"/>
        </w:tabs>
        <w:spacing w:after="80"/>
        <w:ind w:left="0"/>
      </w:pPr>
      <w:r>
        <w:rPr>
          <w:rFonts w:ascii="Times New Roman" w:hAnsi="Times New Roman" w:eastAsia="宋体"/>
          <w:b/>
          <w:sz w:val="24"/>
        </w:rPr>
        <w:t>五、　核心结果（设计有效性的证据）</w:t>
      </w:r>
      <w:r>
        <w:rPr>
          <w:rFonts w:ascii="Times New Roman" w:hAnsi="Times New Roman" w:eastAsia="宋体"/>
          <w:sz w:val="24"/>
        </w:rPr>
        <w:tab/>
        <w:t>8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5.1　全样本三组对照</w:t>
      </w:r>
      <w:r>
        <w:rPr>
          <w:rFonts w:ascii="Times New Roman" w:hAnsi="Times New Roman" w:eastAsia="宋体"/>
          <w:sz w:val="22"/>
        </w:rPr>
        <w:tab/>
        <w:t>8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5.2　样本外检验（后 30%，123 个交易日）</w:t>
      </w:r>
      <w:r>
        <w:rPr>
          <w:rFonts w:ascii="Times New Roman" w:hAnsi="Times New Roman" w:eastAsia="宋体"/>
          <w:sz w:val="22"/>
        </w:rPr>
        <w:tab/>
        <w:t>8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5.3　敏感性与反事实（全样本）</w:t>
      </w:r>
      <w:r>
        <w:rPr>
          <w:rFonts w:ascii="Times New Roman" w:hAnsi="Times New Roman" w:eastAsia="宋体"/>
          <w:sz w:val="22"/>
        </w:rPr>
        <w:tab/>
        <w:t>8</w:t>
      </w:r>
    </w:p>
    <w:p>
      <w:pPr>
        <w:pageBreakBefore w:val="0"/>
        <w:tabs>
          <w:tab w:pos="8731" w:val="right" w:leader="dot"/>
        </w:tabs>
        <w:spacing w:after="80"/>
        <w:ind w:left="0"/>
      </w:pPr>
      <w:r>
        <w:rPr>
          <w:rFonts w:ascii="Times New Roman" w:hAnsi="Times New Roman" w:eastAsia="宋体"/>
          <w:b/>
          <w:sz w:val="24"/>
        </w:rPr>
        <w:t>六、　评价设计</w:t>
      </w:r>
      <w:r>
        <w:rPr>
          <w:rFonts w:ascii="Times New Roman" w:hAnsi="Times New Roman" w:eastAsia="宋体"/>
          <w:sz w:val="24"/>
        </w:rPr>
        <w:tab/>
        <w:t>9</w:t>
      </w:r>
    </w:p>
    <w:p>
      <w:pPr>
        <w:pageBreakBefore w:val="0"/>
        <w:tabs>
          <w:tab w:pos="8731" w:val="right" w:leader="dot"/>
        </w:tabs>
        <w:spacing w:after="80"/>
        <w:ind w:left="0"/>
      </w:pPr>
      <w:r>
        <w:rPr>
          <w:rFonts w:ascii="Times New Roman" w:hAnsi="Times New Roman" w:eastAsia="宋体"/>
          <w:b/>
          <w:sz w:val="24"/>
        </w:rPr>
        <w:t>七、　创新点</w:t>
      </w:r>
      <w:r>
        <w:rPr>
          <w:rFonts w:ascii="Times New Roman" w:hAnsi="Times New Roman" w:eastAsia="宋体"/>
          <w:sz w:val="24"/>
        </w:rPr>
        <w:tab/>
        <w:t>10</w:t>
      </w:r>
    </w:p>
    <w:p>
      <w:pPr>
        <w:pageBreakBefore w:val="0"/>
        <w:tabs>
          <w:tab w:pos="8731" w:val="right" w:leader="dot"/>
        </w:tabs>
        <w:spacing w:after="80"/>
        <w:ind w:left="0"/>
      </w:pPr>
      <w:r>
        <w:rPr>
          <w:rFonts w:ascii="Times New Roman" w:hAnsi="Times New Roman" w:eastAsia="宋体"/>
          <w:b/>
          <w:sz w:val="24"/>
        </w:rPr>
        <w:t>八、　适用性与推广</w:t>
      </w:r>
      <w:r>
        <w:rPr>
          <w:rFonts w:ascii="Times New Roman" w:hAnsi="Times New Roman" w:eastAsia="宋体"/>
          <w:sz w:val="24"/>
        </w:rPr>
        <w:tab/>
        <w:t>11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8.1　适用范围</w:t>
      </w:r>
      <w:r>
        <w:rPr>
          <w:rFonts w:ascii="Times New Roman" w:hAnsi="Times New Roman" w:eastAsia="宋体"/>
          <w:sz w:val="22"/>
        </w:rPr>
        <w:tab/>
        <w:t>11</w:t>
      </w:r>
    </w:p>
    <w:p>
      <w:pPr>
        <w:tabs>
          <w:tab w:pos="8731" w:val="right" w:leader="dot"/>
        </w:tabs>
        <w:spacing w:after="80"/>
        <w:ind w:left="425"/>
      </w:pPr>
      <w:r>
        <w:rPr>
          <w:rFonts w:ascii="Times New Roman" w:hAnsi="Times New Roman" w:eastAsia="宋体"/>
          <w:b w:val="0"/>
          <w:sz w:val="22"/>
        </w:rPr>
        <w:t>8.2　复用路径</w:t>
      </w:r>
      <w:r>
        <w:rPr>
          <w:rFonts w:ascii="Times New Roman" w:hAnsi="Times New Roman" w:eastAsia="宋体"/>
          <w:sz w:val="22"/>
        </w:rPr>
        <w:tab/>
        <w:t>11</w:t>
      </w:r>
    </w:p>
    <w:p>
      <w:pPr>
        <w:pageBreakBefore w:val="0"/>
        <w:tabs>
          <w:tab w:pos="8731" w:val="right" w:leader="dot"/>
        </w:tabs>
        <w:spacing w:after="80"/>
        <w:ind w:left="0"/>
      </w:pPr>
      <w:r>
        <w:rPr>
          <w:rFonts w:ascii="Times New Roman" w:hAnsi="Times New Roman" w:eastAsia="宋体"/>
          <w:b/>
          <w:sz w:val="24"/>
        </w:rPr>
        <w:t>九、　局限与诚实边界</w:t>
      </w:r>
      <w:r>
        <w:rPr>
          <w:rFonts w:ascii="Times New Roman" w:hAnsi="Times New Roman" w:eastAsia="宋体"/>
          <w:sz w:val="24"/>
        </w:rPr>
        <w:tab/>
        <w:t>12</w:t>
      </w:r>
    </w:p>
    <w:p>
      <w:pPr>
        <w:spacing w:before="1800"/>
      </w:pPr>
    </w:p>
    <w:p>
      <w:pPr>
        <w:pageBreakBefore/>
        <w:jc w:val="center"/>
      </w:pPr>
      <w:r>
        <w:rPr>
          <w:rFonts w:ascii="Times New Roman" w:hAnsi="Times New Roman" w:eastAsia="黑体"/>
          <w:b w:val="0"/>
          <w:color w:val="595959"/>
          <w:sz w:val="26"/>
        </w:rPr>
        <w:t>智享杯 · 全国大学生经济管理类实验案例分析大赛（学生赛区）</w:t>
      </w:r>
    </w:p>
    <w:p>
      <w:pPr>
        <w:spacing w:before="480"/>
        <w:jc w:val="center"/>
      </w:pPr>
      <w:r>
        <w:rPr>
          <w:rFonts w:ascii="Times New Roman" w:hAnsi="Times New Roman" w:eastAsia="黑体"/>
          <w:b/>
          <w:color w:val="1F3B63"/>
          <w:sz w:val="60"/>
        </w:rPr>
        <w:t>案例设计说明</w:t>
      </w:r>
    </w:p>
    <w:p>
      <w:pPr>
        <w:spacing w:before="280"/>
        <w:jc w:val="center"/>
      </w:pPr>
      <w:r>
        <w:rPr>
          <w:rFonts w:ascii="Times New Roman" w:hAnsi="Times New Roman" w:eastAsia="黑体"/>
          <w:b/>
          <w:sz w:val="38"/>
        </w:rPr>
        <w:t>AI 选股信号该配多大仓位？</w:t>
      </w:r>
    </w:p>
    <w:p>
      <w:pPr>
        <w:jc w:val="center"/>
      </w:pPr>
      <w:r>
        <w:rPr>
          <w:rFonts w:ascii="Times New Roman" w:hAnsi="Times New Roman" w:eastAsia="黑体"/>
          <w:b/>
          <w:sz w:val="30"/>
        </w:rPr>
        <w:t>——虚拟仿真下的风险预算干预实验</w:t>
      </w:r>
    </w:p>
    <w:p>
      <w:pPr>
        <w:spacing w:before="400"/>
        <w:jc w:val="center"/>
      </w:pPr>
      <w:r>
        <w:rPr>
          <w:rFonts w:ascii="Times New Roman" w:hAnsi="Times New Roman" w:eastAsia="宋体"/>
          <w:b w:val="0"/>
          <w:color w:val="595959"/>
          <w:sz w:val="23"/>
        </w:rPr>
        <w:t>（选题依据 · 设计思路 · 实验设计与变量控制 · 评价设计 · 创新点）</w:t>
      </w:r>
    </w:p>
    <w:p>
      <w:r>
        <w:br w:type="page"/>
      </w:r>
    </w:p>
    <w:p>
      <w:pPr>
        <w:spacing w:before="360" w:after="160"/>
        <w:pageBreakBefore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一、　选题依据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1.1　现实需求：AI 投研链条上的“最后一厘米”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证券公司、基金公司正在批量引入大模型投研工作台：每日对数百只标的输出买/卖观点与置信度，AI 生成的“信号”已成投研流程的标准输入。然而信号“准不准”已被大量研究讨论，</w:t>
      </w:r>
      <w:r>
        <w:rPr>
          <w:rFonts w:ascii="Times New Roman" w:hAnsi="Times New Roman" w:eastAsia="宋体"/>
          <w:b/>
          <w:sz w:val="24"/>
        </w:rPr>
        <w:t>信号“配多大仓位”——从信号到资金的转化规则——才直接决定账户损益与回撤</w:t>
      </w:r>
      <w:r>
        <w:rPr>
          <w:rFonts w:ascii="Times New Roman" w:hAnsi="Times New Roman" w:eastAsia="宋体"/>
          <w:b w:val="0"/>
          <w:sz w:val="24"/>
        </w:rPr>
        <w:t>，而这一环节在现实中长期依赖交易员临场经验，缺乏可训练、可考核、可复现的环境。这是 AI 进入投资决策链条后真实存在、又很少被搬进课堂的“最后一厘米”。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1.2　教学空白：传统教学的三重断裂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传统教学形态</w:t>
            </w:r>
          </w:p>
        </w:tc>
        <w:tc>
          <w:tcPr>
            <w:tcW w:type="dxa" w:w="3402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断裂点</w:t>
            </w:r>
          </w:p>
        </w:tc>
        <w:tc>
          <w:tcPr>
            <w:tcW w:type="dxa" w:w="3402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本案例的补位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信号类课程只讲“预测准确率”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预测力 ≠ 盈利能力，中间隔着仓位规则与成本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把仓位规则作为唯一实验变量，让学生亲眼看到同信号不同结局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回测类作业忽略成本与约束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5bp 成本在满仓换手下年化拖累可达约 8.8 个百分点，被默认抹去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把成本、个股上限、总仓上限、回撤预算全部写为硬约束（违反即无效）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AI 素养教育只讲工具使用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不训练“识别 AI 输出是否可信”，过度自信直接变成过度敞口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把故意保留校准误差的置信度变成诊断素材，训练批判性使用 AI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1.3　与大赛主题的契合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第九届大赛主题为“推动 AI+经管实验教学案例研发”。本案例同时占据大赛倡导的两个 AI 切口：</w:t>
      </w:r>
      <w:r>
        <w:rPr>
          <w:rFonts w:ascii="Times New Roman" w:hAnsi="Times New Roman" w:eastAsia="宋体"/>
          <w:b/>
          <w:sz w:val="24"/>
        </w:rPr>
        <w:t>AI 作为实验对象</w:t>
      </w:r>
      <w:r>
        <w:rPr>
          <w:rFonts w:ascii="Times New Roman" w:hAnsi="Times New Roman" w:eastAsia="宋体"/>
          <w:b w:val="0"/>
          <w:sz w:val="24"/>
        </w:rPr>
        <w:t xml:space="preserve">（评测 AI 置信度的校准质量）与 </w:t>
      </w:r>
      <w:r>
        <w:rPr>
          <w:rFonts w:ascii="Times New Roman" w:hAnsi="Times New Roman" w:eastAsia="宋体"/>
          <w:b/>
          <w:sz w:val="24"/>
        </w:rPr>
        <w:t>AI 作为实验情境</w:t>
      </w:r>
      <w:r>
        <w:rPr>
          <w:rFonts w:ascii="Times New Roman" w:hAnsi="Times New Roman" w:eastAsia="宋体"/>
          <w:b w:val="0"/>
          <w:sz w:val="24"/>
        </w:rPr>
        <w:t>（学生作为“风险预算官”与 AI 信号协同完成决策）。案例全部取材于真实公开行情，信号生成规则完全公开，符合“实践原则（真实性）”与“实验原则（探究性）”的双重要求。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1.4　与大赛评分判据的对齐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评审以“AI 在投研决策链条中所处环节、及其与最终交易决策的拟合程度”为核心依据，以可验证证据为基础，并要求 AI 实质介入决策生成。本案例的三点对齐：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986"/>
        <w:gridCol w:w="4986"/>
      </w:tblGrid>
      <w:tr>
        <w:tc>
          <w:tcPr>
            <w:tcW w:type="dxa" w:w="260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判据</w:t>
            </w:r>
          </w:p>
        </w:tc>
        <w:tc>
          <w:tcPr>
            <w:tcW w:type="dxa" w:w="7030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本案例的对齐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 所处环节与决策拟合度为核心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 方向与置信度经仓位规则直接决定组合权重，移除信号则决策链失效；</w:t>
            </w:r>
            <w:r>
              <w:rPr>
                <w:rFonts w:ascii="Times New Roman" w:hAnsi="Times New Roman" w:eastAsia="宋体"/>
                <w:b/>
                <w:sz w:val="20"/>
              </w:rPr>
              <w:t>人工仅设硬约束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，不介入逐笔判断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五项可验证证据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多策略对照</w:t>
            </w:r>
            <w:r>
              <w:rPr>
                <w:rFonts w:ascii="Times New Roman" w:hAnsi="Times New Roman" w:eastAsia="宋体"/>
                <w:b w:val="0"/>
                <w:sz w:val="20"/>
              </w:rPr>
              <w:t>（A/B/C）、</w:t>
            </w:r>
            <w:r>
              <w:rPr>
                <w:rFonts w:ascii="Times New Roman" w:hAnsi="Times New Roman" w:eastAsia="宋体"/>
                <w:b/>
                <w:sz w:val="20"/>
              </w:rPr>
              <w:t>样本外检验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（前 70%/后 30% 预划分）、</w:t>
            </w:r>
            <w:r>
              <w:rPr>
                <w:rFonts w:ascii="Times New Roman" w:hAnsi="Times New Roman" w:eastAsia="宋体"/>
                <w:b/>
                <w:sz w:val="20"/>
              </w:rPr>
              <w:t>反事实分析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（干预有无）、</w:t>
            </w:r>
            <w:r>
              <w:rPr>
                <w:rFonts w:ascii="Times New Roman" w:hAnsi="Times New Roman" w:eastAsia="宋体"/>
                <w:b/>
                <w:sz w:val="20"/>
              </w:rPr>
              <w:t>可解释归因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（绩效差异分解至规则与成本拖累）、</w:t>
            </w:r>
            <w:r>
              <w:rPr>
                <w:rFonts w:ascii="Times New Roman" w:hAnsi="Times New Roman" w:eastAsia="宋体"/>
                <w:b/>
                <w:sz w:val="20"/>
              </w:rPr>
              <w:t>复现能力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（种子固定、一键重跑）——五项在设计阶段预先承诺，而非事后补齐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 介入决策生成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 信号是仓位决策的原始输入；决策可回溯至信号生成规则（种子 20261029）与模型原始输出（置信度），全程可复核</w:t>
            </w:r>
          </w:p>
        </w:tc>
      </w:tr>
    </w:tbl>
    <w:p>
      <w:pPr>
        <w:spacing w:after="40"/>
      </w:pPr>
    </w:p>
    <w:p>
      <w:pPr>
        <w:spacing w:before="360" w:after="160"/>
        <w:pageBreakBefore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二、　设计思路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2.1　总体思路：受控对照的“信号 → 仓位 → 后果”沙盘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设计的核心判断是：</w:t>
      </w:r>
      <w:r>
        <w:rPr>
          <w:rFonts w:ascii="Times New Roman" w:hAnsi="Times New Roman" w:eastAsia="宋体"/>
          <w:b/>
          <w:sz w:val="24"/>
        </w:rPr>
        <w:t>要让学生看清“仓位规则”这一个环节的作用，就必须把其他一切冻结</w:t>
      </w:r>
      <w:r>
        <w:rPr>
          <w:rFonts w:ascii="Times New Roman" w:hAnsi="Times New Roman" w:eastAsia="宋体"/>
          <w:b w:val="0"/>
          <w:sz w:val="24"/>
        </w:rPr>
        <w:t>。因此实验将同一组 AI 信号作用于完全相同的行情与约束，只变动“信号 → 仓位”的转化规则；任何绩效差异都只能归因于规则本身——这是受控对照思想在金融决策教学中的直接落地。学生以“风险预算官”身份完成任务链：诊断信号（描述）→ 设计规则并回测（实验）→ 样本外与敏感性检验（检验）→ 一页纸仓位建议（决策）。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2.2　数据二元结构：真实行情 × 透明信号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数据层</w:t>
            </w:r>
          </w:p>
        </w:tc>
        <w:tc>
          <w:tcPr>
            <w:tcW w:type="dxa" w:w="158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性质</w:t>
            </w:r>
          </w:p>
        </w:tc>
        <w:tc>
          <w:tcPr>
            <w:tcW w:type="dxa" w:w="419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来源与规则</w:t>
            </w:r>
          </w:p>
        </w:tc>
        <w:tc>
          <w:tcPr>
            <w:tcW w:type="dxa" w:w="260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教学功能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行情层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真实公开数据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腾讯财经公开行情接口：28 只沪深大盘蓝筹，2024-01-02 至 2025-10-28，410 个交易日前复权收盘价，任何人可重新下载核验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保证背景事实可核查，满足真实性要求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信号层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透明模拟实验条件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gen_signals.py 以固定种子 20261029 注入：方向 = 次日超额收益符号以 55% 概率取对（实测命中率 53.95%）；置信度 = 真实超额幅度线性映射 + 噪声（故意保留校准误差）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保证实验条件可复现、可归因；校准误差成为诊断素材</w:t>
            </w:r>
          </w:p>
        </w:tc>
      </w:tr>
    </w:tbl>
    <w:p>
      <w:pPr>
        <w:spacing w:after="40"/>
      </w:pP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为什么不用真实 AI 信号：真实信号的生成机制不透明、噪声与规则效应混杂，将无法把绩效差异干净地归因于仓位规则；透明信号使全班在同一条件下实验，差异即证据。为什么不用纯随机数据：真实行情的波动聚集、板块联动与成本约束是教学目标的一部分，纯随机数据会让实验失真。二元结构是二者权衡的最优解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2.3　虚拟仿真的定位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本案例是“虚拟仿真先行”的完整样本：在零真实资金风险的条件下让学生亲历“预测力 → 收益”转化中的全部摩擦（成本、约束、回撤、干预）。仿真未含滑点与流动性冲击，这一局限在案例中明示，并作为“实盘前必须完成全链条压力测试”职业规范的引子。</w:t>
      </w:r>
    </w:p>
    <w:p>
      <w:pPr>
        <w:spacing w:before="360" w:after="160"/>
        <w:pageBreakBefore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三、　实验设计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3.1　规则约束（教师统一设定）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单边交易成本 5bp、单一标的仓位上限 20%、组合总仓位上限 100% 为</w:t>
      </w:r>
      <w:r>
        <w:rPr>
          <w:rFonts w:ascii="Times New Roman" w:hAnsi="Times New Roman" w:eastAsia="宋体"/>
          <w:b/>
          <w:sz w:val="24"/>
        </w:rPr>
        <w:t>硬约束</w:t>
      </w:r>
      <w:r>
        <w:rPr>
          <w:rFonts w:ascii="Times New Roman" w:hAnsi="Times New Roman" w:eastAsia="宋体"/>
          <w:b w:val="0"/>
          <w:sz w:val="24"/>
        </w:rPr>
        <w:t>（违反即方案无效）；</w:t>
      </w:r>
      <w:r>
        <w:rPr>
          <w:rFonts w:ascii="Times New Roman" w:hAnsi="Times New Roman" w:eastAsia="宋体"/>
          <w:b/>
          <w:sz w:val="24"/>
        </w:rPr>
        <w:t>回撤触线 -6% 为软干预线</w:t>
      </w:r>
      <w:r>
        <w:rPr>
          <w:rFonts w:ascii="Times New Roman" w:hAnsi="Times New Roman" w:eastAsia="宋体"/>
          <w:b w:val="0"/>
          <w:sz w:val="24"/>
        </w:rPr>
        <w:t>（触及即仓位减半，降低但不消除突破概率——C 组实际最大回撤 -9.3% 即为明证，设计说明第七节将此项列入自我修正）。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信号在 t 日收盘后生成、作用于 t+1 收益；任何参数估计只允许使用样本内（前 70%）数据。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3.2　实验设计表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环节</w:t>
            </w:r>
          </w:p>
        </w:tc>
        <w:tc>
          <w:tcPr>
            <w:tcW w:type="dxa" w:w="419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设计</w:t>
            </w:r>
          </w:p>
        </w:tc>
        <w:tc>
          <w:tcPr>
            <w:tcW w:type="dxa" w:w="3742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目的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对照组 A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有信号即满仓等权，无风险预算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锚定“直觉做法”的基准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实验组 B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置信度分档固定分数（≥0.7 → 30%，0.55–0.7 → 20%）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检验“置信度直接映射仓位”是否可行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实验组 C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样本内估计凯利分数 × 1/4 + 回撤触线减半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定量风险预算 + 主动干预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样本外检验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参数不动，回测起点移至 70% 分位（后 123 个交易日）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检验结论稳健性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敏感性分析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凯利缩放 1/8、1/4、1/2、1 × 干预有无（全样本）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识别结论成立的参数范围（含反事实）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拓展与检验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交易成本扫描（0–10bp，含 7bp 滑点情景）；再校准闭环；信号衰减；敞口匹配基准；稳健性五项（自助法/子区间/凸性冲击/滚动重估/真实信号）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检验结论对成本、信号、参数与干预形态的稳健性；量化“校准能修复什么、不能修复什么”；真实信号替换验证外推性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干预线敏感性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回撤预算线 -3%、-6%、-9%（固定 1/4 凯利）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回答“预算线设在哪里”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3.3　与大赛“六个必要环节”的对应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986"/>
        <w:gridCol w:w="4986"/>
      </w:tblGrid>
      <w:tr>
        <w:tc>
          <w:tcPr>
            <w:tcW w:type="dxa" w:w="30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大赛要求环节</w:t>
            </w:r>
          </w:p>
        </w:tc>
        <w:tc>
          <w:tcPr>
            <w:tcW w:type="dxa" w:w="6576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本案例落点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① 提出任务（任务书）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正文 1.3：风险预算官任务书，含角色、硬约束与五项交付物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② 说明条件（数据规则说明）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正文 1.4：数据规则说明表（来源、股票池、信号规则、样本划分）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③ 设计方案（实验设计表）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正文 1.5：三组对照 + 三重检验，参数预登记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④ 运行实验（运行记录）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在线 Notebook 50 单元真实运行；run_all.py 一键复现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⑤ 分析结果（结果分析报告）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正文 4.3–4.6：全样本、样本外、敏感性与反事实、干预线敏感性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⑥ 形成建议（决策建议）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正文 5.2：对金融机构、监管与教学、AI 系统建设方的三条建议</w:t>
            </w:r>
          </w:p>
        </w:tc>
      </w:tr>
    </w:tbl>
    <w:p>
      <w:pPr>
        <w:spacing w:after="40"/>
      </w:pPr>
    </w:p>
    <w:p>
      <w:pPr>
        <w:spacing w:before="360" w:after="160"/>
        <w:pageBreakBefore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四、　变量控制说明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本实验内部有效性由五层控制共同保证：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81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控制层</w:t>
            </w:r>
          </w:p>
        </w:tc>
        <w:tc>
          <w:tcPr>
            <w:tcW w:type="dxa" w:w="4649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做法</w:t>
            </w:r>
          </w:p>
        </w:tc>
        <w:tc>
          <w:tcPr>
            <w:tcW w:type="dxa" w:w="317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控制的变量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信号冻结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6910 条信号由固定种子一次生成，全实验共享，不得重生成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信息集：任何组的可用信息完全相同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约束统一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5bp 成本、20% 个股上限、100% 总仓上限、-6% 回撤预算对三组一致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交易环境：绩效差异不含约束宽严差异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样本划分预登记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 70% 样本内 / 后 30% 样本外在实验前声明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时间泄漏：杜绝用后段行情调参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参数来源限定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凯利分数与干预参数只用样本内估计；样本外参数不动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参数偷看：保证检验的真实性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反事实对照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同一规则分别在有干预、无干预两种情形下运行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干预机制本身：把“干预价值”从“仓位规模”中分离</w:t>
            </w:r>
          </w:p>
        </w:tc>
      </w:tr>
    </w:tbl>
    <w:p>
      <w:pPr>
        <w:spacing w:after="40"/>
      </w:pP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外部有效性通过敏感性分析检验：凯利缩放从 1/8 到 1 倍、干预线从 -3% 到 -9% 的网格显示结论的适用边界（干预价值随仓位规模显现、预算线须与仓位规模匹配），避免把单一参数点上的偶然结果当成规律。</w:t>
      </w:r>
    </w:p>
    <w:p>
      <w:pPr>
        <w:spacing w:before="360" w:after="160"/>
        <w:pageBreakBefore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五、　核心结果（设计有效性的证据）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以下数字全部由案例代码真实运行生成，可作为“受控对照确实分离出了规则效应”的证据（详细表格见案例正文 4.3–4.6）：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5.1　全样本三组对照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81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组别</w:t>
            </w:r>
          </w:p>
        </w:tc>
        <w:tc>
          <w:tcPr>
            <w:tcW w:type="dxa" w:w="113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累计收益</w:t>
            </w:r>
          </w:p>
        </w:tc>
        <w:tc>
          <w:tcPr>
            <w:tcW w:type="dxa" w:w="107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年化波动</w:t>
            </w:r>
          </w:p>
        </w:tc>
        <w:tc>
          <w:tcPr>
            <w:tcW w:type="dxa" w:w="90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夏普</w:t>
            </w:r>
          </w:p>
        </w:tc>
        <w:tc>
          <w:tcPr>
            <w:tcW w:type="dxa" w:w="113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最大回撤</w:t>
            </w:r>
          </w:p>
        </w:tc>
        <w:tc>
          <w:tcPr>
            <w:tcW w:type="dxa" w:w="90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卡玛</w:t>
            </w:r>
          </w:p>
        </w:tc>
        <w:tc>
          <w:tcPr>
            <w:tcW w:type="dxa" w:w="113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日均换手</w:t>
            </w:r>
          </w:p>
        </w:tc>
        <w:tc>
          <w:tcPr>
            <w:tcW w:type="dxa" w:w="1531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年化成本拖累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 满仓等权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23.2%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16.8%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0.70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-12.4%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1.11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0.70</w:t>
            </w:r>
          </w:p>
        </w:tc>
        <w:tc>
          <w:tcPr>
            <w:tcW w:type="dxa" w:w="153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8.8%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B 置信度分档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22.8%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约同 A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0.68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-12.4%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约同 A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约同 A</w:t>
            </w:r>
          </w:p>
        </w:tc>
        <w:tc>
          <w:tcPr>
            <w:tcW w:type="dxa" w:w="153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9.2%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C 1/4 凯利+干预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18.6%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16.6%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0.55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-9.3%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1.19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0.34</w:t>
            </w:r>
          </w:p>
        </w:tc>
        <w:tc>
          <w:tcPr>
            <w:tcW w:type="dxa" w:w="1531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4.3%</w:t>
            </w:r>
          </w:p>
        </w:tc>
      </w:tr>
    </w:tbl>
    <w:p>
      <w:pPr>
        <w:spacing w:after="40"/>
      </w:pP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三条教学结论直接可读：①同样的信号，C 组以约 4.6 个百分点的收益代价换取回撤压缩 3.1 个百分点与成本减半；②B 组与 A 组几乎重合——校准失败的置信度连加权价值都没有；③凯利集中持仓降不了波动，风险预算的价值要用回撤与成本衡量。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5.2　样本外检验（后 30%，123 个交易日）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样本外恰为蓝筹上行段：A 组年化 41.3%、夏普 2.71、回撤 -4.1%、换手 0.91（成本拖累约 11.4%）；C 组年化 13.5%、波动 7.4%、回撤 -2.5%、夏普 1.56、卡玛 5.49。上行段风险预算组大幅落后——这不是失败，而是</w:t>
      </w:r>
      <w:r>
        <w:rPr>
          <w:rFonts w:ascii="Times New Roman" w:hAnsi="Times New Roman" w:eastAsia="宋体"/>
          <w:b/>
          <w:sz w:val="24"/>
        </w:rPr>
        <w:t>保险的定价</w:t>
      </w:r>
      <w:r>
        <w:rPr>
          <w:rFonts w:ascii="Times New Roman" w:hAnsi="Times New Roman" w:eastAsia="宋体"/>
          <w:b w:val="0"/>
          <w:sz w:val="24"/>
        </w:rPr>
        <w:t>：机会成本可见、可计量，学生必须为“要不要这份保险”给出自己的论证（结果不唯一的落点之一）。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5.3　敏感性与反事实（全样本）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1/8 凯利档：有无干预完全相同（累计 -4.7%）——仓位足够轻时干预无事可做；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1/4 档：有干预 18.6% / 无干预 22.7%，回撤同为 -9.3%——6% 预算线对轻仓位偏松；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1/2 档：回撤 -12.3%（有）vs -15.9%（无）——干预价值开始显现；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1 倍档：累计 20.6%（有）vs 41.6%（无），回撤 -12.6% vs -15.7%——满仓凯利不可取；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干预线敏感性（1/4 凯利）：-3% 线卡玛 1.49、-6% 线 1.19、-9% 线 1.41——太松等于没干预，预算线须与仓位规模匹配。</w:t>
      </w:r>
    </w:p>
    <w:p>
      <w:pPr>
        <w:spacing w:before="360" w:after="160"/>
        <w:pageBreakBefore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六、　评价设计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评价与教学目标严格对齐，采用</w:t>
      </w:r>
      <w:r>
        <w:rPr>
          <w:rFonts w:ascii="Times New Roman" w:hAnsi="Times New Roman" w:eastAsia="宋体"/>
          <w:b/>
          <w:sz w:val="24"/>
        </w:rPr>
        <w:t>四维 100 分制量规：过程可追溯 30 + 解释合理性 30 + 实验完整性 20 + 报告规范 20</w:t>
      </w:r>
      <w:r>
        <w:rPr>
          <w:rFonts w:ascii="Times New Roman" w:hAnsi="Times New Roman" w:eastAsia="宋体"/>
          <w:b w:val="0"/>
          <w:sz w:val="24"/>
        </w:rPr>
        <w:t>，每维给出四档可观察描述；量规随任务书先行发布，高收益不加分、不可复现扣分。8 道分层作业（基础必做 / 进阶选做 / 挑战 / 思考题）的得分嵌入量规对应维度。完整量规、典型错误引导（五坑三段式）与前后测证据设计详见《教学指导文档》。</w:t>
      </w:r>
    </w:p>
    <w:p>
      <w:pPr>
        <w:spacing w:before="360" w:after="160"/>
        <w:pageBreakBefore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七、　创新点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041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创新点</w:t>
            </w:r>
          </w:p>
        </w:tc>
        <w:tc>
          <w:tcPr>
            <w:tcW w:type="dxa" w:w="294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传统做法</w:t>
            </w:r>
          </w:p>
        </w:tc>
        <w:tc>
          <w:tcPr>
            <w:tcW w:type="dxa" w:w="4649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本案例的改变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① 真实数据沙盘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虚构理想化数据或无出处数据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真实公开行情 + 种子公开的透明信号，二元结构使每个数字可核验、可复现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② 把“置信度校准”变成教学素材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 输出直接采信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故意保留过度自信误差，让学生诊断出“均值 0.871 vs 真实命中约 54%”并论证其后果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③ 反事实检验进课堂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只报告“有效”的结果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“移除干预”的反事实表与主表并列，代价与收益双向陈述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④ 开放干预设计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线性流程直达标准答案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干预规则的设计空间向学生开放，不同设计得出不同结论并接受数据检验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⑤ 全链条过程可追溯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只交最终报告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种子、参数、代码、运行记录全明示；随机种子 20261029 复跑逐字节一致</w:t>
            </w:r>
          </w:p>
        </w:tc>
      </w:tr>
    </w:tbl>
    <w:p>
      <w:pPr>
        <w:spacing w:after="40"/>
      </w:pPr>
    </w:p>
    <w:p>
      <w:pPr>
        <w:spacing w:before="360" w:after="160"/>
        <w:pageBreakBefore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八、　适用性与推广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8.1　适用范围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适用于投资学、量化投资 / 金融工程、金融风险管理、Python 金融数据分析、行为金融等课程的实验教学（本科高年级与金融专硕），提供 2 课时标准版与 4 课时扩展版两套组织方案。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8.2　复用路径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换信号</w:t>
      </w:r>
      <w:r>
        <w:rPr>
          <w:rFonts w:ascii="Times New Roman" w:hAnsi="Times New Roman" w:eastAsia="宋体"/>
          <w:b w:val="0"/>
          <w:sz w:val="24"/>
        </w:rPr>
        <w:t>：修改 gen_signals.py 的命中率与校准参数即可生成新实验条件（题 3、题 5 的出口）；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换行情</w:t>
      </w:r>
      <w:r>
        <w:rPr>
          <w:rFonts w:ascii="Times New Roman" w:hAnsi="Times New Roman" w:eastAsia="宋体"/>
          <w:b w:val="0"/>
          <w:sz w:val="24"/>
        </w:rPr>
        <w:t>：fetch_prices.py 可更新行情区间或股票池，实验链路不变；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换规则</w:t>
      </w:r>
      <w:r>
        <w:rPr>
          <w:rFonts w:ascii="Times New Roman" w:hAnsi="Times New Roman" w:eastAsia="宋体"/>
          <w:b w:val="0"/>
          <w:sz w:val="24"/>
        </w:rPr>
        <w:t>：三组仓位规则均为独立函数，学生自设计规则即插即测；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零安装复用</w:t>
      </w:r>
      <w:r>
        <w:rPr>
          <w:rFonts w:ascii="Times New Roman" w:hAnsi="Times New Roman" w:eastAsia="宋体"/>
          <w:b w:val="0"/>
          <w:sz w:val="24"/>
        </w:rPr>
        <w:t>：运行共享包（脚本 + 种子与参数说明）使任何院校可在案例平台在线环境直接开课。</w:t>
      </w:r>
    </w:p>
    <w:p>
      <w:pPr>
        <w:spacing w:before="360" w:after="160"/>
        <w:pageBreakBefore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九、　局限与诚实边界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仿真未建模滑点、流动性冲击与涨跌停摩擦，结论不能直接外推至实盘执行环节；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样本期为 2024-01 至 2025-10 的单一市场段，行情结构（含一段蓝筹上行）会影响样本外对比的具体数值；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信号为透明模拟而非真实 AI 产品输出——这是受控归因的设计前提，同时限制了“评测某个具体大模型”的外推；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凯利分数对收益率均值估计高度敏感，1/4 缩放是保守化处理而非最优解，其自身即教学讨论点。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上述局限在案例正文与教学指导文档中均如实标注。我们相信，</w:t>
      </w:r>
      <w:r>
        <w:rPr>
          <w:rFonts w:ascii="Times New Roman" w:hAnsi="Times New Roman" w:eastAsia="宋体"/>
          <w:b/>
          <w:sz w:val="24"/>
        </w:rPr>
        <w:t>明示边界本身是数据诚实素养的一部分</w:t>
      </w:r>
      <w:r>
        <w:rPr>
          <w:rFonts w:ascii="Times New Roman" w:hAnsi="Times New Roman" w:eastAsia="宋体"/>
          <w:b w:val="0"/>
          <w:sz w:val="24"/>
        </w:rPr>
        <w:t>，也是本案例区别于“演示型作品”的关键特征。</w:t>
      </w:r>
    </w:p>
    <w:p>
      <w:pPr>
        <w:spacing w:before="280"/>
      </w:pPr>
      <w:r>
        <w:rPr>
          <w:rFonts w:ascii="Times New Roman" w:hAnsi="Times New Roman" w:eastAsia="黑体"/>
          <w:b/>
          <w:sz w:val="26"/>
        </w:rPr>
        <w:t>我们不培养操作机械臂最熟练的人，我们培养握有否决权、也担得起否决后果的主公。</w:t>
      </w:r>
    </w:p>
    <w:p>
      <w:pPr>
        <w:spacing w:before="80"/>
      </w:pPr>
      <w:r>
        <w:rPr>
          <w:rFonts w:ascii="Times New Roman" w:hAnsi="Times New Roman" w:eastAsia="宋体"/>
          <w:b w:val="0"/>
          <w:color w:val="595959"/>
          <w:sz w:val="20"/>
        </w:rPr>
        <w:t>免责声明：本文件为实验教学演示文档，全部阈值与仓位参数均为统一设定的实验条件，不构成任何证券的买卖建议。</w:t>
      </w:r>
    </w:p>
    <w:p>
      <w:pPr>
        <w:spacing w:before="200"/>
      </w:pPr>
      <w:r>
        <w:rPr>
          <w:rFonts w:ascii="Times New Roman" w:hAnsi="Times New Roman" w:eastAsia="宋体"/>
          <w:b w:val="0"/>
          <w:color w:val="595959"/>
          <w:sz w:val="20"/>
        </w:rPr>
        <w:t>版本说明：本设计说明与案例正文、数据集、教学指导文档、案例报告、配套 PPT 同版本发布；数字口径与案例正文一致，如实验数据更新以正文可复现性声明所载种子与参数为准。</w:t>
      </w:r>
    </w:p>
    <w:sectPr w:rsidR="00FC693F" w:rsidRPr="0006063C" w:rsidSect="00034616">
      <w:footerReference w:type="default" r:id="rId9"/>
      <w:pgSz w:w="12240" w:h="15840"/>
      <w:pgMar w:top="1304" w:right="1134" w:bottom="130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