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黑体"/>
          <w:b/>
          <w:color w:val="0F172A"/>
          <w:sz w:val="32"/>
        </w:rPr>
        <w:t>自评分表</w:t>
      </w:r>
    </w:p>
    <w:p>
      <w:pPr>
        <w:spacing w:after="80"/>
        <w:jc w:val="center"/>
      </w:pPr>
      <w:r>
        <w:rPr>
          <w:rFonts w:ascii="Times New Roman" w:hAnsi="Times New Roman" w:eastAsia="黑体"/>
          <w:b/>
          <w:color w:val="0F172A"/>
          <w:sz w:val="26"/>
        </w:rPr>
        <w:t>AI 选股信号该配多大仓位？——虚拟仿真下的风险预算干预实验</w:t>
      </w:r>
    </w:p>
    <w:p>
      <w:pPr>
        <w:spacing w:after="200"/>
        <w:jc w:val="center"/>
      </w:pPr>
      <w:r>
        <w:rPr>
          <w:rFonts w:ascii="Times New Roman" w:hAnsi="Times New Roman" w:eastAsia="宋体"/>
          <w:b w:val="0"/>
          <w:color w:val="475569"/>
          <w:sz w:val="20"/>
        </w:rPr>
        <w:t>对照《2026 年“智享杯”全国大学生经济管理类实验案例分析大赛评分标准》编制</w:t>
      </w:r>
    </w:p>
    <w:p>
      <w:pPr>
        <w:spacing w:before="280" w:after="120"/>
        <w:pBdr>
          <w:bottom w:val="single" w:sz="10" w:color="0F172A"/>
        </w:pBdr>
      </w:pPr>
      <w:r>
        <w:rPr>
          <w:rFonts w:ascii="Times New Roman" w:hAnsi="Times New Roman" w:eastAsia="黑体"/>
          <w:b/>
          <w:color w:val="0F172A"/>
          <w:sz w:val="30"/>
        </w:rPr>
        <w:t>评审总述</w:t>
      </w:r>
    </w:p>
    <w:p>
      <w:pPr>
        <w:spacing w:after="0" w:line="336" w:lineRule="auto"/>
        <w:ind w:firstLine="480"/>
      </w:pPr>
      <w:r>
        <w:rPr>
          <w:rFonts w:ascii="Times New Roman" w:hAnsi="Times New Roman" w:eastAsia="宋体"/>
          <w:b w:val="0"/>
          <w:sz w:val="24"/>
        </w:rPr>
        <w:t>本案例以一个看似朴素的问题——AI 选股信号该配多大仓位——为切口，构建了一整套受控虚拟仿真实验体系。从数据获取到信号注入，从规则设计到反事实检验，从成本扫描到置信度再校准，每一个环节都由代码真实运行生成，每一个数字都可以被独立复核。这不是一个关于“AI 能不能赚钱”的案例，而是一个关于“AI 给出答案之后，人应该怎么做”的案例。它训练的不是预测能力，而是在预测已定的条件下做出风险决策的能力——恰恰是当前经管实验教学中最为稀缺的一环。</w:t>
      </w:r>
    </w:p>
    <w:p>
      <w:pPr>
        <w:spacing w:after="0" w:line="336" w:lineRule="auto"/>
        <w:ind w:firstLine="480"/>
      </w:pPr>
      <w:r>
        <w:rPr>
          <w:rFonts w:ascii="Times New Roman" w:hAnsi="Times New Roman" w:eastAsia="宋体"/>
          <w:b w:val="0"/>
          <w:sz w:val="24"/>
        </w:rPr>
        <w:t>自评 99.9 分。扣掉的 0.1 分，是因为还有两件事我们想做但没来得及做完——极端流动性枯竭的建模和真实大模型输出的接入。我们宁可留这个缺口也不去填补一个虚假的完整。以下逐条说明。</w:t>
      </w:r>
    </w:p>
    <w:p>
      <w:pPr>
        <w:spacing w:before="280" w:after="120"/>
        <w:pBdr>
          <w:bottom w:val="single" w:sz="10" w:color="0F172A"/>
        </w:pBdr>
      </w:pPr>
      <w:r>
        <w:rPr>
          <w:rFonts w:ascii="Times New Roman" w:hAnsi="Times New Roman" w:eastAsia="黑体"/>
          <w:b/>
          <w:color w:val="0F172A"/>
          <w:sz w:val="28"/>
        </w:rPr>
        <w:t>自评分表（对照大赛评分标准十二个观测点）</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tcPr>
          <w:p>
            <w:pPr>
              <w:jc w:val="center"/>
            </w:pPr>
            <w:r/>
            <w:r>
              <w:rPr>
                <w:rFonts w:ascii="Times New Roman" w:hAnsi="Times New Roman" w:eastAsia="黑体"/>
                <w:b/>
                <w:color w:val="0F172A"/>
                <w:sz w:val="18"/>
              </w:rPr>
              <w:t>维度（分值）</w:t>
            </w:r>
          </w:p>
        </w:tc>
        <w:tc>
          <w:tcPr>
            <w:tcW w:type="dxa" w:w="2379"/>
          </w:tcPr>
          <w:p>
            <w:pPr>
              <w:jc w:val="center"/>
            </w:pPr>
            <w:r/>
            <w:r>
              <w:rPr>
                <w:rFonts w:ascii="Times New Roman" w:hAnsi="Times New Roman" w:eastAsia="黑体"/>
                <w:b/>
                <w:color w:val="0F172A"/>
                <w:sz w:val="18"/>
              </w:rPr>
              <w:t>观测点（分值）</w:t>
            </w:r>
          </w:p>
        </w:tc>
        <w:tc>
          <w:tcPr>
            <w:tcW w:type="dxa" w:w="2379"/>
          </w:tcPr>
          <w:p>
            <w:pPr>
              <w:jc w:val="center"/>
            </w:pPr>
            <w:r/>
            <w:r>
              <w:rPr>
                <w:rFonts w:ascii="Times New Roman" w:hAnsi="Times New Roman" w:eastAsia="黑体"/>
                <w:b/>
                <w:color w:val="0F172A"/>
                <w:sz w:val="18"/>
              </w:rPr>
              <w:t>自评</w:t>
            </w:r>
          </w:p>
        </w:tc>
        <w:tc>
          <w:tcPr>
            <w:tcW w:type="dxa" w:w="2379"/>
          </w:tcPr>
          <w:p>
            <w:pPr>
              <w:jc w:val="center"/>
            </w:pPr>
            <w:r/>
            <w:r>
              <w:rPr>
                <w:rFonts w:ascii="Times New Roman" w:hAnsi="Times New Roman" w:eastAsia="黑体"/>
                <w:b/>
                <w:color w:val="0F172A"/>
                <w:sz w:val="18"/>
              </w:rPr>
              <w:t>依据与出处</w:t>
            </w:r>
          </w:p>
        </w:tc>
      </w:tr>
      <w:tr>
        <w:tc>
          <w:tcPr>
            <w:tcW w:type="dxa" w:w="2379"/>
          </w:tcPr>
          <w:p>
            <w:pPr>
              <w:jc w:val="left"/>
            </w:pPr>
            <w:r/>
            <w:r>
              <w:rPr>
                <w:rFonts w:ascii="Times New Roman" w:hAnsi="Times New Roman" w:eastAsia="宋体"/>
                <w:b w:val="0"/>
                <w:sz w:val="18"/>
              </w:rPr>
              <w:t>案例选题与问题界定（20 分）</w:t>
            </w:r>
          </w:p>
        </w:tc>
        <w:tc>
          <w:tcPr>
            <w:tcW w:type="dxa" w:w="2379"/>
          </w:tcPr>
          <w:p>
            <w:pPr>
              <w:jc w:val="left"/>
            </w:pPr>
            <w:r/>
            <w:r>
              <w:rPr>
                <w:rFonts w:ascii="Times New Roman" w:hAnsi="Times New Roman" w:eastAsia="宋体"/>
                <w:b w:val="0"/>
                <w:sz w:val="18"/>
              </w:rPr>
              <w:t>案例选题（10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大模型投研工作台已批量进入券商和基金，“AI 说了买之后配多少”是投研决策链条上最缺训练的环节。切口窄但深，不是“用 AI 预测股市”那种空泛选题。（报告 1.1）</w:t>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问题界定（10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三个递进问题——转化（信号怎么变仓位）、校准（置信度可不可信）、干预（风险预算值多少钱）——每一个都有明确的可检验边界。（报告 1.2）</w:t>
            </w:r>
          </w:p>
        </w:tc>
      </w:tr>
      <w:tr>
        <w:tc>
          <w:tcPr>
            <w:tcW w:type="dxa" w:w="2379"/>
          </w:tcPr>
          <w:p>
            <w:pPr>
              <w:jc w:val="left"/>
            </w:pPr>
            <w:r/>
            <w:r>
              <w:rPr>
                <w:rFonts w:ascii="Times New Roman" w:hAnsi="Times New Roman" w:eastAsia="宋体"/>
                <w:b w:val="0"/>
                <w:sz w:val="18"/>
              </w:rPr>
              <w:t>实验设计（30 分）</w:t>
            </w:r>
          </w:p>
        </w:tc>
        <w:tc>
          <w:tcPr>
            <w:tcW w:type="dxa" w:w="2379"/>
          </w:tcPr>
          <w:p>
            <w:pPr>
              <w:jc w:val="left"/>
            </w:pPr>
            <w:r/>
            <w:r>
              <w:rPr>
                <w:rFonts w:ascii="Times New Roman" w:hAnsi="Times New Roman" w:eastAsia="宋体"/>
                <w:b w:val="0"/>
                <w:sz w:val="18"/>
              </w:rPr>
              <w:t>实验方法适配性（5 分）</w:t>
            </w:r>
          </w:p>
        </w:tc>
        <w:tc>
          <w:tcPr>
            <w:tcW w:type="dxa" w:w="2379"/>
          </w:tcPr>
          <w:p>
            <w:pPr>
              <w:jc w:val="center"/>
            </w:pPr>
            <w:r/>
            <w:r>
              <w:rPr>
                <w:rFonts w:ascii="Times New Roman" w:hAnsi="Times New Roman" w:eastAsia="宋体"/>
                <w:b w:val="0"/>
                <w:sz w:val="18"/>
              </w:rPr>
              <w:t>5</w:t>
            </w:r>
          </w:p>
        </w:tc>
        <w:tc>
          <w:tcPr>
            <w:tcW w:type="dxa" w:w="2379"/>
          </w:tcPr>
          <w:p>
            <w:pPr>
              <w:jc w:val="center"/>
            </w:pPr>
            <w:r/>
            <w:r>
              <w:rPr>
                <w:rFonts w:ascii="Times New Roman" w:hAnsi="Times New Roman" w:eastAsia="宋体"/>
                <w:b w:val="0"/>
                <w:sz w:val="18"/>
              </w:rPr>
              <w:t>虚拟仿真加受控对照：冻结信号只变规则。选择这个方法是因为它能干净地分离因果关系——如果连方法适配性都说不清楚，后面的检验就全是空中楼阁。（报告 3.1）</w:t>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实验设计科学性（10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五层变量控制——信号冻结、约束统一、样本预登记、参数限定、反事实对照——每一层都有明确的控制目标和实现代码。硬约束与软触线严格区分。（报告 3.2）</w:t>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数据质量与处理（5 分）</w:t>
            </w:r>
          </w:p>
        </w:tc>
        <w:tc>
          <w:tcPr>
            <w:tcW w:type="dxa" w:w="2379"/>
          </w:tcPr>
          <w:p>
            <w:pPr>
              <w:jc w:val="center"/>
            </w:pPr>
            <w:r/>
            <w:r>
              <w:rPr>
                <w:rFonts w:ascii="Times New Roman" w:hAnsi="Times New Roman" w:eastAsia="宋体"/>
                <w:b w:val="0"/>
                <w:sz w:val="18"/>
              </w:rPr>
              <w:t>4.95</w:t>
            </w:r>
          </w:p>
        </w:tc>
        <w:tc>
          <w:tcPr>
            <w:tcW w:type="dxa" w:w="2379"/>
          </w:tcPr>
          <w:p>
            <w:pPr>
              <w:jc w:val="center"/>
            </w:pPr>
            <w:r/>
            <w:r>
              <w:rPr>
                <w:rFonts w:ascii="Times New Roman" w:hAnsi="Times New Roman" w:eastAsia="宋体"/>
                <w:b w:val="0"/>
                <w:sz w:val="18"/>
              </w:rPr>
              <w:t>腾讯财经公开行情，28 只蓝筹 410 个交易日，任何人可重新下载。信号由种子 20261029 透明注入。7bp 含滑点情景与凸性冲击情景均已检验。留 0.05 分：极端流动性枯竭未建模。（报告 6.3）</w:t>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实验可重复性（10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种子 20261029 全文公开。run_all.py 一键复现全部表格与图形。vx_verify.py 输出 24/24 锚点 PASS/FAIL 清单和 manifest.json 数字出生证明。任何人可以在一分钟内核验任何一个数字。（附录 A）</w:t>
            </w:r>
          </w:p>
        </w:tc>
      </w:tr>
      <w:tr>
        <w:tc>
          <w:tcPr>
            <w:tcW w:type="dxa" w:w="2379"/>
          </w:tcPr>
          <w:p>
            <w:pPr>
              <w:jc w:val="left"/>
            </w:pPr>
            <w:r/>
            <w:r>
              <w:rPr>
                <w:rFonts w:ascii="Times New Roman" w:hAnsi="Times New Roman" w:eastAsia="宋体"/>
                <w:b w:val="0"/>
                <w:sz w:val="18"/>
              </w:rPr>
              <w:t>案例分析（30 分）</w:t>
            </w:r>
          </w:p>
        </w:tc>
        <w:tc>
          <w:tcPr>
            <w:tcW w:type="dxa" w:w="2379"/>
          </w:tcPr>
          <w:p>
            <w:pPr>
              <w:jc w:val="left"/>
            </w:pPr>
            <w:r/>
            <w:r>
              <w:rPr>
                <w:rFonts w:ascii="Times New Roman" w:hAnsi="Times New Roman" w:eastAsia="宋体"/>
                <w:b w:val="0"/>
                <w:sz w:val="18"/>
              </w:rPr>
              <w:t>经管理论与知识的运用（10 分）</w:t>
            </w:r>
          </w:p>
        </w:tc>
        <w:tc>
          <w:tcPr>
            <w:tcW w:type="dxa" w:w="2379"/>
          </w:tcPr>
          <w:p>
            <w:pPr>
              <w:jc w:val="center"/>
            </w:pPr>
            <w:r/>
            <w:r>
              <w:rPr>
                <w:rFonts w:ascii="Times New Roman" w:hAnsi="Times New Roman" w:eastAsia="宋体"/>
                <w:b w:val="0"/>
                <w:sz w:val="18"/>
              </w:rPr>
              <w:t>10</w:t>
            </w:r>
          </w:p>
        </w:tc>
        <w:tc>
          <w:tcPr>
            <w:tcW w:type="dxa" w:w="2379"/>
          </w:tcPr>
          <w:p>
            <w:pPr>
              <w:jc w:val="center"/>
            </w:pPr>
            <w:r>
              <w:t>Markowitz 组合选择、Kelly 准则与缩放、Deflated Sharpe、可靠度曲线校准——不是堆名词，每一个理论都在实验中有明确对应物。（报告第 2 章，GB/T 7714 四十七条文献）</w:t>
            </w:r>
            <w:r>
              <w:rPr>
                <w:rFonts w:ascii="Times New Roman" w:hAnsi="Times New Roman" w:eastAsia="宋体"/>
                <w:b w:val="0"/>
                <w:sz w:val="18"/>
              </w:rPr>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分析方法与工具的运用（10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多策略对照→样本外检验→参数敏感性→反事实分析→平均敞口匹配基准——五步环环相扣，每一步都有明确的控制目标。（报告 3.3、4）</w:t>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分析过程（10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敞口匹配基准推翻了自身的初步结论，据此修正为“敞口＞分散度＞干预”三层排序。凸性冲击下 C 组卡玛 0.88 为 A/B 的两倍。真实动量信号替换后框架依然成立。这些发现不是设计出来的，是数据给的。（报告 5.4–5.5）</w:t>
            </w:r>
          </w:p>
        </w:tc>
      </w:tr>
      <w:tr>
        <w:tc>
          <w:tcPr>
            <w:tcW w:type="dxa" w:w="2379"/>
          </w:tcPr>
          <w:p>
            <w:pPr>
              <w:jc w:val="left"/>
            </w:pPr>
            <w:r/>
            <w:r>
              <w:rPr>
                <w:rFonts w:ascii="Times New Roman" w:hAnsi="Times New Roman" w:eastAsia="宋体"/>
                <w:b w:val="0"/>
                <w:sz w:val="18"/>
              </w:rPr>
              <w:t>案例分析结果（20 分）</w:t>
            </w:r>
          </w:p>
        </w:tc>
        <w:tc>
          <w:tcPr>
            <w:tcW w:type="dxa" w:w="2379"/>
          </w:tcPr>
          <w:p>
            <w:pPr>
              <w:jc w:val="left"/>
            </w:pPr>
            <w:r/>
            <w:r>
              <w:rPr>
                <w:rFonts w:ascii="Times New Roman" w:hAnsi="Times New Roman" w:eastAsia="宋体"/>
                <w:b w:val="0"/>
                <w:sz w:val="18"/>
              </w:rPr>
              <w:t>案例分析报告（5 分）</w:t>
            </w:r>
          </w:p>
        </w:tc>
        <w:tc>
          <w:tcPr>
            <w:tcW w:type="dxa" w:w="2379"/>
          </w:tcPr>
          <w:p>
            <w:pPr>
              <w:jc w:val="center"/>
            </w:pPr>
            <w:r/>
            <w:r>
              <w:rPr>
                <w:rFonts w:ascii="Times New Roman" w:hAnsi="Times New Roman" w:eastAsia="宋体"/>
                <w:b w:val="0"/>
                <w:sz w:val="18"/>
              </w:rPr>
              <w:t>5</w:t>
            </w:r>
          </w:p>
        </w:tc>
        <w:tc>
          <w:tcPr>
            <w:tcW w:type="dxa" w:w="2379"/>
          </w:tcPr>
          <w:p>
            <w:pPr>
              <w:jc w:val="center"/>
            </w:pPr>
            <w:r>
              <w:t>中英文摘要、三线表十三张、图五幅、GB/T 7714 参考文献四十七条、数据字典、质量检查、可复现性声明——结构完整、口径一致。</w:t>
            </w:r>
            <w:r>
              <w:rPr>
                <w:rFonts w:ascii="Times New Roman" w:hAnsi="Times New Roman" w:eastAsia="宋体"/>
                <w:b w:val="0"/>
                <w:sz w:val="18"/>
              </w:rPr>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解决方案的可行性（10 分）</w:t>
            </w:r>
          </w:p>
        </w:tc>
        <w:tc>
          <w:tcPr>
            <w:tcW w:type="dxa" w:w="2379"/>
          </w:tcPr>
          <w:p>
            <w:pPr>
              <w:jc w:val="center"/>
            </w:pPr>
            <w:r/>
            <w:r>
              <w:rPr>
                <w:rFonts w:ascii="Times New Roman" w:hAnsi="Times New Roman" w:eastAsia="宋体"/>
                <w:b w:val="0"/>
                <w:sz w:val="18"/>
              </w:rPr>
              <w:t>10</w:t>
            </w:r>
          </w:p>
        </w:tc>
        <w:tc>
          <w:tcPr>
            <w:tcW w:type="dxa" w:w="2379"/>
          </w:tcPr>
          <w:p>
            <w:pPr>
              <w:jc w:val="center"/>
            </w:pPr>
            <w:r/>
            <w:r>
              <w:rPr>
                <w:rFonts w:ascii="Times New Roman" w:hAnsi="Times New Roman" w:eastAsia="宋体"/>
                <w:b w:val="0"/>
                <w:sz w:val="18"/>
              </w:rPr>
              <w:t>三条建议——仓位规则纳入强制评审、回撤预算与仓位规模成对写入系统、置信度必须附带校准报告——每一条都有实验数据支撑，每一条都可以落地。（报告 6.2）</w:t>
            </w:r>
          </w:p>
        </w:tc>
      </w:tr>
      <w:tr>
        <w:tc>
          <w:tcPr>
            <w:tcW w:type="dxa" w:w="2379"/>
          </w:tcPr>
          <w:p>
            <w:pPr>
              <w:jc w:val="left"/>
            </w:pPr>
            <w:r/>
            <w:r>
              <w:rPr>
                <w:rFonts w:ascii="Times New Roman" w:hAnsi="Times New Roman" w:eastAsia="宋体"/>
                <w:b w:val="0"/>
                <w:sz w:val="18"/>
              </w:rPr>
            </w:r>
          </w:p>
        </w:tc>
        <w:tc>
          <w:tcPr>
            <w:tcW w:type="dxa" w:w="2379"/>
          </w:tcPr>
          <w:p>
            <w:pPr>
              <w:jc w:val="left"/>
            </w:pPr>
            <w:r/>
            <w:r>
              <w:rPr>
                <w:rFonts w:ascii="Times New Roman" w:hAnsi="Times New Roman" w:eastAsia="宋体"/>
                <w:b w:val="0"/>
                <w:sz w:val="18"/>
              </w:rPr>
              <w:t>解决方案的创新性（5 分）</w:t>
            </w:r>
          </w:p>
        </w:tc>
        <w:tc>
          <w:tcPr>
            <w:tcW w:type="dxa" w:w="2379"/>
          </w:tcPr>
          <w:p>
            <w:pPr>
              <w:jc w:val="center"/>
            </w:pPr>
            <w:r/>
            <w:r>
              <w:rPr>
                <w:rFonts w:ascii="Times New Roman" w:hAnsi="Times New Roman" w:eastAsia="宋体"/>
                <w:b w:val="0"/>
                <w:sz w:val="18"/>
              </w:rPr>
              <w:t>4.95</w:t>
            </w:r>
          </w:p>
        </w:tc>
        <w:tc>
          <w:tcPr>
            <w:tcW w:type="dxa" w:w="2379"/>
          </w:tcPr>
          <w:p>
            <w:pPr>
              <w:jc w:val="center"/>
            </w:pPr>
            <w:r/>
            <w:r>
              <w:rPr>
                <w:rFonts w:ascii="Times New Roman" w:hAnsi="Times New Roman" w:eastAsia="宋体"/>
                <w:b w:val="0"/>
                <w:sz w:val="18"/>
              </w:rPr>
              <w:t>六项创新——真实数据沙盘、置信度校准进课堂、反事实检验进课堂、开放干预设计、全链条可复现、敞口匹配自我证伪。留 0.05 分：框架内创新，未引入全新模型族。（设计说明七）</w:t>
            </w:r>
          </w:p>
        </w:tc>
      </w:tr>
      <w:tr>
        <w:tc>
          <w:tcPr>
            <w:tcW w:type="dxa" w:w="2379"/>
          </w:tcPr>
          <w:p>
            <w:pPr>
              <w:jc w:val="left"/>
            </w:pPr>
            <w:r/>
            <w:r>
              <w:rPr>
                <w:rFonts w:ascii="Times New Roman" w:hAnsi="Times New Roman" w:eastAsia="宋体"/>
                <w:b w:val="0"/>
                <w:sz w:val="18"/>
              </w:rPr>
              <w:t>合计</w:t>
            </w:r>
          </w:p>
        </w:tc>
        <w:tc>
          <w:tcPr>
            <w:tcW w:type="dxa" w:w="2379"/>
          </w:tcPr>
          <w:p>
            <w:pPr>
              <w:jc w:val="left"/>
            </w:pPr>
            <w:r/>
            <w:r>
              <w:rPr>
                <w:rFonts w:ascii="Times New Roman" w:hAnsi="Times New Roman" w:eastAsia="宋体"/>
                <w:b w:val="0"/>
                <w:sz w:val="18"/>
              </w:rPr>
              <w:t>12 个观测点</w:t>
            </w:r>
          </w:p>
        </w:tc>
        <w:tc>
          <w:tcPr>
            <w:tcW w:type="dxa" w:w="2379"/>
          </w:tcPr>
          <w:p>
            <w:pPr>
              <w:jc w:val="center"/>
            </w:pPr>
            <w:r/>
            <w:r>
              <w:rPr>
                <w:rFonts w:ascii="Times New Roman" w:hAnsi="Times New Roman" w:eastAsia="宋体"/>
                <w:b w:val="0"/>
                <w:sz w:val="18"/>
              </w:rPr>
              <w:t>99.9</w:t>
            </w:r>
          </w:p>
        </w:tc>
        <w:tc>
          <w:tcPr>
            <w:tcW w:type="dxa" w:w="2379"/>
          </w:tcPr>
          <w:p>
            <w:pPr>
              <w:jc w:val="center"/>
            </w:pPr>
            <w:r/>
            <w:r>
              <w:rPr>
                <w:rFonts w:ascii="Times New Roman" w:hAnsi="Times New Roman" w:eastAsia="宋体"/>
                <w:b w:val="0"/>
                <w:sz w:val="18"/>
              </w:rPr>
              <w:t>100 − 0.05 − 0.05。两处扣分理由如上，均为主动披露的边界而非遗漏。</w:t>
            </w:r>
          </w:p>
        </w:tc>
      </w:tr>
    </w:tbl>
    <w:p>
      <w:pPr>
        <w:spacing w:before="280" w:after="120"/>
        <w:pBdr>
          <w:bottom w:val="single" w:sz="10" w:color="0F172A"/>
        </w:pBdr>
      </w:pPr>
      <w:r>
        <w:rPr>
          <w:rFonts w:ascii="Times New Roman" w:hAnsi="Times New Roman" w:eastAsia="黑体"/>
          <w:b/>
          <w:color w:val="0F172A"/>
          <w:sz w:val="28"/>
        </w:rPr>
        <w:t>核心发现：六条结论与一次自我修正</w:t>
      </w:r>
    </w:p>
    <w:p>
      <w:pPr>
        <w:spacing w:after="0" w:line="336" w:lineRule="auto"/>
        <w:ind w:firstLine="480"/>
      </w:pPr>
      <w:r>
        <w:rPr>
          <w:rFonts w:ascii="Times New Roman" w:hAnsi="Times New Roman" w:eastAsia="宋体"/>
          <w:b w:val="0"/>
          <w:sz w:val="24"/>
        </w:rPr>
        <w:t>六条结论中，第五条和第六条不是实验设计时预设的，而是数据跑出来之后才浮现的。第五条——“五项可验证证据使 AI 的作用可验证”——来自对照、样本外、反事实、归因、复现这五个维度的交叉验证，缺任何一个，结论的力度都会打折。第六条——“稳健性：凸性冲击优势扩大”——是一个意外的发现：线性成本假设实际上低估了低换手规则的价值，这个结果改变了我们对仓位规则价值的判断。</w:t>
      </w:r>
    </w:p>
    <w:p>
      <w:pPr>
        <w:spacing w:after="0" w:line="336" w:lineRule="auto"/>
        <w:ind w:firstLine="480"/>
      </w:pPr>
      <w:r>
        <w:rPr>
          <w:rFonts w:ascii="Times New Roman" w:hAnsi="Times New Roman" w:eastAsia="宋体"/>
          <w:b w:val="0"/>
          <w:sz w:val="24"/>
        </w:rPr>
        <w:t>但最有价值的不是这六条结论中的任何一条，而是第 4.10 节的那个自我修正。我们最初认为“1/4 凯利加触线干预”之所以回撤更低，是因为干预机制在起作用。敞口匹配基准跑出来之后，这个判断被推翻了——同敞口的静态等权基准回撤更浅、卡玛更高。干预机制本身并没有创造超额价值，创造价值的是“仓位更轻”这件事本身。我们把这个发现如实写进了报告，并在结论中修正为三层排序：先把总仓位管住，再谈分散，最后才是触发规则。</w:t>
      </w:r>
    </w:p>
    <w:p>
      <w:pPr>
        <w:spacing w:before="280" w:after="120"/>
        <w:pBdr>
          <w:bottom w:val="single" w:sz="10" w:color="0F172A"/>
        </w:pBdr>
      </w:pPr>
      <w:r>
        <w:rPr>
          <w:rFonts w:ascii="Times New Roman" w:hAnsi="Times New Roman" w:eastAsia="黑体"/>
          <w:b/>
          <w:color w:val="0F172A"/>
          <w:sz w:val="28"/>
        </w:rPr>
        <w:t>证据锚点（可随机抽查复现）</w:t>
      </w:r>
    </w:p>
    <w:p>
      <w:pPr>
        <w:spacing w:after="0" w:line="336" w:lineRule="auto"/>
        <w:ind w:firstLine="480"/>
      </w:pPr>
      <w:r>
        <w:rPr>
          <w:rFonts w:ascii="Times New Roman" w:hAnsi="Times New Roman" w:eastAsia="宋体"/>
          <w:b w:val="0"/>
          <w:sz w:val="24"/>
        </w:rPr>
        <w:t>以下数字任选一个，运行 run_all.py 可在一分钟内复现。这种可核验性不是附加品，是本案例作为“可验证、可复核、可追溯”教学工具的基本要求。</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jc w:val="center"/>
            </w:pPr>
            <w:r/>
            <w:r>
              <w:rPr>
                <w:rFonts w:ascii="Times New Roman" w:hAnsi="Times New Roman" w:eastAsia="黑体"/>
                <w:b/>
                <w:color w:val="0F172A"/>
                <w:sz w:val="19"/>
              </w:rPr>
              <w:t>锚点</w:t>
            </w:r>
          </w:p>
        </w:tc>
        <w:tc>
          <w:tcPr>
            <w:tcW w:type="dxa" w:w="3173"/>
          </w:tcPr>
          <w:p>
            <w:pPr>
              <w:jc w:val="center"/>
            </w:pPr>
            <w:r/>
            <w:r>
              <w:rPr>
                <w:rFonts w:ascii="Times New Roman" w:hAnsi="Times New Roman" w:eastAsia="黑体"/>
                <w:b/>
                <w:color w:val="0F172A"/>
                <w:sz w:val="19"/>
              </w:rPr>
              <w:t>含义</w:t>
            </w:r>
          </w:p>
        </w:tc>
        <w:tc>
          <w:tcPr>
            <w:tcW w:type="dxa" w:w="3173"/>
          </w:tcPr>
          <w:p>
            <w:pPr>
              <w:jc w:val="center"/>
            </w:pPr>
            <w:r/>
            <w:r>
              <w:rPr>
                <w:rFonts w:ascii="Times New Roman" w:hAnsi="Times New Roman" w:eastAsia="黑体"/>
                <w:b/>
                <w:color w:val="0F172A"/>
                <w:sz w:val="19"/>
              </w:rPr>
              <w:t>出处</w:t>
            </w:r>
          </w:p>
        </w:tc>
      </w:tr>
      <w:tr>
        <w:tc>
          <w:tcPr>
            <w:tcW w:type="dxa" w:w="3173"/>
          </w:tcPr>
          <w:p>
            <w:pPr>
              <w:jc w:val="left"/>
            </w:pPr>
            <w:r/>
            <w:r>
              <w:rPr>
                <w:rFonts w:ascii="Times New Roman" w:hAnsi="Times New Roman" w:eastAsia="宋体"/>
                <w:b w:val="0"/>
                <w:sz w:val="19"/>
              </w:rPr>
              <w:t>23.2% / 22.8% / 18.6%</w:t>
            </w:r>
          </w:p>
        </w:tc>
        <w:tc>
          <w:tcPr>
            <w:tcW w:type="dxa" w:w="3173"/>
          </w:tcPr>
          <w:p>
            <w:pPr>
              <w:jc w:val="left"/>
            </w:pPr>
            <w:r/>
            <w:r>
              <w:rPr>
                <w:rFonts w:ascii="Times New Roman" w:hAnsi="Times New Roman" w:eastAsia="宋体"/>
                <w:b w:val="0"/>
                <w:sz w:val="19"/>
              </w:rPr>
              <w:t>全样本三组累计收益</w:t>
            </w:r>
          </w:p>
        </w:tc>
        <w:tc>
          <w:tcPr>
            <w:tcW w:type="dxa" w:w="3173"/>
          </w:tcPr>
          <w:p>
            <w:pPr>
              <w:jc w:val="center"/>
            </w:pPr>
            <w:r/>
            <w:r>
              <w:rPr>
                <w:rFonts w:ascii="Times New Roman" w:hAnsi="Times New Roman" w:eastAsia="宋体"/>
                <w:b w:val="0"/>
                <w:sz w:val="19"/>
              </w:rPr>
              <w:t>报告表 3 · 正文 4.3</w:t>
            </w:r>
          </w:p>
        </w:tc>
      </w:tr>
      <w:tr>
        <w:tc>
          <w:tcPr>
            <w:tcW w:type="dxa" w:w="3173"/>
          </w:tcPr>
          <w:p>
            <w:pPr>
              <w:jc w:val="left"/>
            </w:pPr>
            <w:r/>
            <w:r>
              <w:rPr>
                <w:rFonts w:ascii="Times New Roman" w:hAnsi="Times New Roman" w:eastAsia="宋体"/>
                <w:b w:val="0"/>
                <w:sz w:val="19"/>
              </w:rPr>
              <w:t>-12.4% / -9.3%</w:t>
            </w:r>
          </w:p>
        </w:tc>
        <w:tc>
          <w:tcPr>
            <w:tcW w:type="dxa" w:w="3173"/>
          </w:tcPr>
          <w:p>
            <w:pPr>
              <w:jc w:val="left"/>
            </w:pPr>
            <w:r/>
            <w:r>
              <w:rPr>
                <w:rFonts w:ascii="Times New Roman" w:hAnsi="Times New Roman" w:eastAsia="宋体"/>
                <w:b w:val="0"/>
                <w:sz w:val="19"/>
              </w:rPr>
              <w:t>全样本最大回撤</w:t>
            </w:r>
          </w:p>
        </w:tc>
        <w:tc>
          <w:tcPr>
            <w:tcW w:type="dxa" w:w="3173"/>
          </w:tcPr>
          <w:p>
            <w:pPr>
              <w:jc w:val="center"/>
            </w:pPr>
            <w:r/>
            <w:r>
              <w:rPr>
                <w:rFonts w:ascii="Times New Roman" w:hAnsi="Times New Roman" w:eastAsia="宋体"/>
                <w:b w:val="0"/>
                <w:sz w:val="19"/>
              </w:rPr>
              <w:t>报告表 3</w:t>
            </w:r>
          </w:p>
        </w:tc>
      </w:tr>
      <w:tr>
        <w:tc>
          <w:tcPr>
            <w:tcW w:type="dxa" w:w="3173"/>
          </w:tcPr>
          <w:p>
            <w:pPr>
              <w:jc w:val="left"/>
            </w:pPr>
            <w:r/>
            <w:r>
              <w:rPr>
                <w:rFonts w:ascii="Times New Roman" w:hAnsi="Times New Roman" w:eastAsia="宋体"/>
                <w:b w:val="0"/>
                <w:sz w:val="19"/>
              </w:rPr>
              <w:t>8.8% / 4.3%</w:t>
            </w:r>
          </w:p>
        </w:tc>
        <w:tc>
          <w:tcPr>
            <w:tcW w:type="dxa" w:w="3173"/>
          </w:tcPr>
          <w:p>
            <w:pPr>
              <w:jc w:val="left"/>
            </w:pPr>
            <w:r/>
            <w:r>
              <w:rPr>
                <w:rFonts w:ascii="Times New Roman" w:hAnsi="Times New Roman" w:eastAsia="宋体"/>
                <w:b w:val="0"/>
                <w:sz w:val="19"/>
              </w:rPr>
              <w:t>年化成本拖累</w:t>
            </w:r>
          </w:p>
        </w:tc>
        <w:tc>
          <w:tcPr>
            <w:tcW w:type="dxa" w:w="3173"/>
          </w:tcPr>
          <w:p>
            <w:pPr>
              <w:jc w:val="center"/>
            </w:pPr>
            <w:r/>
            <w:r>
              <w:rPr>
                <w:rFonts w:ascii="Times New Roman" w:hAnsi="Times New Roman" w:eastAsia="宋体"/>
                <w:b w:val="0"/>
                <w:sz w:val="19"/>
              </w:rPr>
              <w:t>报告表 3 · 正文 4.3</w:t>
            </w:r>
          </w:p>
        </w:tc>
      </w:tr>
      <w:tr>
        <w:tc>
          <w:tcPr>
            <w:tcW w:type="dxa" w:w="3173"/>
          </w:tcPr>
          <w:p>
            <w:pPr>
              <w:jc w:val="left"/>
            </w:pPr>
            <w:r/>
            <w:r>
              <w:rPr>
                <w:rFonts w:ascii="Times New Roman" w:hAnsi="Times New Roman" w:eastAsia="宋体"/>
                <w:b w:val="0"/>
                <w:sz w:val="19"/>
              </w:rPr>
              <w:t>41.3% / 13.5%</w:t>
            </w:r>
          </w:p>
        </w:tc>
        <w:tc>
          <w:tcPr>
            <w:tcW w:type="dxa" w:w="3173"/>
          </w:tcPr>
          <w:p>
            <w:pPr>
              <w:jc w:val="left"/>
            </w:pPr>
            <w:r/>
            <w:r>
              <w:rPr>
                <w:rFonts w:ascii="Times New Roman" w:hAnsi="Times New Roman" w:eastAsia="宋体"/>
                <w:b w:val="0"/>
                <w:sz w:val="19"/>
              </w:rPr>
              <w:t>样本外年化收益</w:t>
            </w:r>
          </w:p>
        </w:tc>
        <w:tc>
          <w:tcPr>
            <w:tcW w:type="dxa" w:w="3173"/>
          </w:tcPr>
          <w:p>
            <w:pPr>
              <w:jc w:val="center"/>
            </w:pPr>
            <w:r/>
            <w:r>
              <w:rPr>
                <w:rFonts w:ascii="Times New Roman" w:hAnsi="Times New Roman" w:eastAsia="宋体"/>
                <w:b w:val="0"/>
                <w:sz w:val="19"/>
              </w:rPr>
              <w:t>报告 4.3 · 正文 4.4</w:t>
            </w:r>
          </w:p>
        </w:tc>
      </w:tr>
      <w:tr>
        <w:tc>
          <w:tcPr>
            <w:tcW w:type="dxa" w:w="3173"/>
          </w:tcPr>
          <w:p>
            <w:pPr>
              <w:jc w:val="left"/>
            </w:pPr>
            <w:r/>
            <w:r>
              <w:rPr>
                <w:rFonts w:ascii="Times New Roman" w:hAnsi="Times New Roman" w:eastAsia="宋体"/>
                <w:b w:val="0"/>
                <w:sz w:val="19"/>
              </w:rPr>
              <w:t>-15.9% → -12.3%</w:t>
            </w:r>
          </w:p>
        </w:tc>
        <w:tc>
          <w:tcPr>
            <w:tcW w:type="dxa" w:w="3173"/>
          </w:tcPr>
          <w:p>
            <w:pPr>
              <w:jc w:val="left"/>
            </w:pPr>
            <w:r/>
            <w:r>
              <w:rPr>
                <w:rFonts w:ascii="Times New Roman" w:hAnsi="Times New Roman" w:eastAsia="宋体"/>
                <w:b w:val="0"/>
                <w:sz w:val="19"/>
              </w:rPr>
              <w:t>反事实：1/2 凯利回撤</w:t>
            </w:r>
          </w:p>
        </w:tc>
        <w:tc>
          <w:tcPr>
            <w:tcW w:type="dxa" w:w="3173"/>
          </w:tcPr>
          <w:p>
            <w:pPr>
              <w:jc w:val="center"/>
            </w:pPr>
            <w:r/>
            <w:r>
              <w:rPr>
                <w:rFonts w:ascii="Times New Roman" w:hAnsi="Times New Roman" w:eastAsia="宋体"/>
                <w:b w:val="0"/>
                <w:sz w:val="19"/>
              </w:rPr>
              <w:t>报告表 4 · 正文 4.5</w:t>
            </w:r>
          </w:p>
        </w:tc>
      </w:tr>
      <w:tr>
        <w:tc>
          <w:tcPr>
            <w:tcW w:type="dxa" w:w="3173"/>
          </w:tcPr>
          <w:p>
            <w:pPr>
              <w:jc w:val="left"/>
            </w:pPr>
            <w:r/>
            <w:r>
              <w:rPr>
                <w:rFonts w:ascii="Times New Roman" w:hAnsi="Times New Roman" w:eastAsia="宋体"/>
                <w:b w:val="0"/>
                <w:sz w:val="19"/>
              </w:rPr>
              <w:t>0.871 / 53.95%</w:t>
            </w:r>
          </w:p>
        </w:tc>
        <w:tc>
          <w:tcPr>
            <w:tcW w:type="dxa" w:w="3173"/>
          </w:tcPr>
          <w:p>
            <w:pPr>
              <w:jc w:val="left"/>
            </w:pPr>
            <w:r/>
            <w:r>
              <w:rPr>
                <w:rFonts w:ascii="Times New Roman" w:hAnsi="Times New Roman" w:eastAsia="宋体"/>
                <w:b w:val="0"/>
                <w:sz w:val="19"/>
              </w:rPr>
              <w:t>置信度均值 / 命中率</w:t>
            </w:r>
          </w:p>
        </w:tc>
        <w:tc>
          <w:tcPr>
            <w:tcW w:type="dxa" w:w="3173"/>
          </w:tcPr>
          <w:p>
            <w:pPr>
              <w:jc w:val="center"/>
            </w:pPr>
            <w:r/>
            <w:r>
              <w:rPr>
                <w:rFonts w:ascii="Times New Roman" w:hAnsi="Times New Roman" w:eastAsia="宋体"/>
                <w:b w:val="0"/>
                <w:sz w:val="19"/>
              </w:rPr>
              <w:t>报告 4.1 · 表 2</w:t>
            </w:r>
          </w:p>
        </w:tc>
      </w:tr>
      <w:tr>
        <w:tc>
          <w:tcPr>
            <w:tcW w:type="dxa" w:w="3173"/>
          </w:tcPr>
          <w:p>
            <w:pPr>
              <w:jc w:val="left"/>
            </w:pPr>
            <w:r/>
            <w:r>
              <w:rPr>
                <w:rFonts w:ascii="Times New Roman" w:hAnsi="Times New Roman" w:eastAsia="宋体"/>
                <w:b w:val="0"/>
                <w:sz w:val="19"/>
              </w:rPr>
              <w:t>10bp 排序反转</w:t>
            </w:r>
          </w:p>
        </w:tc>
        <w:tc>
          <w:tcPr>
            <w:tcW w:type="dxa" w:w="3173"/>
          </w:tcPr>
          <w:p>
            <w:pPr>
              <w:jc w:val="left"/>
            </w:pPr>
            <w:r/>
            <w:r>
              <w:rPr>
                <w:rFonts w:ascii="Times New Roman" w:hAnsi="Times New Roman" w:eastAsia="宋体"/>
                <w:b w:val="0"/>
                <w:sz w:val="19"/>
              </w:rPr>
              <w:t>C 夏普 0.32 反超 A 0.19 B 0.15</w:t>
            </w:r>
          </w:p>
        </w:tc>
        <w:tc>
          <w:tcPr>
            <w:tcW w:type="dxa" w:w="3173"/>
          </w:tcPr>
          <w:p>
            <w:pPr>
              <w:jc w:val="center"/>
            </w:pPr>
            <w:r/>
            <w:r>
              <w:rPr>
                <w:rFonts w:ascii="Times New Roman" w:hAnsi="Times New Roman" w:eastAsia="宋体"/>
                <w:b w:val="0"/>
                <w:sz w:val="19"/>
              </w:rPr>
              <w:t>报告表 5 · 正文 4.7.1</w:t>
            </w:r>
          </w:p>
        </w:tc>
      </w:tr>
      <w:tr>
        <w:tc>
          <w:tcPr>
            <w:tcW w:type="dxa" w:w="3173"/>
          </w:tcPr>
          <w:p>
            <w:pPr>
              <w:jc w:val="left"/>
            </w:pPr>
            <w:r/>
            <w:r>
              <w:rPr>
                <w:rFonts w:ascii="Times New Roman" w:hAnsi="Times New Roman" w:eastAsia="宋体"/>
                <w:b w:val="0"/>
                <w:sz w:val="19"/>
              </w:rPr>
              <w:t>0.221 → 0.089</w:t>
            </w:r>
          </w:p>
        </w:tc>
        <w:tc>
          <w:tcPr>
            <w:tcW w:type="dxa" w:w="3173"/>
          </w:tcPr>
          <w:p>
            <w:pPr>
              <w:jc w:val="left"/>
            </w:pPr>
            <w:r/>
            <w:r>
              <w:rPr>
                <w:rFonts w:ascii="Times New Roman" w:hAnsi="Times New Roman" w:eastAsia="宋体"/>
                <w:b w:val="0"/>
                <w:sz w:val="19"/>
              </w:rPr>
              <w:t>再校准前后校准误差</w:t>
            </w:r>
          </w:p>
        </w:tc>
        <w:tc>
          <w:tcPr>
            <w:tcW w:type="dxa" w:w="3173"/>
          </w:tcPr>
          <w:p>
            <w:pPr>
              <w:jc w:val="center"/>
            </w:pPr>
            <w:r/>
            <w:r>
              <w:rPr>
                <w:rFonts w:ascii="Times New Roman" w:hAnsi="Times New Roman" w:eastAsia="宋体"/>
                <w:b w:val="0"/>
                <w:sz w:val="19"/>
              </w:rPr>
              <w:t>报告表 6 · 正文 4.7.2</w:t>
            </w:r>
          </w:p>
        </w:tc>
      </w:tr>
      <w:tr>
        <w:tc>
          <w:tcPr>
            <w:tcW w:type="dxa" w:w="3173"/>
          </w:tcPr>
          <w:p>
            <w:pPr>
              <w:jc w:val="left"/>
            </w:pPr>
            <w:r/>
            <w:r>
              <w:rPr>
                <w:rFonts w:ascii="Times New Roman" w:hAnsi="Times New Roman" w:eastAsia="宋体"/>
                <w:b w:val="0"/>
                <w:sz w:val="19"/>
              </w:rPr>
              <w:t>53.95% → 49.8%</w:t>
            </w:r>
          </w:p>
        </w:tc>
        <w:tc>
          <w:tcPr>
            <w:tcW w:type="dxa" w:w="3173"/>
          </w:tcPr>
          <w:p>
            <w:pPr>
              <w:jc w:val="left"/>
            </w:pPr>
            <w:r/>
            <w:r>
              <w:rPr>
                <w:rFonts w:ascii="Times New Roman" w:hAnsi="Times New Roman" w:eastAsia="宋体"/>
                <w:b w:val="0"/>
                <w:sz w:val="19"/>
              </w:rPr>
              <w:t>信号衰减 t+1 → t+3</w:t>
            </w:r>
          </w:p>
        </w:tc>
        <w:tc>
          <w:tcPr>
            <w:tcW w:type="dxa" w:w="3173"/>
          </w:tcPr>
          <w:p>
            <w:pPr>
              <w:jc w:val="center"/>
            </w:pPr>
            <w:r/>
            <w:r>
              <w:rPr>
                <w:rFonts w:ascii="Times New Roman" w:hAnsi="Times New Roman" w:eastAsia="宋体"/>
                <w:b w:val="0"/>
                <w:sz w:val="19"/>
              </w:rPr>
              <w:t>报告 5.3 · 正文 4.8</w:t>
            </w:r>
          </w:p>
        </w:tc>
      </w:tr>
      <w:tr>
        <w:tc>
          <w:tcPr>
            <w:tcW w:type="dxa" w:w="3173"/>
          </w:tcPr>
          <w:p>
            <w:pPr>
              <w:jc w:val="left"/>
            </w:pPr>
            <w:r/>
            <w:r>
              <w:rPr>
                <w:rFonts w:ascii="Times New Roman" w:hAnsi="Times New Roman" w:eastAsia="宋体"/>
                <w:b w:val="0"/>
                <w:sz w:val="19"/>
              </w:rPr>
              <w:t>IC 0.062 / ICIR 0.249</w:t>
            </w:r>
          </w:p>
        </w:tc>
        <w:tc>
          <w:tcPr>
            <w:tcW w:type="dxa" w:w="3173"/>
          </w:tcPr>
          <w:p>
            <w:pPr>
              <w:jc w:val="left"/>
            </w:pPr>
            <w:r/>
            <w:r>
              <w:rPr>
                <w:rFonts w:ascii="Times New Roman" w:hAnsi="Times New Roman" w:eastAsia="宋体"/>
                <w:b w:val="0"/>
                <w:sz w:val="19"/>
              </w:rPr>
              <w:t>因子化诊断</w:t>
            </w:r>
          </w:p>
        </w:tc>
        <w:tc>
          <w:tcPr>
            <w:tcW w:type="dxa" w:w="3173"/>
          </w:tcPr>
          <w:p>
            <w:pPr>
              <w:jc w:val="center"/>
            </w:pPr>
            <w:r/>
            <w:r>
              <w:rPr>
                <w:rFonts w:ascii="Times New Roman" w:hAnsi="Times New Roman" w:eastAsia="宋体"/>
                <w:b w:val="0"/>
                <w:sz w:val="19"/>
              </w:rPr>
              <w:t>报告 4.1 · 正文 4.9</w:t>
            </w:r>
          </w:p>
        </w:tc>
      </w:tr>
      <w:tr>
        <w:tc>
          <w:tcPr>
            <w:tcW w:type="dxa" w:w="3173"/>
          </w:tcPr>
          <w:p>
            <w:pPr>
              <w:jc w:val="left"/>
            </w:pPr>
            <w:r/>
            <w:r>
              <w:rPr>
                <w:rFonts w:ascii="Times New Roman" w:hAnsi="Times New Roman" w:eastAsia="宋体"/>
                <w:b w:val="0"/>
                <w:sz w:val="19"/>
              </w:rPr>
              <w:t>43.8% / -7.3% / 1.46</w:t>
            </w:r>
          </w:p>
        </w:tc>
        <w:tc>
          <w:tcPr>
            <w:tcW w:type="dxa" w:w="3173"/>
          </w:tcPr>
          <w:p>
            <w:pPr>
              <w:jc w:val="left"/>
            </w:pPr>
            <w:r/>
            <w:r>
              <w:rPr>
                <w:rFonts w:ascii="Times New Roman" w:hAnsi="Times New Roman" w:eastAsia="宋体"/>
                <w:b w:val="0"/>
                <w:sz w:val="19"/>
              </w:rPr>
              <w:t>敞口匹配基准 S 组</w:t>
            </w:r>
          </w:p>
        </w:tc>
        <w:tc>
          <w:tcPr>
            <w:tcW w:type="dxa" w:w="3173"/>
          </w:tcPr>
          <w:p>
            <w:pPr>
              <w:jc w:val="center"/>
            </w:pPr>
            <w:r/>
            <w:r>
              <w:rPr>
                <w:rFonts w:ascii="Times New Roman" w:hAnsi="Times New Roman" w:eastAsia="宋体"/>
                <w:b w:val="0"/>
                <w:sz w:val="19"/>
              </w:rPr>
              <w:t>报告表 7 · 正文 4.10</w:t>
            </w:r>
          </w:p>
        </w:tc>
      </w:tr>
      <w:tr>
        <w:tc>
          <w:tcPr>
            <w:tcW w:type="dxa" w:w="3173"/>
          </w:tcPr>
          <w:p>
            <w:pPr>
              <w:jc w:val="left"/>
            </w:pPr>
            <w:r/>
            <w:r>
              <w:rPr>
                <w:rFonts w:ascii="Times New Roman" w:hAnsi="Times New Roman" w:eastAsia="宋体"/>
                <w:b w:val="0"/>
                <w:sz w:val="19"/>
              </w:rPr>
              <w:t>15.0% / 0.88</w:t>
            </w:r>
          </w:p>
        </w:tc>
        <w:tc>
          <w:tcPr>
            <w:tcW w:type="dxa" w:w="3173"/>
          </w:tcPr>
          <w:p>
            <w:pPr>
              <w:jc w:val="left"/>
            </w:pPr>
            <w:r/>
            <w:r>
              <w:rPr>
                <w:rFonts w:ascii="Times New Roman" w:hAnsi="Times New Roman" w:eastAsia="宋体"/>
                <w:b w:val="0"/>
                <w:sz w:val="19"/>
              </w:rPr>
              <w:t>凸性冲击 C 组</w:t>
            </w:r>
          </w:p>
        </w:tc>
        <w:tc>
          <w:tcPr>
            <w:tcW w:type="dxa" w:w="3173"/>
          </w:tcPr>
          <w:p>
            <w:pPr>
              <w:jc w:val="center"/>
            </w:pPr>
            <w:r/>
            <w:r>
              <w:rPr>
                <w:rFonts w:ascii="Times New Roman" w:hAnsi="Times New Roman" w:eastAsia="宋体"/>
                <w:b w:val="0"/>
                <w:sz w:val="19"/>
              </w:rPr>
              <w:t>报告表 8 · 正文 4.11</w:t>
            </w:r>
          </w:p>
        </w:tc>
      </w:tr>
      <w:tr>
        <w:tc>
          <w:tcPr>
            <w:tcW w:type="dxa" w:w="3173"/>
          </w:tcPr>
          <w:p>
            <w:pPr>
              <w:jc w:val="left"/>
            </w:pPr>
            <w:r/>
            <w:r>
              <w:rPr>
                <w:rFonts w:ascii="Times New Roman" w:hAnsi="Times New Roman" w:eastAsia="宋体"/>
                <w:b w:val="0"/>
                <w:sz w:val="19"/>
              </w:rPr>
              <w:t>26.7% / -8.8% / 1.78</w:t>
            </w:r>
          </w:p>
        </w:tc>
        <w:tc>
          <w:tcPr>
            <w:tcW w:type="dxa" w:w="3173"/>
          </w:tcPr>
          <w:p>
            <w:pPr>
              <w:jc w:val="left"/>
            </w:pPr>
            <w:r/>
            <w:r>
              <w:rPr>
                <w:rFonts w:ascii="Times New Roman" w:hAnsi="Times New Roman" w:eastAsia="宋体"/>
                <w:b w:val="0"/>
                <w:sz w:val="19"/>
              </w:rPr>
              <w:t>真实动量信号 C 组</w:t>
            </w:r>
          </w:p>
        </w:tc>
        <w:tc>
          <w:tcPr>
            <w:tcW w:type="dxa" w:w="3173"/>
          </w:tcPr>
          <w:p>
            <w:pPr>
              <w:jc w:val="center"/>
            </w:pPr>
            <w:r/>
            <w:r>
              <w:rPr>
                <w:rFonts w:ascii="Times New Roman" w:hAnsi="Times New Roman" w:eastAsia="宋体"/>
                <w:b w:val="0"/>
                <w:sz w:val="19"/>
              </w:rPr>
              <w:t>报告 5.5 · 正文 4.11</w:t>
            </w:r>
          </w:p>
        </w:tc>
      </w:tr>
      <w:tr>
        <w:tc>
          <w:tcPr>
            <w:tcW w:type="dxa" w:w="3173"/>
          </w:tcPr>
          <w:p>
            <w:pPr>
              <w:jc w:val="left"/>
            </w:pPr>
            <w:r/>
            <w:r>
              <w:rPr>
                <w:rFonts w:ascii="Times New Roman" w:hAnsi="Times New Roman" w:eastAsia="宋体"/>
                <w:b w:val="0"/>
                <w:sz w:val="19"/>
              </w:rPr>
              <w:t>20261029</w:t>
            </w:r>
          </w:p>
        </w:tc>
        <w:tc>
          <w:tcPr>
            <w:tcW w:type="dxa" w:w="3173"/>
          </w:tcPr>
          <w:p>
            <w:pPr>
              <w:jc w:val="left"/>
            </w:pPr>
            <w:r/>
            <w:r>
              <w:rPr>
                <w:rFonts w:ascii="Times New Roman" w:hAnsi="Times New Roman" w:eastAsia="宋体"/>
                <w:b w:val="0"/>
                <w:sz w:val="19"/>
              </w:rPr>
              <w:t>随机种子</w:t>
            </w:r>
          </w:p>
        </w:tc>
        <w:tc>
          <w:tcPr>
            <w:tcW w:type="dxa" w:w="3173"/>
          </w:tcPr>
          <w:p>
            <w:pPr>
              <w:jc w:val="center"/>
            </w:pPr>
            <w:r/>
            <w:r>
              <w:rPr>
                <w:rFonts w:ascii="Times New Roman" w:hAnsi="Times New Roman" w:eastAsia="宋体"/>
                <w:b w:val="0"/>
                <w:sz w:val="19"/>
              </w:rPr>
              <w:t>正文附录</w:t>
            </w:r>
          </w:p>
        </w:tc>
      </w:tr>
      <w:tr>
        <w:tc>
          <w:tcPr>
            <w:tcW w:type="dxa" w:w="3173"/>
          </w:tcPr>
          <w:p>
            <w:pPr>
              <w:jc w:val="left"/>
            </w:pPr>
            <w:r/>
            <w:r>
              <w:rPr>
                <w:rFonts w:ascii="Times New Roman" w:hAnsi="Times New Roman" w:eastAsia="宋体"/>
                <w:b w:val="0"/>
                <w:sz w:val="19"/>
              </w:rPr>
              <w:t>vx_verify 24/24</w:t>
            </w:r>
          </w:p>
        </w:tc>
        <w:tc>
          <w:tcPr>
            <w:tcW w:type="dxa" w:w="3173"/>
          </w:tcPr>
          <w:p>
            <w:pPr>
              <w:jc w:val="left"/>
            </w:pPr>
            <w:r/>
            <w:r>
              <w:rPr>
                <w:rFonts w:ascii="Times New Roman" w:hAnsi="Times New Roman" w:eastAsia="宋体"/>
                <w:b w:val="0"/>
                <w:sz w:val="19"/>
              </w:rPr>
              <w:t>一键自检通过率</w:t>
            </w:r>
          </w:p>
        </w:tc>
        <w:tc>
          <w:tcPr>
            <w:tcW w:type="dxa" w:w="3173"/>
          </w:tcPr>
          <w:p>
            <w:pPr>
              <w:jc w:val="center"/>
            </w:pPr>
            <w:r/>
            <w:r>
              <w:rPr>
                <w:rFonts w:ascii="Times New Roman" w:hAnsi="Times New Roman" w:eastAsia="宋体"/>
                <w:b w:val="0"/>
                <w:sz w:val="19"/>
              </w:rPr>
              <w:t>results/manifest.json</w:t>
            </w:r>
          </w:p>
        </w:tc>
      </w:tr>
    </w:tbl>
    <w:p>
      <w:pPr>
        <w:spacing w:before="280" w:after="120"/>
        <w:pBdr>
          <w:bottom w:val="single" w:sz="10" w:color="0F172A"/>
        </w:pBdr>
      </w:pPr>
      <w:r>
        <w:rPr>
          <w:rFonts w:ascii="Times New Roman" w:hAnsi="Times New Roman" w:eastAsia="黑体"/>
          <w:b/>
          <w:color w:val="0F172A"/>
          <w:sz w:val="28"/>
        </w:rPr>
        <w:t>教学价值与创新点</w:t>
      </w:r>
    </w:p>
    <w:p>
      <w:pPr>
        <w:spacing w:after="0" w:line="336" w:lineRule="auto"/>
        <w:ind w:firstLine="480"/>
      </w:pPr>
      <w:r>
        <w:rPr>
          <w:rFonts w:ascii="Times New Roman" w:hAnsi="Times New Roman" w:eastAsia="宋体"/>
          <w:b w:val="0"/>
          <w:sz w:val="24"/>
        </w:rPr>
        <w:t>这个案例最突出的教学价值，不是它算出了什么数字，而是它让学生在零真实资金风险的条件下走完了一遍完整的投资决策链——从信号诊断到规则设计，从回测验证到反事实分析，从成本核算到置信度治理。这个过程中，学生要面对的不是标准答案，而是开放的设计空间：干预规则可以自己定，凯利缩放可以自己选，甚至信号本身也可以替换。实验结果不唯一，但每一步都必须可验证、可复核、可追溯。</w:t>
      </w:r>
    </w:p>
    <w:p>
      <w:pPr>
        <w:spacing w:after="0" w:line="336" w:lineRule="auto"/>
        <w:ind w:firstLine="480"/>
      </w:pPr>
      <w:r>
        <w:rPr>
          <w:rFonts w:ascii="Times New Roman" w:hAnsi="Times New Roman" w:eastAsia="宋体"/>
          <w:b w:val="0"/>
          <w:sz w:val="24"/>
        </w:rPr>
        <w:t>六项创新——真实数据沙盘、置信度校准进课堂、反事实检验进课堂、开放干预设计、全链条可复现、敞口匹配自我证伪——不是我们自我标榜的标签，而是可以逐条核查的事实。其中第六项（敞口匹配自我证伪）尤其值得注意：我们主动构造了一个基准来挑战自己的结论，结果发现初步判断确实需要修正。这种“用数据推翻自己然后修正”的做法，本身就是本案例想要传递给学生的核心素养。</w:t>
      </w:r>
    </w:p>
    <w:p>
      <w:pPr>
        <w:spacing w:before="280" w:after="120"/>
        <w:pBdr>
          <w:bottom w:val="single" w:sz="10" w:color="0F172A"/>
        </w:pBdr>
      </w:pPr>
      <w:r>
        <w:rPr>
          <w:rFonts w:ascii="Times New Roman" w:hAnsi="Times New Roman" w:eastAsia="黑体"/>
          <w:b/>
          <w:color w:val="0F172A"/>
          <w:sz w:val="28"/>
        </w:rPr>
        <w:t>仍保留的局限（逐条披露）</w:t>
      </w:r>
    </w:p>
    <w:p>
      <w:pPr>
        <w:spacing w:after="0" w:line="336" w:lineRule="auto"/>
        <w:ind w:firstLine="480"/>
      </w:pPr>
      <w:r>
        <w:rPr>
          <w:rFonts w:ascii="Times New Roman" w:hAnsi="Times New Roman" w:eastAsia="宋体"/>
          <w:b w:val="0"/>
          <w:sz w:val="24"/>
        </w:rPr>
        <w:t>五项检验消化了初稿的六条局限中的三条。以下三条仍然存在，我们如实列出，请评审据此界定结论的适用边界。</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pPr>
              <w:jc w:val="center"/>
            </w:pPr>
            <w:r/>
            <w:r>
              <w:rPr>
                <w:rFonts w:ascii="Times New Roman" w:hAnsi="Times New Roman" w:eastAsia="黑体"/>
                <w:b/>
                <w:color w:val="0F172A"/>
                <w:sz w:val="19"/>
              </w:rPr>
              <w:t>局限</w:t>
            </w:r>
          </w:p>
        </w:tc>
        <w:tc>
          <w:tcPr>
            <w:tcW w:type="dxa" w:w="3173"/>
          </w:tcPr>
          <w:p>
            <w:pPr>
              <w:jc w:val="center"/>
            </w:pPr>
            <w:r/>
            <w:r>
              <w:rPr>
                <w:rFonts w:ascii="Times New Roman" w:hAnsi="Times New Roman" w:eastAsia="黑体"/>
                <w:b/>
                <w:color w:val="0F172A"/>
                <w:sz w:val="19"/>
              </w:rPr>
              <w:t>影响</w:t>
            </w:r>
          </w:p>
        </w:tc>
        <w:tc>
          <w:tcPr>
            <w:tcW w:type="dxa" w:w="3173"/>
          </w:tcPr>
          <w:p>
            <w:pPr>
              <w:jc w:val="center"/>
            </w:pPr>
            <w:r/>
            <w:r>
              <w:rPr>
                <w:rFonts w:ascii="Times New Roman" w:hAnsi="Times New Roman" w:eastAsia="黑体"/>
                <w:b/>
                <w:color w:val="0F172A"/>
                <w:sz w:val="19"/>
              </w:rPr>
              <w:t>处理</w:t>
            </w:r>
          </w:p>
        </w:tc>
      </w:tr>
      <w:tr>
        <w:tc>
          <w:tcPr>
            <w:tcW w:type="dxa" w:w="3173"/>
          </w:tcPr>
          <w:p>
            <w:pPr>
              <w:jc w:val="left"/>
            </w:pPr>
            <w:r/>
            <w:r>
              <w:rPr>
                <w:rFonts w:ascii="Times New Roman" w:hAnsi="Times New Roman" w:eastAsia="宋体"/>
                <w:b w:val="0"/>
                <w:sz w:val="19"/>
              </w:rPr>
              <w:t>真实大模型信号未接入（当前为透明模拟信号）</w:t>
            </w:r>
          </w:p>
        </w:tc>
        <w:tc>
          <w:tcPr>
            <w:tcW w:type="dxa" w:w="3173"/>
          </w:tcPr>
          <w:p>
            <w:pPr>
              <w:jc w:val="left"/>
            </w:pPr>
            <w:r/>
            <w:r>
              <w:rPr>
                <w:rFonts w:ascii="Times New Roman" w:hAnsi="Times New Roman" w:eastAsia="宋体"/>
                <w:b w:val="0"/>
                <w:sz w:val="19"/>
              </w:rPr>
              <w:t>结论回答的是“已知质量的信号如何变成仓位”，不等于某具体大模型的实证</w:t>
            </w:r>
          </w:p>
        </w:tc>
        <w:tc>
          <w:tcPr>
            <w:tcW w:type="dxa" w:w="3173"/>
          </w:tcPr>
          <w:p>
            <w:pPr>
              <w:jc w:val="center"/>
            </w:pPr>
            <w:r/>
            <w:r>
              <w:rPr>
                <w:rFonts w:ascii="Times New Roman" w:hAnsi="Times New Roman" w:eastAsia="宋体"/>
                <w:b w:val="0"/>
                <w:sz w:val="19"/>
              </w:rPr>
              <w:t>已用 20 日动量真实信号替换验证，框架成立；大模型接入为开放任务</w:t>
            </w:r>
          </w:p>
        </w:tc>
      </w:tr>
      <w:tr>
        <w:tc>
          <w:tcPr>
            <w:tcW w:type="dxa" w:w="3173"/>
          </w:tcPr>
          <w:p>
            <w:pPr>
              <w:jc w:val="left"/>
            </w:pPr>
            <w:r/>
            <w:r>
              <w:rPr>
                <w:rFonts w:ascii="Times New Roman" w:hAnsi="Times New Roman" w:eastAsia="宋体"/>
                <w:b w:val="0"/>
                <w:sz w:val="19"/>
              </w:rPr>
              <w:t>28 只当前成分股、410 个交易日</w:t>
            </w:r>
          </w:p>
        </w:tc>
        <w:tc>
          <w:tcPr>
            <w:tcW w:type="dxa" w:w="3173"/>
          </w:tcPr>
          <w:p>
            <w:pPr>
              <w:jc w:val="left"/>
            </w:pPr>
            <w:r/>
            <w:r>
              <w:rPr>
                <w:rFonts w:ascii="Times New Roman" w:hAnsi="Times New Roman" w:eastAsia="宋体"/>
                <w:b w:val="0"/>
                <w:sz w:val="19"/>
              </w:rPr>
              <w:t>收益数值受区间和成分结构影响</w:t>
            </w:r>
          </w:p>
        </w:tc>
        <w:tc>
          <w:tcPr>
            <w:tcW w:type="dxa" w:w="3173"/>
          </w:tcPr>
          <w:p>
            <w:pPr>
              <w:jc w:val="center"/>
            </w:pPr>
            <w:r/>
            <w:r>
              <w:rPr>
                <w:rFonts w:ascii="Times New Roman" w:hAnsi="Times New Roman" w:eastAsia="宋体"/>
                <w:b w:val="0"/>
                <w:sz w:val="19"/>
              </w:rPr>
              <w:t>已做三等分子区间检验和自助法置信区间；成分偏差和完整牛熊覆盖未解决</w:t>
            </w:r>
          </w:p>
        </w:tc>
      </w:tr>
      <w:tr>
        <w:tc>
          <w:tcPr>
            <w:tcW w:type="dxa" w:w="3173"/>
          </w:tcPr>
          <w:p>
            <w:pPr>
              <w:jc w:val="left"/>
            </w:pPr>
            <w:r/>
            <w:r>
              <w:rPr>
                <w:rFonts w:ascii="Times New Roman" w:hAnsi="Times New Roman" w:eastAsia="宋体"/>
                <w:b w:val="0"/>
                <w:sz w:val="19"/>
              </w:rPr>
              <w:t>极端流动性枯竭与涨跌停摩擦未建模</w:t>
            </w:r>
          </w:p>
        </w:tc>
        <w:tc>
          <w:tcPr>
            <w:tcW w:type="dxa" w:w="3173"/>
          </w:tcPr>
          <w:p>
            <w:pPr>
              <w:jc w:val="left"/>
            </w:pPr>
            <w:r/>
            <w:r>
              <w:rPr>
                <w:rFonts w:ascii="Times New Roman" w:hAnsi="Times New Roman" w:eastAsia="宋体"/>
                <w:b w:val="0"/>
                <w:sz w:val="19"/>
              </w:rPr>
              <w:t>极端行情下执行摩擦被低估</w:t>
            </w:r>
          </w:p>
        </w:tc>
        <w:tc>
          <w:tcPr>
            <w:tcW w:type="dxa" w:w="3173"/>
          </w:tcPr>
          <w:p>
            <w:pPr>
              <w:jc w:val="center"/>
            </w:pPr>
            <w:r/>
            <w:r>
              <w:rPr>
                <w:rFonts w:ascii="Times New Roman" w:hAnsi="Times New Roman" w:eastAsia="宋体"/>
                <w:b w:val="0"/>
                <w:sz w:val="19"/>
              </w:rPr>
              <w:t>已做 7bp 滑点和凸性冲击情景；流动性瞬间消失未建模</w:t>
            </w:r>
          </w:p>
        </w:tc>
      </w:tr>
    </w:tbl>
    <w:p>
      <w:pPr>
        <w:spacing w:after="0" w:line="336" w:lineRule="auto"/>
        <w:ind w:firstLine="480"/>
      </w:pPr>
      <w:r>
        <w:rPr>
          <w:rFonts w:ascii="Times New Roman" w:hAnsi="Times New Roman" w:eastAsia="宋体"/>
          <w:b w:val="0"/>
          <w:sz w:val="24"/>
        </w:rPr>
        <w:t>把“未解决”写出来的原因很简单：标清楚边界，读者才知道结论用到哪里为止。把做不到的说成做到了，才是对评审的不诚实。这张表和上面的 99.9 分自评是两面——一面说做到了什么，一面说没做到什么。两张表合在一起读，才是这份作品完整的样子。</w:t>
      </w:r>
    </w:p>
    <w:p>
      <w:pPr>
        <w:spacing w:before="160"/>
      </w:pPr>
      <w:r>
        <w:rPr>
          <w:rFonts w:ascii="Times New Roman" w:hAnsi="Times New Roman" w:eastAsia="宋体"/>
          <w:b w:val="0"/>
          <w:color w:val="475569"/>
          <w:sz w:val="20"/>
        </w:rPr>
        <w:t>免责声明：本文件为教学演示文档，全部阈值与仓位参数均为统一设定的实验条件，不构成任何证券的买卖建议。</w:t>
      </w:r>
    </w:p>
    <w:sectPr w:rsidR="00FC693F" w:rsidRPr="0006063C" w:rsidSect="00034616">
      <w:footerReference w:type="default" r:id="rId9"/>
      <w:pgSz w:w="12240" w:h="15840"/>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