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54E37" w14:textId="77777777" w:rsidR="00097466" w:rsidRDefault="00097466">
      <w:pPr>
        <w:widowControl w:val="0"/>
        <w:pBdr>
          <w:top w:val="nil"/>
          <w:left w:val="nil"/>
          <w:bottom w:val="nil"/>
          <w:right w:val="nil"/>
          <w:between w:val="nil"/>
        </w:pBdr>
        <w:spacing w:before="0" w:after="0"/>
        <w:jc w:val="left"/>
        <w:rPr>
          <w:rFonts w:ascii="Arial" w:eastAsia="Arial" w:hAnsi="Arial" w:cs="Arial"/>
          <w:color w:val="000000"/>
        </w:rPr>
      </w:pPr>
    </w:p>
    <w:tbl>
      <w:tblPr>
        <w:tblStyle w:val="a"/>
        <w:tblW w:w="10490" w:type="dxa"/>
        <w:tblInd w:w="-851" w:type="dxa"/>
        <w:tblLayout w:type="fixed"/>
        <w:tblLook w:val="0000" w:firstRow="0" w:lastRow="0" w:firstColumn="0" w:lastColumn="0" w:noHBand="0" w:noVBand="0"/>
      </w:tblPr>
      <w:tblGrid>
        <w:gridCol w:w="3544"/>
        <w:gridCol w:w="6946"/>
      </w:tblGrid>
      <w:tr w:rsidR="00097466" w14:paraId="0F31E95C" w14:textId="77777777">
        <w:trPr>
          <w:trHeight w:val="4206"/>
        </w:trPr>
        <w:tc>
          <w:tcPr>
            <w:tcW w:w="10490" w:type="dxa"/>
            <w:gridSpan w:val="2"/>
            <w:shd w:val="clear" w:color="auto" w:fill="73EDFF"/>
            <w:tcMar>
              <w:top w:w="100" w:type="dxa"/>
              <w:left w:w="100" w:type="dxa"/>
              <w:bottom w:w="100" w:type="dxa"/>
              <w:right w:w="100" w:type="dxa"/>
            </w:tcMar>
          </w:tcPr>
          <w:p w14:paraId="52868F3D" w14:textId="77777777" w:rsidR="00097466" w:rsidRDefault="00000000">
            <w:pPr>
              <w:widowControl w:val="0"/>
              <w:pBdr>
                <w:top w:val="nil"/>
                <w:left w:val="nil"/>
                <w:bottom w:val="nil"/>
                <w:right w:val="nil"/>
                <w:between w:val="nil"/>
              </w:pBdr>
              <w:ind w:left="8" w:right="183" w:hanging="10"/>
              <w:jc w:val="left"/>
              <w:rPr>
                <w:color w:val="000078"/>
                <w:sz w:val="56"/>
                <w:szCs w:val="56"/>
              </w:rPr>
            </w:pPr>
            <w:bookmarkStart w:id="0" w:name="_heading=h.yb8rph44pjz6" w:colFirst="0" w:colLast="0"/>
            <w:bookmarkEnd w:id="0"/>
            <w:r>
              <w:rPr>
                <w:b/>
                <w:bCs/>
                <w:color w:val="000078"/>
                <w:sz w:val="60"/>
                <w:szCs w:val="60"/>
              </w:rPr>
              <w:t>Integración multi-</w:t>
            </w:r>
            <w:proofErr w:type="spellStart"/>
            <w:r>
              <w:rPr>
                <w:b/>
                <w:bCs/>
                <w:color w:val="000078"/>
                <w:sz w:val="60"/>
                <w:szCs w:val="60"/>
              </w:rPr>
              <w:t>ómica</w:t>
            </w:r>
            <w:proofErr w:type="spellEnd"/>
            <w:r>
              <w:rPr>
                <w:b/>
                <w:bCs/>
                <w:color w:val="000078"/>
                <w:sz w:val="60"/>
                <w:szCs w:val="60"/>
              </w:rPr>
              <w:t xml:space="preserve"> de la firma de interferón y biomarcadores séricos para caracterizar la actividad clínica en pacientes con lupus eritematoso sistémico</w:t>
            </w:r>
          </w:p>
        </w:tc>
      </w:tr>
      <w:tr w:rsidR="00097466" w14:paraId="73203168" w14:textId="77777777">
        <w:trPr>
          <w:trHeight w:val="240"/>
        </w:trPr>
        <w:tc>
          <w:tcPr>
            <w:tcW w:w="3544" w:type="dxa"/>
            <w:tcMar>
              <w:top w:w="100" w:type="dxa"/>
              <w:left w:w="100" w:type="dxa"/>
              <w:bottom w:w="100" w:type="dxa"/>
              <w:right w:w="100" w:type="dxa"/>
            </w:tcMar>
          </w:tcPr>
          <w:p w14:paraId="08D22BDE" w14:textId="77777777" w:rsidR="00097466" w:rsidRDefault="00000000">
            <w:pPr>
              <w:widowControl w:val="0"/>
              <w:pBdr>
                <w:top w:val="nil"/>
                <w:left w:val="nil"/>
                <w:bottom w:val="nil"/>
                <w:right w:val="nil"/>
                <w:between w:val="nil"/>
              </w:pBdr>
              <w:rPr>
                <w:sz w:val="12"/>
                <w:szCs w:val="12"/>
              </w:rPr>
            </w:pPr>
            <w:bookmarkStart w:id="1" w:name="_heading=h.pzy3ti4gjvkg" w:colFirst="0" w:colLast="0"/>
            <w:bookmarkEnd w:id="1"/>
            <w:r>
              <w:rPr>
                <w:noProof/>
              </w:rPr>
              <mc:AlternateContent>
                <mc:Choice Requires="wps">
                  <w:drawing>
                    <wp:anchor distT="0" distB="0" distL="114300" distR="114300" simplePos="0" relativeHeight="251658240" behindDoc="0" locked="0" layoutInCell="1" hidden="0" allowOverlap="1" wp14:anchorId="4FD8BA19" wp14:editId="486830D7">
                      <wp:simplePos x="0" y="0"/>
                      <wp:positionH relativeFrom="column">
                        <wp:posOffset>-9871</wp:posOffset>
                      </wp:positionH>
                      <wp:positionV relativeFrom="paragraph">
                        <wp:posOffset>-6884</wp:posOffset>
                      </wp:positionV>
                      <wp:extent cx="2146255" cy="5210140"/>
                      <wp:effectExtent l="0" t="0" r="0" b="0"/>
                      <wp:wrapNone/>
                      <wp:docPr id="2" name="Rectángulo 2"/>
                      <wp:cNvGraphicFramePr/>
                      <a:graphic xmlns:a="http://schemas.openxmlformats.org/drawingml/2006/main">
                        <a:graphicData uri="http://schemas.microsoft.com/office/word/2010/wordprocessingShape">
                          <wps:wsp>
                            <wps:cNvSpPr/>
                            <wps:spPr>
                              <a:xfrm>
                                <a:off x="4282398" y="1184455"/>
                                <a:ext cx="2127205" cy="5191090"/>
                              </a:xfrm>
                              <a:prstGeom prst="rect">
                                <a:avLst/>
                              </a:prstGeom>
                              <a:noFill/>
                              <a:ln>
                                <a:noFill/>
                              </a:ln>
                            </wps:spPr>
                            <wps:txbx>
                              <w:txbxContent>
                                <w:p w14:paraId="1561EE2D" w14:textId="77777777" w:rsidR="00097466" w:rsidRDefault="00097466">
                                  <w:pPr>
                                    <w:spacing w:line="275" w:lineRule="auto"/>
                                    <w:ind w:hanging="2"/>
                                    <w:jc w:val="left"/>
                                    <w:textDirection w:val="btLr"/>
                                  </w:pPr>
                                </w:p>
                              </w:txbxContent>
                            </wps:txbx>
                            <wps:bodyPr spcFirstLastPara="1" wrap="square" lIns="91425" tIns="91425" rIns="91425" bIns="91425" anchor="ctr" anchorCtr="0">
                              <a:noAutofit/>
                            </wps:bodyPr>
                          </wps:wsp>
                        </a:graphicData>
                      </a:graphic>
                    </wp:anchor>
                  </w:drawing>
                </mc:Choice>
                <mc:Fallback>
                  <w:pict>
                    <v:rect w14:anchorId="4FD8BA19" id="Rectángulo 2" o:spid="_x0000_s1026" style="position:absolute;left:0;text-align:left;margin-left:-.8pt;margin-top:-.55pt;width:169pt;height:410.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" filled="f" stroked="f">
                      <v:textbox inset="2.53958mm,2.53958mm,2.53958mm,2.53958mm">
                        <w:txbxContent>
                          <w:p w14:paraId="1561EE2D" w14:textId="77777777" w:rsidR="00097466" w:rsidRDefault="00097466">
                            <w:pPr>
                              <w:spacing w:line="275" w:lineRule="auto"/>
                              <w:ind w:hanging="2"/>
                              <w:jc w:val="left"/>
                              <w:textDirection w:val="btLr"/>
                            </w:pPr>
                          </w:p>
                        </w:txbxContent>
                      </v:textbox>
                    </v:rect>
                  </w:pict>
                </mc:Fallback>
              </mc:AlternateContent>
            </w:r>
            <w:r>
              <w:rPr>
                <w:noProof/>
              </w:rPr>
              <mc:AlternateContent>
                <mc:Choice Requires="wpg">
                  <w:drawing>
                    <wp:anchor distT="0" distB="0" distL="114300" distR="114300" simplePos="0" relativeHeight="251659264" behindDoc="0" locked="0" layoutInCell="1" hidden="0" allowOverlap="1" wp14:anchorId="60268730" wp14:editId="411D2989">
                      <wp:simplePos x="0" y="0"/>
                      <wp:positionH relativeFrom="column">
                        <wp:posOffset>-2537</wp:posOffset>
                      </wp:positionH>
                      <wp:positionV relativeFrom="paragraph">
                        <wp:posOffset>-633</wp:posOffset>
                      </wp:positionV>
                      <wp:extent cx="2141855" cy="5200015"/>
                      <wp:effectExtent l="0" t="0" r="0" b="0"/>
                      <wp:wrapNone/>
                      <wp:docPr id="1" name="Grupo 1"/>
                      <wp:cNvGraphicFramePr/>
                      <a:graphic xmlns:a="http://schemas.openxmlformats.org/drawingml/2006/main">
                        <a:graphicData uri="http://schemas.microsoft.com/office/word/2010/wordprocessingGroup">
                          <wpg:wgp>
                            <wpg:cNvGrpSpPr/>
                            <wpg:grpSpPr>
                              <a:xfrm>
                                <a:off x="0" y="0"/>
                                <a:ext cx="2141855" cy="5200015"/>
                                <a:chOff x="4275050" y="1179975"/>
                                <a:chExt cx="2141900" cy="5200050"/>
                              </a:xfrm>
                            </wpg:grpSpPr>
                            <wpg:grpSp>
                              <wpg:cNvPr id="1323931380" name="Grupo 1323931380"/>
                              <wpg:cNvGrpSpPr/>
                              <wpg:grpSpPr>
                                <a:xfrm>
                                  <a:off x="4275073" y="1179993"/>
                                  <a:ext cx="2141855" cy="5200015"/>
                                  <a:chOff x="4275050" y="1179975"/>
                                  <a:chExt cx="2141900" cy="5200050"/>
                                </a:xfrm>
                              </wpg:grpSpPr>
                              <wps:wsp>
                                <wps:cNvPr id="290574909" name="Rectángulo 290574909"/>
                                <wps:cNvSpPr/>
                                <wps:spPr>
                                  <a:xfrm>
                                    <a:off x="4275050" y="1179975"/>
                                    <a:ext cx="2141900" cy="5200050"/>
                                  </a:xfrm>
                                  <a:prstGeom prst="rect">
                                    <a:avLst/>
                                  </a:prstGeom>
                                  <a:noFill/>
                                  <a:ln>
                                    <a:noFill/>
                                  </a:ln>
                                </wps:spPr>
                                <wps:txbx>
                                  <w:txbxContent>
                                    <w:p w14:paraId="7E48A80D" w14:textId="77777777" w:rsidR="00097466" w:rsidRDefault="00097466">
                                      <w:pPr>
                                        <w:spacing w:before="0" w:after="0" w:line="240" w:lineRule="auto"/>
                                        <w:jc w:val="left"/>
                                        <w:textDirection w:val="btLr"/>
                                      </w:pPr>
                                    </w:p>
                                  </w:txbxContent>
                                </wps:txbx>
                                <wps:bodyPr spcFirstLastPara="1" wrap="square" lIns="91425" tIns="91425" rIns="91425" bIns="91425" anchor="ctr" anchorCtr="0">
                                  <a:noAutofit/>
                                </wps:bodyPr>
                              </wps:wsp>
                              <wpg:grpSp>
                                <wpg:cNvPr id="1626995208" name="Grupo 1626995208"/>
                                <wpg:cNvGrpSpPr/>
                                <wpg:grpSpPr>
                                  <a:xfrm>
                                    <a:off x="4275073" y="1179993"/>
                                    <a:ext cx="2141855" cy="5200015"/>
                                    <a:chOff x="950" y="6633"/>
                                    <a:chExt cx="3373" cy="8189"/>
                                  </a:xfrm>
                                </wpg:grpSpPr>
                                <wps:wsp>
                                  <wps:cNvPr id="1515279770" name="Rectángulo 1515279770"/>
                                  <wps:cNvSpPr/>
                                  <wps:spPr>
                                    <a:xfrm>
                                      <a:off x="950" y="6633"/>
                                      <a:ext cx="3350" cy="8175"/>
                                    </a:xfrm>
                                    <a:prstGeom prst="rect">
                                      <a:avLst/>
                                    </a:prstGeom>
                                    <a:noFill/>
                                    <a:ln>
                                      <a:noFill/>
                                    </a:ln>
                                  </wps:spPr>
                                  <wps:txbx>
                                    <w:txbxContent>
                                      <w:p w14:paraId="4A844915" w14:textId="77777777" w:rsidR="00097466" w:rsidRDefault="00097466">
                                        <w:pPr>
                                          <w:spacing w:line="275" w:lineRule="auto"/>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9">
                                      <a:alphaModFix/>
                                    </a:blip>
                                    <a:srcRect l="20996" t="19048" r="18614" b="19481"/>
                                    <a:stretch/>
                                  </pic:blipFill>
                                  <pic:spPr>
                                    <a:xfrm>
                                      <a:off x="975" y="11414"/>
                                      <a:ext cx="3348" cy="3408"/>
                                    </a:xfrm>
                                    <a:prstGeom prst="rect">
                                      <a:avLst/>
                                    </a:prstGeom>
                                    <a:noFill/>
                                    <a:ln>
                                      <a:noFill/>
                                    </a:ln>
                                  </pic:spPr>
                                </pic:pic>
                                <pic:pic xmlns:pic="http://schemas.openxmlformats.org/drawingml/2006/picture">
                                  <pic:nvPicPr>
                                    <pic:cNvPr id="7" name="Shape 7"/>
                                    <pic:cNvPicPr preferRelativeResize="0"/>
                                  </pic:nvPicPr>
                                  <pic:blipFill rotWithShape="1">
                                    <a:blip r:embed="rId10">
                                      <a:alphaModFix/>
                                    </a:blip>
                                    <a:srcRect/>
                                    <a:stretch/>
                                  </pic:blipFill>
                                  <pic:spPr>
                                    <a:xfrm>
                                      <a:off x="950" y="6633"/>
                                      <a:ext cx="3348" cy="4800"/>
                                    </a:xfrm>
                                    <a:prstGeom prst="rect">
                                      <a:avLst/>
                                    </a:prstGeom>
                                    <a:noFill/>
                                    <a:ln>
                                      <a:noFill/>
                                    </a:ln>
                                  </pic:spPr>
                                </pic:pic>
                              </wpg:grpSp>
                            </wpg:grpSp>
                          </wpg:wgp>
                        </a:graphicData>
                      </a:graphic>
                    </wp:anchor>
                  </w:drawing>
                </mc:Choice>
                <mc:Fallback>
                  <w:pict>
                    <v:group w14:anchorId="60268730" id="Grupo 1" o:spid="_x0000_s1027" style="position:absolute;left:0;text-align:left;margin-left:-.2pt;margin-top:-.05pt;width:168.65pt;height:409.45pt;z-index:251659264" coordorigin="42750,11799" coordsize="21419,52000" o:gfxdata="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f6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">
                      <v:group id="Grupo 1323931380" o:spid="_x0000_s1028" style="position:absolute;left:42750;top:11799;width:21419;height:52001" coordorigin="42750,11799" coordsize="21419,52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">
                        <v:rect id="Rectángulo 290574909" o:spid="_x0000_s1029" style="position:absolute;left:42750;top:11799;width:21419;height:520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" filled="f" stroked="f">
                          <v:textbox inset="2.53958mm,2.53958mm,2.53958mm,2.53958mm">
                            <w:txbxContent>
                              <w:p w14:paraId="7E48A80D" w14:textId="77777777" w:rsidR="00097466" w:rsidRDefault="00097466">
                                <w:pPr>
                                  <w:spacing w:before="0" w:after="0" w:line="240" w:lineRule="auto"/>
                                  <w:jc w:val="left"/>
                                  <w:textDirection w:val="btLr"/>
                                </w:pPr>
                              </w:p>
                            </w:txbxContent>
                          </v:textbox>
                        </v:rect>
                        <v:group id="Grupo 1626995208" o:spid="_x0000_s1030" style="position:absolute;left:42750;top:11799;width:21419;height:52001" coordorigin="950,6633" coordsize="3373,81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">
                          <v:rect id="Rectángulo 1515279770" o:spid="_x0000_s1031" style="position:absolute;left:950;top:6633;width:3350;height:81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" filled="f" stroked="f">
                            <v:textbox inset="2.53958mm,2.53958mm,2.53958mm,2.53958mm">
                              <w:txbxContent>
                                <w:p w14:paraId="4A844915" w14:textId="77777777" w:rsidR="00097466" w:rsidRDefault="00097466">
                                  <w:pPr>
                                    <w:spacing w:line="275" w:lineRule="auto"/>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2" type="#_x0000_t75" style="position:absolute;left:975;top:11414;width:3348;height:3408;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">
                            <v:imagedata r:id="rId11" o:title="" croptop="12483f" cropbottom="12767f" cropleft="13760f" cropright="12199f"/>
                          </v:shape>
                          <v:shape id="Shape 7" o:spid="_x0000_s1033" type="#_x0000_t75" style="position:absolute;left:950;top:6633;width:3348;height:4800;visibility:visible;mso-wrap-style:square" o:preferrelative="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">
                            <v:imagedata r:id="rId12" o:title=""/>
                          </v:shape>
                        </v:group>
                      </v:group>
                    </v:group>
                  </w:pict>
                </mc:Fallback>
              </mc:AlternateContent>
            </w:r>
          </w:p>
          <w:p w14:paraId="01E99508" w14:textId="77777777" w:rsidR="00097466" w:rsidRDefault="00097466">
            <w:pPr>
              <w:widowControl w:val="0"/>
              <w:pBdr>
                <w:top w:val="nil"/>
                <w:left w:val="nil"/>
                <w:bottom w:val="nil"/>
                <w:right w:val="nil"/>
                <w:between w:val="nil"/>
              </w:pBdr>
              <w:rPr>
                <w:sz w:val="12"/>
                <w:szCs w:val="12"/>
              </w:rPr>
            </w:pPr>
          </w:p>
        </w:tc>
        <w:tc>
          <w:tcPr>
            <w:tcW w:w="6946" w:type="dxa"/>
          </w:tcPr>
          <w:p w14:paraId="7906FBEA" w14:textId="77777777" w:rsidR="00097466" w:rsidRDefault="00000000">
            <w:pPr>
              <w:widowControl w:val="0"/>
              <w:pBdr>
                <w:top w:val="nil"/>
                <w:left w:val="nil"/>
                <w:bottom w:val="nil"/>
                <w:right w:val="nil"/>
                <w:between w:val="nil"/>
              </w:pBdr>
              <w:ind w:left="3" w:hanging="5"/>
              <w:rPr>
                <w:sz w:val="44"/>
                <w:szCs w:val="44"/>
              </w:rPr>
            </w:pPr>
            <w:bookmarkStart w:id="2" w:name="_heading=h.22464u6t4t21" w:colFirst="0" w:colLast="0"/>
            <w:bookmarkEnd w:id="2"/>
            <w:r>
              <w:rPr>
                <w:b/>
                <w:bCs/>
                <w:sz w:val="44"/>
                <w:szCs w:val="44"/>
              </w:rPr>
              <w:t>Fuensanta Bernal Gómez</w:t>
            </w:r>
          </w:p>
          <w:p w14:paraId="1BFB4011" w14:textId="77777777" w:rsidR="00097466" w:rsidRDefault="00000000">
            <w:pPr>
              <w:widowControl w:val="0"/>
              <w:pBdr>
                <w:top w:val="nil"/>
                <w:left w:val="nil"/>
                <w:bottom w:val="nil"/>
                <w:right w:val="nil"/>
                <w:between w:val="nil"/>
              </w:pBdr>
              <w:ind w:left="3" w:hanging="5"/>
              <w:rPr>
                <w:sz w:val="44"/>
                <w:szCs w:val="44"/>
              </w:rPr>
            </w:pPr>
            <w:bookmarkStart w:id="3" w:name="_heading=h.ddkkqt8ip5aq" w:colFirst="0" w:colLast="0"/>
            <w:bookmarkEnd w:id="3"/>
            <w:r>
              <w:rPr>
                <w:sz w:val="44"/>
                <w:szCs w:val="44"/>
              </w:rPr>
              <w:t xml:space="preserve">MU </w:t>
            </w:r>
            <w:proofErr w:type="spellStart"/>
            <w:r>
              <w:rPr>
                <w:sz w:val="44"/>
                <w:szCs w:val="44"/>
              </w:rPr>
              <w:t>Bioinf</w:t>
            </w:r>
            <w:proofErr w:type="spellEnd"/>
            <w:r>
              <w:rPr>
                <w:sz w:val="44"/>
                <w:szCs w:val="44"/>
              </w:rPr>
              <w:t xml:space="preserve">. y </w:t>
            </w:r>
            <w:proofErr w:type="spellStart"/>
            <w:r>
              <w:rPr>
                <w:sz w:val="44"/>
                <w:szCs w:val="44"/>
              </w:rPr>
              <w:t>Bioest</w:t>
            </w:r>
            <w:proofErr w:type="spellEnd"/>
            <w:r>
              <w:rPr>
                <w:sz w:val="44"/>
                <w:szCs w:val="44"/>
              </w:rPr>
              <w:t>.</w:t>
            </w:r>
          </w:p>
          <w:p w14:paraId="10D5808E" w14:textId="77777777" w:rsidR="00097466" w:rsidRDefault="00000000">
            <w:pPr>
              <w:widowControl w:val="0"/>
              <w:pBdr>
                <w:top w:val="nil"/>
                <w:left w:val="nil"/>
                <w:bottom w:val="nil"/>
                <w:right w:val="nil"/>
                <w:between w:val="nil"/>
              </w:pBdr>
              <w:ind w:left="3" w:hanging="5"/>
              <w:rPr>
                <w:sz w:val="44"/>
                <w:szCs w:val="44"/>
              </w:rPr>
            </w:pPr>
            <w:bookmarkStart w:id="4" w:name="_heading=h.wwua5b7ykhwc" w:colFirst="0" w:colLast="0"/>
            <w:bookmarkStart w:id="5" w:name="_heading=h.f369ycv8d6d9" w:colFirst="0" w:colLast="0"/>
            <w:bookmarkEnd w:id="4"/>
            <w:bookmarkEnd w:id="5"/>
            <w:r>
              <w:rPr>
                <w:b/>
                <w:bCs/>
                <w:sz w:val="44"/>
                <w:szCs w:val="44"/>
              </w:rPr>
              <w:t>Nombre Tutor/a de TF</w:t>
            </w:r>
          </w:p>
          <w:p w14:paraId="69B179C9" w14:textId="77777777" w:rsidR="00097466" w:rsidRDefault="00000000">
            <w:pPr>
              <w:widowControl w:val="0"/>
              <w:pBdr>
                <w:top w:val="nil"/>
                <w:left w:val="nil"/>
                <w:bottom w:val="nil"/>
                <w:right w:val="nil"/>
                <w:between w:val="nil"/>
              </w:pBdr>
              <w:ind w:left="2" w:hanging="4"/>
              <w:rPr>
                <w:sz w:val="44"/>
                <w:szCs w:val="44"/>
              </w:rPr>
            </w:pPr>
            <w:bookmarkStart w:id="6" w:name="_heading=h.2r6vz7sjm144" w:colFirst="0" w:colLast="0"/>
            <w:bookmarkEnd w:id="6"/>
            <w:r>
              <w:rPr>
                <w:sz w:val="44"/>
                <w:szCs w:val="44"/>
              </w:rPr>
              <w:t xml:space="preserve">Alfonso </w:t>
            </w:r>
            <w:proofErr w:type="spellStart"/>
            <w:r>
              <w:rPr>
                <w:sz w:val="44"/>
                <w:szCs w:val="44"/>
              </w:rPr>
              <w:t>Saera</w:t>
            </w:r>
            <w:proofErr w:type="spellEnd"/>
            <w:r>
              <w:rPr>
                <w:sz w:val="44"/>
                <w:szCs w:val="44"/>
              </w:rPr>
              <w:t xml:space="preserve"> Vila</w:t>
            </w:r>
          </w:p>
          <w:p w14:paraId="589A08AF" w14:textId="77777777" w:rsidR="00097466" w:rsidRDefault="00000000">
            <w:pPr>
              <w:widowControl w:val="0"/>
              <w:pBdr>
                <w:top w:val="nil"/>
                <w:left w:val="nil"/>
                <w:bottom w:val="nil"/>
                <w:right w:val="nil"/>
                <w:between w:val="nil"/>
              </w:pBdr>
              <w:ind w:left="3" w:hanging="5"/>
              <w:rPr>
                <w:sz w:val="44"/>
                <w:szCs w:val="44"/>
              </w:rPr>
            </w:pPr>
            <w:bookmarkStart w:id="7" w:name="_heading=h.s83m1pm7lnt4" w:colFirst="0" w:colLast="0"/>
            <w:bookmarkEnd w:id="7"/>
            <w:r>
              <w:rPr>
                <w:b/>
                <w:bCs/>
                <w:sz w:val="44"/>
                <w:szCs w:val="44"/>
              </w:rPr>
              <w:t>Profesor/a responsable de la asignatura</w:t>
            </w:r>
          </w:p>
          <w:p w14:paraId="284BF44C" w14:textId="77777777" w:rsidR="00097466" w:rsidRDefault="00000000">
            <w:pPr>
              <w:widowControl w:val="0"/>
              <w:pBdr>
                <w:top w:val="nil"/>
                <w:left w:val="nil"/>
                <w:bottom w:val="nil"/>
                <w:right w:val="nil"/>
                <w:between w:val="nil"/>
              </w:pBdr>
              <w:ind w:left="3" w:hanging="5"/>
              <w:rPr>
                <w:sz w:val="44"/>
                <w:szCs w:val="44"/>
              </w:rPr>
            </w:pPr>
            <w:bookmarkStart w:id="8" w:name="_heading=h.qigdo447x3q6" w:colFirst="0" w:colLast="0"/>
            <w:bookmarkEnd w:id="8"/>
            <w:proofErr w:type="spellStart"/>
            <w:r>
              <w:rPr>
                <w:sz w:val="44"/>
                <w:szCs w:val="44"/>
              </w:rPr>
              <w:t>Ivan</w:t>
            </w:r>
            <w:proofErr w:type="spellEnd"/>
            <w:r>
              <w:rPr>
                <w:sz w:val="44"/>
                <w:szCs w:val="44"/>
              </w:rPr>
              <w:t xml:space="preserve"> Pisa </w:t>
            </w:r>
            <w:proofErr w:type="spellStart"/>
            <w:r>
              <w:rPr>
                <w:sz w:val="44"/>
                <w:szCs w:val="44"/>
              </w:rPr>
              <w:t>Dacosta</w:t>
            </w:r>
            <w:proofErr w:type="spellEnd"/>
          </w:p>
          <w:p w14:paraId="04E7CF78" w14:textId="77777777" w:rsidR="00097466" w:rsidRDefault="00000000">
            <w:pPr>
              <w:widowControl w:val="0"/>
              <w:pBdr>
                <w:top w:val="nil"/>
                <w:left w:val="nil"/>
                <w:bottom w:val="nil"/>
                <w:right w:val="nil"/>
                <w:between w:val="nil"/>
              </w:pBdr>
              <w:ind w:left="3" w:hanging="5"/>
              <w:rPr>
                <w:b/>
                <w:bCs/>
                <w:sz w:val="44"/>
                <w:szCs w:val="44"/>
              </w:rPr>
            </w:pPr>
            <w:r>
              <w:rPr>
                <w:b/>
                <w:bCs/>
                <w:sz w:val="44"/>
                <w:szCs w:val="44"/>
              </w:rPr>
              <w:t xml:space="preserve">Fecha Entrega </w:t>
            </w:r>
          </w:p>
          <w:p w14:paraId="4C0EE97D" w14:textId="77777777" w:rsidR="00097466" w:rsidRDefault="00000000">
            <w:pPr>
              <w:widowControl w:val="0"/>
              <w:pBdr>
                <w:top w:val="nil"/>
                <w:left w:val="nil"/>
                <w:bottom w:val="nil"/>
                <w:right w:val="nil"/>
                <w:between w:val="nil"/>
              </w:pBdr>
              <w:ind w:left="3" w:hanging="5"/>
              <w:rPr>
                <w:sz w:val="12"/>
                <w:szCs w:val="12"/>
              </w:rPr>
            </w:pPr>
            <w:r>
              <w:rPr>
                <w:sz w:val="44"/>
                <w:szCs w:val="44"/>
              </w:rPr>
              <w:t>10 de junio de 2026</w:t>
            </w:r>
          </w:p>
        </w:tc>
      </w:tr>
    </w:tbl>
    <w:p w14:paraId="35144A2F" w14:textId="77777777" w:rsidR="00097466" w:rsidRDefault="00097466" w:rsidP="00544557">
      <w:pPr>
        <w:sectPr w:rsidR="00097466">
          <w:footerReference w:type="even" r:id="rId13"/>
          <w:footerReference w:type="default" r:id="rId14"/>
          <w:footerReference w:type="first" r:id="rId15"/>
          <w:pgSz w:w="11907" w:h="16840"/>
          <w:pgMar w:top="1418" w:right="1701" w:bottom="1418" w:left="1701" w:header="709" w:footer="709" w:gutter="0"/>
          <w:pgNumType w:start="1"/>
          <w:cols w:space="720"/>
          <w:titlePg/>
        </w:sectPr>
      </w:pPr>
    </w:p>
    <w:p w14:paraId="07700F2F" w14:textId="77777777" w:rsidR="00097466" w:rsidRDefault="00097466">
      <w:pPr>
        <w:ind w:right="3438" w:hanging="2"/>
      </w:pPr>
    </w:p>
    <w:p w14:paraId="1203163D" w14:textId="77777777" w:rsidR="00544557" w:rsidRDefault="00544557">
      <w:pPr>
        <w:ind w:right="3438" w:hanging="2"/>
      </w:pPr>
    </w:p>
    <w:p w14:paraId="0A7A20F8" w14:textId="77777777" w:rsidR="00544557" w:rsidRDefault="00544557">
      <w:pPr>
        <w:ind w:right="3438" w:hanging="2"/>
      </w:pPr>
    </w:p>
    <w:p w14:paraId="710330F3" w14:textId="77777777" w:rsidR="00097466" w:rsidRDefault="00097466">
      <w:pPr>
        <w:ind w:right="3438" w:hanging="2"/>
      </w:pPr>
    </w:p>
    <w:p w14:paraId="2279C0EE" w14:textId="77777777" w:rsidR="00097466" w:rsidRDefault="00097466">
      <w:pPr>
        <w:ind w:right="3438" w:hanging="2"/>
      </w:pPr>
    </w:p>
    <w:p w14:paraId="33EB3E9B" w14:textId="77777777" w:rsidR="00097466" w:rsidRDefault="00097466">
      <w:pPr>
        <w:ind w:right="3438" w:hanging="2"/>
      </w:pPr>
    </w:p>
    <w:p w14:paraId="62CD9979" w14:textId="77777777" w:rsidR="00097466" w:rsidRDefault="00097466">
      <w:pPr>
        <w:ind w:right="3438" w:hanging="2"/>
      </w:pPr>
    </w:p>
    <w:p w14:paraId="048596A5" w14:textId="77777777" w:rsidR="00097466" w:rsidRDefault="00097466">
      <w:pPr>
        <w:ind w:right="3438" w:hanging="2"/>
      </w:pPr>
    </w:p>
    <w:p w14:paraId="13F0E9B2" w14:textId="77777777" w:rsidR="00097466" w:rsidRDefault="00097466">
      <w:pPr>
        <w:ind w:right="3438" w:hanging="2"/>
      </w:pPr>
    </w:p>
    <w:p w14:paraId="1C421C85" w14:textId="77777777" w:rsidR="00097466" w:rsidRDefault="00097466">
      <w:pPr>
        <w:ind w:right="3438" w:hanging="2"/>
      </w:pPr>
    </w:p>
    <w:p w14:paraId="2F4CDF67" w14:textId="77777777" w:rsidR="00097466" w:rsidRDefault="00097466">
      <w:pPr>
        <w:ind w:right="3438" w:hanging="2"/>
      </w:pPr>
    </w:p>
    <w:p w14:paraId="33233807" w14:textId="77777777" w:rsidR="00097466" w:rsidRDefault="00097466">
      <w:pPr>
        <w:ind w:right="3438" w:hanging="2"/>
      </w:pPr>
    </w:p>
    <w:p w14:paraId="69293490" w14:textId="77777777" w:rsidR="00097466" w:rsidRDefault="00097466">
      <w:pPr>
        <w:ind w:right="3438" w:hanging="2"/>
      </w:pPr>
    </w:p>
    <w:p w14:paraId="6CD27836" w14:textId="77777777" w:rsidR="00097466" w:rsidRDefault="00097466">
      <w:pPr>
        <w:ind w:right="3438" w:hanging="2"/>
      </w:pPr>
    </w:p>
    <w:p w14:paraId="615AB224" w14:textId="77777777" w:rsidR="00097466" w:rsidRDefault="00097466">
      <w:pPr>
        <w:ind w:right="3438" w:hanging="2"/>
      </w:pPr>
    </w:p>
    <w:p w14:paraId="6F70F919" w14:textId="77777777" w:rsidR="00097466" w:rsidRDefault="00097466">
      <w:pPr>
        <w:ind w:right="3438" w:hanging="2"/>
      </w:pPr>
    </w:p>
    <w:p w14:paraId="5C11351B" w14:textId="77777777" w:rsidR="00097466" w:rsidRDefault="00097466">
      <w:pPr>
        <w:ind w:right="3438" w:hanging="2"/>
      </w:pPr>
    </w:p>
    <w:p w14:paraId="1B2F44EC" w14:textId="77777777" w:rsidR="00097466" w:rsidRDefault="00097466">
      <w:pPr>
        <w:ind w:right="3438" w:hanging="2"/>
      </w:pPr>
    </w:p>
    <w:p w14:paraId="7F73CBBA" w14:textId="77777777" w:rsidR="00097466" w:rsidRDefault="00097466">
      <w:pPr>
        <w:ind w:right="3438"/>
      </w:pPr>
    </w:p>
    <w:p w14:paraId="1622D2B7" w14:textId="77777777" w:rsidR="00544557" w:rsidRDefault="00544557">
      <w:pPr>
        <w:ind w:right="3438"/>
      </w:pPr>
    </w:p>
    <w:p w14:paraId="34B68B89" w14:textId="77777777" w:rsidR="00544557" w:rsidRDefault="00544557">
      <w:pPr>
        <w:ind w:right="3438"/>
      </w:pPr>
    </w:p>
    <w:p w14:paraId="1DFAF820" w14:textId="77777777" w:rsidR="00544557" w:rsidRDefault="00544557">
      <w:pPr>
        <w:ind w:right="3438"/>
      </w:pPr>
    </w:p>
    <w:p w14:paraId="185B8F0A" w14:textId="77777777" w:rsidR="00097466" w:rsidRDefault="00000000">
      <w:pPr>
        <w:ind w:right="3438" w:hanging="2"/>
        <w:sectPr w:rsidR="00097466">
          <w:headerReference w:type="first" r:id="rId16"/>
          <w:footerReference w:type="first" r:id="rId17"/>
          <w:pgSz w:w="11907" w:h="16840"/>
          <w:pgMar w:top="1418" w:right="1701" w:bottom="1418" w:left="1701" w:header="709" w:footer="709" w:gutter="0"/>
          <w:cols w:space="720"/>
          <w:titlePg/>
        </w:sectPr>
      </w:pPr>
      <w:bookmarkStart w:id="9" w:name="_heading=h.rtedflt7hae1" w:colFirst="0" w:colLast="0"/>
      <w:bookmarkEnd w:id="9"/>
      <w:r>
        <w:rPr>
          <w:noProof/>
          <w:color w:val="0000FF"/>
        </w:rPr>
        <w:drawing>
          <wp:inline distT="0" distB="0" distL="114300" distR="114300" wp14:anchorId="16CF323B" wp14:editId="25C6C386">
            <wp:extent cx="840740" cy="297180"/>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8"/>
                    <a:srcRect/>
                    <a:stretch>
                      <a:fillRect/>
                    </a:stretch>
                  </pic:blipFill>
                  <pic:spPr>
                    <a:xfrm>
                      <a:off x="0" y="0"/>
                      <a:ext cx="840740" cy="297180"/>
                    </a:xfrm>
                    <a:prstGeom prst="rect">
                      <a:avLst/>
                    </a:prstGeom>
                    <a:ln/>
                  </pic:spPr>
                </pic:pic>
              </a:graphicData>
            </a:graphic>
          </wp:inline>
        </w:drawing>
      </w:r>
      <w:r>
        <w:br/>
        <w:t>Esta obra está sujeta a una licencia de Reconocimiento-</w:t>
      </w:r>
      <w:proofErr w:type="spellStart"/>
      <w:r>
        <w:t>NoComercial</w:t>
      </w:r>
      <w:proofErr w:type="spellEnd"/>
      <w:r>
        <w:t>-</w:t>
      </w:r>
      <w:proofErr w:type="spellStart"/>
      <w:r>
        <w:t>SinObraDerivada</w:t>
      </w:r>
      <w:proofErr w:type="spellEnd"/>
      <w:r>
        <w:t xml:space="preserve"> </w:t>
      </w:r>
      <w:hyperlink r:id="rId19">
        <w:r>
          <w:rPr>
            <w:color w:val="0000FF"/>
            <w:u w:val="single"/>
          </w:rPr>
          <w:t xml:space="preserve">3.0 España de Creative </w:t>
        </w:r>
        <w:proofErr w:type="spellStart"/>
        <w:r>
          <w:rPr>
            <w:color w:val="0000FF"/>
            <w:u w:val="single"/>
          </w:rPr>
          <w:t>Commons</w:t>
        </w:r>
        <w:proofErr w:type="spellEnd"/>
      </w:hyperlink>
    </w:p>
    <w:p w14:paraId="0B8B3ED7" w14:textId="77777777" w:rsidR="00097466" w:rsidRDefault="00000000">
      <w:pPr>
        <w:tabs>
          <w:tab w:val="left" w:pos="2400"/>
          <w:tab w:val="center" w:pos="4252"/>
        </w:tabs>
        <w:ind w:hanging="2"/>
        <w:jc w:val="center"/>
      </w:pPr>
      <w:bookmarkStart w:id="10" w:name="_heading=h.ywjsgdm2vktz" w:colFirst="0" w:colLast="0"/>
      <w:bookmarkEnd w:id="10"/>
      <w:r>
        <w:rPr>
          <w:b/>
          <w:bCs/>
        </w:rPr>
        <w:lastRenderedPageBreak/>
        <w:t>FICHA DEL TRABAJO FINAL</w:t>
      </w:r>
    </w:p>
    <w:tbl>
      <w:tblPr>
        <w:tblStyle w:val="a0"/>
        <w:tblW w:w="86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46"/>
        <w:gridCol w:w="5299"/>
      </w:tblGrid>
      <w:tr w:rsidR="00097466" w14:paraId="3F1E3D23" w14:textId="77777777">
        <w:tc>
          <w:tcPr>
            <w:tcW w:w="3346" w:type="dxa"/>
            <w:tcBorders>
              <w:top w:val="single" w:sz="18" w:space="0" w:color="000000"/>
              <w:left w:val="single" w:sz="18" w:space="0" w:color="000000"/>
            </w:tcBorders>
            <w:vAlign w:val="center"/>
          </w:tcPr>
          <w:p w14:paraId="77F6672A" w14:textId="77777777" w:rsidR="00097466" w:rsidRDefault="00000000" w:rsidP="00544557">
            <w:pPr>
              <w:spacing w:before="120" w:after="120" w:line="240" w:lineRule="auto"/>
              <w:ind w:hanging="2"/>
              <w:jc w:val="right"/>
            </w:pPr>
            <w:bookmarkStart w:id="11" w:name="_heading=h.sxksik92zq4o" w:colFirst="0" w:colLast="0"/>
            <w:bookmarkEnd w:id="11"/>
            <w:r>
              <w:rPr>
                <w:b/>
                <w:bCs/>
              </w:rPr>
              <w:t>Título del trabajo:</w:t>
            </w:r>
          </w:p>
        </w:tc>
        <w:tc>
          <w:tcPr>
            <w:tcW w:w="5299" w:type="dxa"/>
            <w:tcBorders>
              <w:top w:val="single" w:sz="18" w:space="0" w:color="000000"/>
              <w:right w:val="single" w:sz="18" w:space="0" w:color="000000"/>
            </w:tcBorders>
            <w:shd w:val="clear" w:color="auto" w:fill="E6E6E6"/>
            <w:vAlign w:val="center"/>
          </w:tcPr>
          <w:p w14:paraId="42E0A4C7" w14:textId="77777777" w:rsidR="00097466" w:rsidRDefault="00000000" w:rsidP="00544557">
            <w:pPr>
              <w:spacing w:before="120" w:after="120" w:line="240" w:lineRule="auto"/>
              <w:ind w:hanging="2"/>
            </w:pPr>
            <w:bookmarkStart w:id="12" w:name="_heading=h.pvgic0mx7qnc" w:colFirst="0" w:colLast="0"/>
            <w:bookmarkEnd w:id="12"/>
            <w:r>
              <w:rPr>
                <w:i/>
                <w:iCs/>
              </w:rPr>
              <w:t>Integración multi-</w:t>
            </w:r>
            <w:proofErr w:type="spellStart"/>
            <w:r>
              <w:rPr>
                <w:i/>
                <w:iCs/>
              </w:rPr>
              <w:t>ómica</w:t>
            </w:r>
            <w:proofErr w:type="spellEnd"/>
            <w:r>
              <w:rPr>
                <w:i/>
                <w:iCs/>
              </w:rPr>
              <w:t xml:space="preserve"> de la firma de interferón y biomarcadores séricos para caracterizar la actividad clínica en pacientes con lupus eritematoso sistémico</w:t>
            </w:r>
          </w:p>
        </w:tc>
      </w:tr>
      <w:tr w:rsidR="00097466" w14:paraId="23F88428" w14:textId="77777777">
        <w:tc>
          <w:tcPr>
            <w:tcW w:w="3346" w:type="dxa"/>
            <w:tcBorders>
              <w:left w:val="single" w:sz="18" w:space="0" w:color="000000"/>
            </w:tcBorders>
            <w:vAlign w:val="center"/>
          </w:tcPr>
          <w:p w14:paraId="061C2F33" w14:textId="77777777" w:rsidR="00097466" w:rsidRDefault="00000000" w:rsidP="00544557">
            <w:pPr>
              <w:spacing w:before="120" w:after="120" w:line="240" w:lineRule="auto"/>
              <w:ind w:hanging="2"/>
              <w:jc w:val="right"/>
            </w:pPr>
            <w:bookmarkStart w:id="13" w:name="_heading=h.ebnx577prcku" w:colFirst="0" w:colLast="0"/>
            <w:bookmarkEnd w:id="13"/>
            <w:r>
              <w:rPr>
                <w:b/>
                <w:bCs/>
              </w:rPr>
              <w:t>Nombre del autor:</w:t>
            </w:r>
          </w:p>
        </w:tc>
        <w:tc>
          <w:tcPr>
            <w:tcW w:w="5299" w:type="dxa"/>
            <w:tcBorders>
              <w:right w:val="single" w:sz="18" w:space="0" w:color="000000"/>
            </w:tcBorders>
            <w:shd w:val="clear" w:color="auto" w:fill="E6E6E6"/>
            <w:vAlign w:val="center"/>
          </w:tcPr>
          <w:p w14:paraId="024B75F2" w14:textId="77777777" w:rsidR="00097466" w:rsidRDefault="00000000" w:rsidP="00544557">
            <w:pPr>
              <w:spacing w:before="120" w:after="120" w:line="240" w:lineRule="auto"/>
              <w:ind w:hanging="2"/>
            </w:pPr>
            <w:bookmarkStart w:id="14" w:name="_heading=h.lbq4xlfc1cfe" w:colFirst="0" w:colLast="0"/>
            <w:bookmarkEnd w:id="14"/>
            <w:r>
              <w:rPr>
                <w:i/>
                <w:iCs/>
              </w:rPr>
              <w:t>Fuensanta Bernal Gómez</w:t>
            </w:r>
          </w:p>
        </w:tc>
      </w:tr>
      <w:tr w:rsidR="00097466" w14:paraId="1BC15DB0" w14:textId="77777777">
        <w:tc>
          <w:tcPr>
            <w:tcW w:w="3346" w:type="dxa"/>
            <w:tcBorders>
              <w:left w:val="single" w:sz="18" w:space="0" w:color="000000"/>
            </w:tcBorders>
            <w:vAlign w:val="center"/>
          </w:tcPr>
          <w:p w14:paraId="0FF2B1B4" w14:textId="77777777" w:rsidR="00097466" w:rsidRDefault="00000000" w:rsidP="00544557">
            <w:pPr>
              <w:spacing w:before="120" w:after="120" w:line="240" w:lineRule="auto"/>
              <w:ind w:hanging="2"/>
              <w:jc w:val="right"/>
            </w:pPr>
            <w:bookmarkStart w:id="15" w:name="_heading=h.3pnxnpi3hc28" w:colFirst="0" w:colLast="0"/>
            <w:bookmarkEnd w:id="15"/>
            <w:r>
              <w:rPr>
                <w:b/>
                <w:bCs/>
              </w:rPr>
              <w:t>Nombre del director/a:</w:t>
            </w:r>
          </w:p>
        </w:tc>
        <w:tc>
          <w:tcPr>
            <w:tcW w:w="5299" w:type="dxa"/>
            <w:tcBorders>
              <w:right w:val="single" w:sz="18" w:space="0" w:color="000000"/>
            </w:tcBorders>
            <w:shd w:val="clear" w:color="auto" w:fill="E6E6E6"/>
            <w:vAlign w:val="center"/>
          </w:tcPr>
          <w:p w14:paraId="6C97EF39" w14:textId="77777777" w:rsidR="00097466" w:rsidRDefault="00000000" w:rsidP="00544557">
            <w:pPr>
              <w:spacing w:before="120" w:after="120" w:line="240" w:lineRule="auto"/>
              <w:ind w:hanging="2"/>
              <w:rPr>
                <w:highlight w:val="yellow"/>
              </w:rPr>
            </w:pPr>
            <w:bookmarkStart w:id="16" w:name="_heading=h.ff4kxhjv1jtt" w:colFirst="0" w:colLast="0"/>
            <w:bookmarkEnd w:id="16"/>
            <w:r>
              <w:t xml:space="preserve">Alfonso </w:t>
            </w:r>
            <w:proofErr w:type="spellStart"/>
            <w:r>
              <w:t>Saera</w:t>
            </w:r>
            <w:proofErr w:type="spellEnd"/>
            <w:r>
              <w:t xml:space="preserve"> Vila</w:t>
            </w:r>
          </w:p>
        </w:tc>
      </w:tr>
      <w:tr w:rsidR="00097466" w14:paraId="3B78288B" w14:textId="77777777">
        <w:tc>
          <w:tcPr>
            <w:tcW w:w="3346" w:type="dxa"/>
            <w:tcBorders>
              <w:left w:val="single" w:sz="18" w:space="0" w:color="000000"/>
            </w:tcBorders>
            <w:vAlign w:val="center"/>
          </w:tcPr>
          <w:p w14:paraId="6433E5B4" w14:textId="77777777" w:rsidR="00097466" w:rsidRDefault="00000000" w:rsidP="00544557">
            <w:pPr>
              <w:spacing w:before="120" w:after="120" w:line="240" w:lineRule="auto"/>
              <w:ind w:hanging="2"/>
              <w:jc w:val="right"/>
            </w:pPr>
            <w:bookmarkStart w:id="17" w:name="_heading=h.920iwbwpcod0" w:colFirst="0" w:colLast="0"/>
            <w:bookmarkEnd w:id="17"/>
            <w:r>
              <w:rPr>
                <w:b/>
                <w:bCs/>
              </w:rPr>
              <w:t>Nombre del PRA:</w:t>
            </w:r>
          </w:p>
        </w:tc>
        <w:tc>
          <w:tcPr>
            <w:tcW w:w="5299" w:type="dxa"/>
            <w:tcBorders>
              <w:right w:val="single" w:sz="18" w:space="0" w:color="000000"/>
            </w:tcBorders>
            <w:shd w:val="clear" w:color="auto" w:fill="E6E6E6"/>
            <w:vAlign w:val="center"/>
          </w:tcPr>
          <w:p w14:paraId="36001025" w14:textId="77777777" w:rsidR="00097466" w:rsidRDefault="00000000" w:rsidP="00544557">
            <w:pPr>
              <w:spacing w:before="120" w:after="120" w:line="240" w:lineRule="auto"/>
              <w:ind w:hanging="2"/>
              <w:rPr>
                <w:highlight w:val="yellow"/>
              </w:rPr>
            </w:pPr>
            <w:proofErr w:type="spellStart"/>
            <w:r>
              <w:t>Ivan</w:t>
            </w:r>
            <w:proofErr w:type="spellEnd"/>
            <w:r>
              <w:t xml:space="preserve"> Pisa </w:t>
            </w:r>
            <w:proofErr w:type="spellStart"/>
            <w:r>
              <w:t>Dacosta</w:t>
            </w:r>
            <w:proofErr w:type="spellEnd"/>
          </w:p>
        </w:tc>
      </w:tr>
      <w:tr w:rsidR="00097466" w14:paraId="02D1438A" w14:textId="77777777">
        <w:tc>
          <w:tcPr>
            <w:tcW w:w="3346" w:type="dxa"/>
            <w:tcBorders>
              <w:left w:val="single" w:sz="18" w:space="0" w:color="000000"/>
            </w:tcBorders>
            <w:vAlign w:val="center"/>
          </w:tcPr>
          <w:p w14:paraId="0BB832D1" w14:textId="77777777" w:rsidR="00097466" w:rsidRDefault="00000000" w:rsidP="00544557">
            <w:pPr>
              <w:spacing w:before="120" w:after="120" w:line="240" w:lineRule="auto"/>
              <w:ind w:hanging="2"/>
              <w:jc w:val="right"/>
            </w:pPr>
            <w:bookmarkStart w:id="18" w:name="_heading=h.t7johakwo9s4" w:colFirst="0" w:colLast="0"/>
            <w:bookmarkEnd w:id="18"/>
            <w:r>
              <w:rPr>
                <w:b/>
                <w:bCs/>
              </w:rPr>
              <w:t>Fecha de entrega (mm/</w:t>
            </w:r>
            <w:proofErr w:type="spellStart"/>
            <w:r>
              <w:rPr>
                <w:b/>
                <w:bCs/>
              </w:rPr>
              <w:t>aaaa</w:t>
            </w:r>
            <w:proofErr w:type="spellEnd"/>
            <w:r>
              <w:rPr>
                <w:b/>
                <w:bCs/>
              </w:rPr>
              <w:t>):</w:t>
            </w:r>
          </w:p>
        </w:tc>
        <w:tc>
          <w:tcPr>
            <w:tcW w:w="5299" w:type="dxa"/>
            <w:tcBorders>
              <w:right w:val="single" w:sz="18" w:space="0" w:color="000000"/>
            </w:tcBorders>
            <w:shd w:val="clear" w:color="auto" w:fill="E6E6E6"/>
            <w:vAlign w:val="center"/>
          </w:tcPr>
          <w:p w14:paraId="348238FE" w14:textId="77777777" w:rsidR="00097466" w:rsidRDefault="00000000" w:rsidP="00544557">
            <w:pPr>
              <w:spacing w:before="120" w:after="120" w:line="240" w:lineRule="auto"/>
              <w:ind w:hanging="2"/>
              <w:rPr>
                <w:highlight w:val="yellow"/>
              </w:rPr>
            </w:pPr>
            <w:bookmarkStart w:id="19" w:name="_heading=h.ym0hynu8uyc2" w:colFirst="0" w:colLast="0"/>
            <w:bookmarkEnd w:id="19"/>
            <w:r>
              <w:t>06/2026</w:t>
            </w:r>
          </w:p>
        </w:tc>
      </w:tr>
      <w:tr w:rsidR="00097466" w14:paraId="787B3905" w14:textId="77777777">
        <w:tc>
          <w:tcPr>
            <w:tcW w:w="3346" w:type="dxa"/>
            <w:tcBorders>
              <w:left w:val="single" w:sz="18" w:space="0" w:color="000000"/>
            </w:tcBorders>
            <w:vAlign w:val="center"/>
          </w:tcPr>
          <w:p w14:paraId="3118C1C0" w14:textId="77777777" w:rsidR="00097466" w:rsidRDefault="00000000" w:rsidP="00544557">
            <w:pPr>
              <w:spacing w:before="120" w:after="120" w:line="240" w:lineRule="auto"/>
              <w:ind w:hanging="2"/>
              <w:jc w:val="right"/>
            </w:pPr>
            <w:bookmarkStart w:id="20" w:name="_heading=h.vg9g5uuvq25s" w:colFirst="0" w:colLast="0"/>
            <w:bookmarkEnd w:id="20"/>
            <w:r>
              <w:rPr>
                <w:b/>
                <w:bCs/>
              </w:rPr>
              <w:t>Titulación o programa:</w:t>
            </w:r>
          </w:p>
        </w:tc>
        <w:tc>
          <w:tcPr>
            <w:tcW w:w="5299" w:type="dxa"/>
            <w:tcBorders>
              <w:right w:val="single" w:sz="18" w:space="0" w:color="000000"/>
            </w:tcBorders>
            <w:shd w:val="clear" w:color="auto" w:fill="E6E6E6"/>
            <w:vAlign w:val="center"/>
          </w:tcPr>
          <w:p w14:paraId="1DCDBA92" w14:textId="77777777" w:rsidR="00097466" w:rsidRDefault="00000000" w:rsidP="00544557">
            <w:pPr>
              <w:spacing w:before="120" w:after="120" w:line="240" w:lineRule="auto"/>
              <w:ind w:hanging="2"/>
              <w:rPr>
                <w:highlight w:val="yellow"/>
              </w:rPr>
            </w:pPr>
            <w:bookmarkStart w:id="21" w:name="_heading=h.p6mun0bdthcs" w:colFirst="0" w:colLast="0"/>
            <w:bookmarkEnd w:id="21"/>
            <w:r>
              <w:t xml:space="preserve">Máster Universitario en Bioinformática y </w:t>
            </w:r>
            <w:proofErr w:type="spellStart"/>
            <w:r>
              <w:t>Bioestadstica</w:t>
            </w:r>
            <w:proofErr w:type="spellEnd"/>
          </w:p>
        </w:tc>
      </w:tr>
      <w:tr w:rsidR="00097466" w14:paraId="041C5E23" w14:textId="77777777">
        <w:tc>
          <w:tcPr>
            <w:tcW w:w="3346" w:type="dxa"/>
            <w:tcBorders>
              <w:left w:val="single" w:sz="18" w:space="0" w:color="000000"/>
            </w:tcBorders>
            <w:vAlign w:val="center"/>
          </w:tcPr>
          <w:p w14:paraId="2A4767AF" w14:textId="77777777" w:rsidR="00097466" w:rsidRDefault="00000000" w:rsidP="00544557">
            <w:pPr>
              <w:spacing w:before="120" w:after="120" w:line="240" w:lineRule="auto"/>
              <w:ind w:hanging="2"/>
              <w:jc w:val="right"/>
            </w:pPr>
            <w:bookmarkStart w:id="22" w:name="_heading=h.7wwbk5kplof7" w:colFirst="0" w:colLast="0"/>
            <w:bookmarkEnd w:id="22"/>
            <w:r>
              <w:rPr>
                <w:b/>
                <w:bCs/>
              </w:rPr>
              <w:t>Área del Trabajo Final:</w:t>
            </w:r>
          </w:p>
        </w:tc>
        <w:tc>
          <w:tcPr>
            <w:tcW w:w="5299" w:type="dxa"/>
            <w:tcBorders>
              <w:right w:val="single" w:sz="18" w:space="0" w:color="000000"/>
            </w:tcBorders>
            <w:shd w:val="clear" w:color="auto" w:fill="E6E6E6"/>
            <w:vAlign w:val="center"/>
          </w:tcPr>
          <w:p w14:paraId="10616996" w14:textId="77777777" w:rsidR="00097466" w:rsidRDefault="00000000" w:rsidP="00544557">
            <w:pPr>
              <w:spacing w:before="120" w:after="120" w:line="240" w:lineRule="auto"/>
              <w:ind w:hanging="2"/>
              <w:rPr>
                <w:highlight w:val="yellow"/>
              </w:rPr>
            </w:pPr>
            <w:bookmarkStart w:id="23" w:name="_heading=h.g9tssubyj7km" w:colFirst="0" w:colLast="0"/>
            <w:bookmarkEnd w:id="23"/>
            <w:r>
              <w:t xml:space="preserve">M0.207. Análisis de Datos </w:t>
            </w:r>
            <w:proofErr w:type="spellStart"/>
            <w:r>
              <w:t>Ómicos</w:t>
            </w:r>
            <w:proofErr w:type="spellEnd"/>
          </w:p>
        </w:tc>
      </w:tr>
      <w:tr w:rsidR="00097466" w14:paraId="795F48A7" w14:textId="77777777">
        <w:tc>
          <w:tcPr>
            <w:tcW w:w="3346" w:type="dxa"/>
            <w:tcBorders>
              <w:left w:val="single" w:sz="18" w:space="0" w:color="000000"/>
            </w:tcBorders>
            <w:vAlign w:val="center"/>
          </w:tcPr>
          <w:p w14:paraId="4F54127F" w14:textId="77777777" w:rsidR="00097466" w:rsidRDefault="00000000" w:rsidP="00544557">
            <w:pPr>
              <w:spacing w:before="120" w:after="120" w:line="240" w:lineRule="auto"/>
              <w:ind w:hanging="2"/>
              <w:jc w:val="right"/>
            </w:pPr>
            <w:bookmarkStart w:id="24" w:name="_heading=h.h6r2o2hay79b" w:colFirst="0" w:colLast="0"/>
            <w:bookmarkEnd w:id="24"/>
            <w:r>
              <w:rPr>
                <w:b/>
                <w:bCs/>
              </w:rPr>
              <w:t>Idioma del trabajo:</w:t>
            </w:r>
          </w:p>
        </w:tc>
        <w:tc>
          <w:tcPr>
            <w:tcW w:w="5299" w:type="dxa"/>
            <w:tcBorders>
              <w:right w:val="single" w:sz="18" w:space="0" w:color="000000"/>
            </w:tcBorders>
            <w:shd w:val="clear" w:color="auto" w:fill="E6E6E6"/>
            <w:vAlign w:val="center"/>
          </w:tcPr>
          <w:p w14:paraId="67566B4D" w14:textId="77777777" w:rsidR="00097466" w:rsidRDefault="00000000" w:rsidP="00544557">
            <w:pPr>
              <w:spacing w:before="120" w:after="120" w:line="240" w:lineRule="auto"/>
              <w:ind w:hanging="2"/>
              <w:rPr>
                <w:highlight w:val="yellow"/>
              </w:rPr>
            </w:pPr>
            <w:bookmarkStart w:id="25" w:name="_heading=h.mqz24jh9v2tq" w:colFirst="0" w:colLast="0"/>
            <w:bookmarkEnd w:id="25"/>
            <w:r>
              <w:t xml:space="preserve">Castellano </w:t>
            </w:r>
          </w:p>
        </w:tc>
      </w:tr>
      <w:tr w:rsidR="00097466" w:rsidRPr="006871D1" w14:paraId="73EC797A" w14:textId="77777777">
        <w:tc>
          <w:tcPr>
            <w:tcW w:w="3346" w:type="dxa"/>
            <w:tcBorders>
              <w:left w:val="single" w:sz="18" w:space="0" w:color="000000"/>
            </w:tcBorders>
            <w:vAlign w:val="center"/>
          </w:tcPr>
          <w:p w14:paraId="57732D25" w14:textId="77777777" w:rsidR="00097466" w:rsidRDefault="00000000" w:rsidP="00544557">
            <w:pPr>
              <w:spacing w:before="120" w:after="120" w:line="240" w:lineRule="auto"/>
              <w:ind w:hanging="2"/>
              <w:jc w:val="right"/>
            </w:pPr>
            <w:bookmarkStart w:id="26" w:name="_heading=h.n1hu4tjb13f8" w:colFirst="0" w:colLast="0"/>
            <w:bookmarkEnd w:id="26"/>
            <w:r>
              <w:t>Palabras clave</w:t>
            </w:r>
          </w:p>
        </w:tc>
        <w:tc>
          <w:tcPr>
            <w:tcW w:w="5299" w:type="dxa"/>
            <w:tcBorders>
              <w:right w:val="single" w:sz="18" w:space="0" w:color="000000"/>
            </w:tcBorders>
            <w:shd w:val="clear" w:color="auto" w:fill="E6E6E6"/>
            <w:vAlign w:val="center"/>
          </w:tcPr>
          <w:p w14:paraId="7897D5A8" w14:textId="77777777" w:rsidR="00097466" w:rsidRPr="009008F7" w:rsidRDefault="00000000" w:rsidP="00544557">
            <w:pPr>
              <w:spacing w:before="120" w:after="120" w:line="240" w:lineRule="auto"/>
              <w:ind w:hanging="2"/>
              <w:rPr>
                <w:i/>
                <w:iCs/>
                <w:lang w:val="en-US"/>
              </w:rPr>
            </w:pPr>
            <w:bookmarkStart w:id="27" w:name="_heading=h.p3vo18t4u6e9" w:colFirst="0" w:colLast="0"/>
            <w:bookmarkEnd w:id="27"/>
            <w:r w:rsidRPr="009008F7">
              <w:rPr>
                <w:i/>
                <w:iCs/>
                <w:lang w:val="en-US"/>
              </w:rPr>
              <w:t>Systemic lupus erythematosus (SLE), Interferon-Stimulated Genes (ISGs), Multi-omics integration</w:t>
            </w:r>
          </w:p>
        </w:tc>
      </w:tr>
      <w:tr w:rsidR="00097466" w14:paraId="782BB215" w14:textId="77777777">
        <w:tc>
          <w:tcPr>
            <w:tcW w:w="8645" w:type="dxa"/>
            <w:gridSpan w:val="2"/>
            <w:tcBorders>
              <w:top w:val="single" w:sz="4" w:space="0" w:color="000000"/>
              <w:left w:val="single" w:sz="18" w:space="0" w:color="000000"/>
              <w:right w:val="single" w:sz="18" w:space="0" w:color="000000"/>
            </w:tcBorders>
            <w:vAlign w:val="center"/>
          </w:tcPr>
          <w:p w14:paraId="51FD2971" w14:textId="77777777" w:rsidR="00097466" w:rsidRDefault="00000000" w:rsidP="00544557">
            <w:pPr>
              <w:spacing w:before="120" w:after="120" w:line="240" w:lineRule="auto"/>
              <w:ind w:hanging="2"/>
            </w:pPr>
            <w:bookmarkStart w:id="28" w:name="_heading=h.uqxgzhfrdu8" w:colFirst="0" w:colLast="0"/>
            <w:bookmarkEnd w:id="28"/>
            <w:r>
              <w:rPr>
                <w:b/>
                <w:bCs/>
              </w:rPr>
              <w:t>Resumen del Trabajo</w:t>
            </w:r>
          </w:p>
        </w:tc>
      </w:tr>
      <w:tr w:rsidR="00097466" w14:paraId="0A850C27" w14:textId="77777777">
        <w:tc>
          <w:tcPr>
            <w:tcW w:w="8645" w:type="dxa"/>
            <w:gridSpan w:val="2"/>
            <w:tcBorders>
              <w:left w:val="single" w:sz="18" w:space="0" w:color="000000"/>
              <w:right w:val="single" w:sz="18" w:space="0" w:color="000000"/>
            </w:tcBorders>
            <w:shd w:val="clear" w:color="auto" w:fill="E6E6E6"/>
            <w:vAlign w:val="center"/>
          </w:tcPr>
          <w:p w14:paraId="3F5BCE42" w14:textId="77777777" w:rsidR="00097466" w:rsidRDefault="00000000" w:rsidP="00544557">
            <w:pPr>
              <w:spacing w:before="120" w:after="120" w:line="240" w:lineRule="auto"/>
              <w:ind w:hanging="2"/>
            </w:pPr>
            <w:bookmarkStart w:id="29" w:name="_heading=h.p3efgjhstf6m" w:colFirst="0" w:colLast="0"/>
            <w:bookmarkEnd w:id="29"/>
            <w:r>
              <w:t xml:space="preserve">El lupus eritematoso sistémico (LES) es una enfermedad autoinmune crónica de alta heterogeneidad clínica y molecular. La </w:t>
            </w:r>
            <w:proofErr w:type="spellStart"/>
            <w:r>
              <w:t>sobreactivación</w:t>
            </w:r>
            <w:proofErr w:type="spellEnd"/>
            <w:r>
              <w:t xml:space="preserve"> de la vía del interferón de tipo I (IFN-I), reflejada en la firma transcriptómica de genes estimulados por interferón (ISGs), y la elevación de citoquinas séricas constituyen marcadores biológicos centrales de la enfermedad. Sin embargo, la integración formal de ambas capas moleculares no ha sido explorada sistemáticamente en cohortes propias.</w:t>
            </w:r>
          </w:p>
          <w:p w14:paraId="400492EB" w14:textId="77777777" w:rsidR="00097466" w:rsidRDefault="00000000" w:rsidP="00544557">
            <w:pPr>
              <w:spacing w:before="120" w:after="120" w:line="240" w:lineRule="auto"/>
              <w:ind w:left="-2"/>
            </w:pPr>
            <w:r>
              <w:t>Este trabajo presenta un análisis multi-</w:t>
            </w:r>
            <w:proofErr w:type="spellStart"/>
            <w:r>
              <w:t>ómico</w:t>
            </w:r>
            <w:proofErr w:type="spellEnd"/>
            <w:r>
              <w:t xml:space="preserve"> integrado de datos transcriptómicos (72 ISGs cuantificados mediante </w:t>
            </w:r>
            <w:proofErr w:type="spellStart"/>
            <w:r>
              <w:t>NanoString</w:t>
            </w:r>
            <w:proofErr w:type="spellEnd"/>
            <w:r>
              <w:t xml:space="preserve"> </w:t>
            </w:r>
            <w:proofErr w:type="spellStart"/>
            <w:r>
              <w:t>nCounter</w:t>
            </w:r>
            <w:proofErr w:type="spellEnd"/>
            <w:r>
              <w:t>) y proteómicos séricos (IFN-α, IFN-γ, interleucinas, complemento y marcadores metabólicos) en una cohorte propia de 252 pacientes con LES y 24 controles sanos, con el objetivo de evaluar su asociación con la actividad clínica medida mediante SLEDAI-2K, SLE-DAS, LLDAS y DORIS.</w:t>
            </w:r>
          </w:p>
        </w:tc>
      </w:tr>
      <w:tr w:rsidR="00097466" w14:paraId="236EA440" w14:textId="77777777">
        <w:tc>
          <w:tcPr>
            <w:tcW w:w="8645" w:type="dxa"/>
            <w:gridSpan w:val="2"/>
            <w:tcBorders>
              <w:left w:val="single" w:sz="18" w:space="0" w:color="000000"/>
              <w:right w:val="single" w:sz="18" w:space="0" w:color="000000"/>
            </w:tcBorders>
            <w:vAlign w:val="center"/>
          </w:tcPr>
          <w:p w14:paraId="2D2FF249" w14:textId="77777777" w:rsidR="00097466" w:rsidRDefault="00000000" w:rsidP="00544557">
            <w:pPr>
              <w:spacing w:before="120" w:after="120" w:line="240" w:lineRule="auto"/>
              <w:ind w:hanging="2"/>
            </w:pPr>
            <w:bookmarkStart w:id="30" w:name="_heading=h.aw0bdc236ame" w:colFirst="0" w:colLast="0"/>
            <w:bookmarkEnd w:id="30"/>
            <w:proofErr w:type="spellStart"/>
            <w:r>
              <w:rPr>
                <w:b/>
                <w:bCs/>
              </w:rPr>
              <w:t>Abstract</w:t>
            </w:r>
            <w:proofErr w:type="spellEnd"/>
          </w:p>
        </w:tc>
      </w:tr>
      <w:tr w:rsidR="00097466" w:rsidRPr="006871D1" w14:paraId="36FB45CE" w14:textId="77777777">
        <w:tc>
          <w:tcPr>
            <w:tcW w:w="8645" w:type="dxa"/>
            <w:gridSpan w:val="2"/>
            <w:tcBorders>
              <w:left w:val="single" w:sz="18" w:space="0" w:color="000000"/>
              <w:bottom w:val="single" w:sz="18" w:space="0" w:color="000000"/>
              <w:right w:val="single" w:sz="18" w:space="0" w:color="000000"/>
            </w:tcBorders>
            <w:shd w:val="clear" w:color="auto" w:fill="E6E6E6"/>
            <w:vAlign w:val="center"/>
          </w:tcPr>
          <w:p w14:paraId="669FFAE6" w14:textId="77777777" w:rsidR="00097466" w:rsidRPr="009008F7" w:rsidRDefault="00000000" w:rsidP="00544557">
            <w:pPr>
              <w:spacing w:before="120" w:after="120" w:line="240" w:lineRule="auto"/>
              <w:ind w:hanging="2"/>
              <w:rPr>
                <w:i/>
                <w:iCs/>
                <w:lang w:val="en-US"/>
              </w:rPr>
            </w:pPr>
            <w:bookmarkStart w:id="31" w:name="_heading=h.fejmivv9eza" w:colFirst="0" w:colLast="0"/>
            <w:bookmarkEnd w:id="31"/>
            <w:r w:rsidRPr="009008F7">
              <w:rPr>
                <w:i/>
                <w:iCs/>
                <w:lang w:val="en-US"/>
              </w:rPr>
              <w:t>Systemic lupus erythematosus (SLE) is a chronic autoimmune disease characterized by marked clinical and molecular heterogeneity. Overactivation of the type I interferon (IFN-I) pathway, reflected in the transcriptomic signature of interferon-stimulated genes (ISGs), and elevated serum cytokines represent central biological markers; however, formal integration of both molecular layers has not been systematically explored in real-world cohorts.</w:t>
            </w:r>
          </w:p>
          <w:p w14:paraId="2269269E" w14:textId="77777777" w:rsidR="00097466" w:rsidRPr="009008F7" w:rsidRDefault="00000000" w:rsidP="00544557">
            <w:pPr>
              <w:spacing w:before="120" w:after="120" w:line="240" w:lineRule="auto"/>
              <w:ind w:hanging="2"/>
              <w:rPr>
                <w:lang w:val="en-US"/>
              </w:rPr>
            </w:pPr>
            <w:r w:rsidRPr="009008F7">
              <w:rPr>
                <w:i/>
                <w:iCs/>
                <w:lang w:val="en-US"/>
              </w:rPr>
              <w:t xml:space="preserve">This study presents an integrated multi-omics analysis of transcriptomic data (72 ISGs quantified by </w:t>
            </w:r>
            <w:proofErr w:type="spellStart"/>
            <w:r w:rsidRPr="009008F7">
              <w:rPr>
                <w:i/>
                <w:iCs/>
                <w:lang w:val="en-US"/>
              </w:rPr>
              <w:t>NanoString</w:t>
            </w:r>
            <w:proofErr w:type="spellEnd"/>
            <w:r w:rsidRPr="009008F7">
              <w:rPr>
                <w:i/>
                <w:iCs/>
                <w:lang w:val="en-US"/>
              </w:rPr>
              <w:t xml:space="preserve"> </w:t>
            </w:r>
            <w:proofErr w:type="spellStart"/>
            <w:r w:rsidRPr="009008F7">
              <w:rPr>
                <w:i/>
                <w:iCs/>
                <w:lang w:val="en-US"/>
              </w:rPr>
              <w:t>nCounter</w:t>
            </w:r>
            <w:proofErr w:type="spellEnd"/>
            <w:r w:rsidRPr="009008F7">
              <w:rPr>
                <w:i/>
                <w:iCs/>
                <w:lang w:val="en-US"/>
              </w:rPr>
              <w:t>) and serum proteomic data (IFN-</w:t>
            </w:r>
            <w:r>
              <w:rPr>
                <w:i/>
                <w:iCs/>
              </w:rPr>
              <w:t>α</w:t>
            </w:r>
            <w:r w:rsidRPr="009008F7">
              <w:rPr>
                <w:i/>
                <w:iCs/>
                <w:lang w:val="en-US"/>
              </w:rPr>
              <w:t>, IFN-</w:t>
            </w:r>
            <w:r>
              <w:rPr>
                <w:i/>
                <w:iCs/>
              </w:rPr>
              <w:t>γ</w:t>
            </w:r>
            <w:r w:rsidRPr="009008F7">
              <w:rPr>
                <w:i/>
                <w:iCs/>
                <w:lang w:val="en-US"/>
              </w:rPr>
              <w:t>, interleukins, complement, and metabolic markers) in a cohort of 252 SLE patients and 24 healthy controls, aiming to evaluate their association with clinical disease activity as measured by SLEDAI-2K, SLE-DAS, LLDAS, and DORIS.</w:t>
            </w:r>
          </w:p>
        </w:tc>
      </w:tr>
    </w:tbl>
    <w:p w14:paraId="60B1B179" w14:textId="77777777" w:rsidR="00097466" w:rsidRPr="009008F7" w:rsidRDefault="00097466">
      <w:pPr>
        <w:ind w:hanging="2"/>
        <w:rPr>
          <w:lang w:val="en-US"/>
        </w:rPr>
        <w:sectPr w:rsidR="00097466" w:rsidRPr="009008F7">
          <w:footerReference w:type="default" r:id="rId20"/>
          <w:footerReference w:type="first" r:id="rId21"/>
          <w:pgSz w:w="11907" w:h="16840"/>
          <w:pgMar w:top="1418" w:right="1701" w:bottom="1418" w:left="1701" w:header="709" w:footer="709" w:gutter="0"/>
          <w:pgNumType w:start="1"/>
          <w:cols w:space="720"/>
          <w:titlePg/>
        </w:sectPr>
      </w:pPr>
    </w:p>
    <w:p w14:paraId="1BF24D4B" w14:textId="77777777" w:rsidR="00097466" w:rsidRPr="009008F7" w:rsidRDefault="00097466" w:rsidP="00544557">
      <w:pPr>
        <w:jc w:val="left"/>
        <w:rPr>
          <w:lang w:val="en-US"/>
        </w:rPr>
      </w:pPr>
    </w:p>
    <w:p w14:paraId="4B83227C" w14:textId="5AF833E4" w:rsidR="00544557" w:rsidRDefault="00000000" w:rsidP="00544557">
      <w:pPr>
        <w:spacing w:after="0"/>
        <w:rPr>
          <w:sz w:val="21"/>
          <w:szCs w:val="21"/>
        </w:rPr>
      </w:pPr>
      <w:bookmarkStart w:id="32" w:name="_heading=h.d9kn6qrpjxhk" w:colFirst="0" w:colLast="0"/>
      <w:bookmarkEnd w:id="32"/>
      <w:r>
        <w:rPr>
          <w:b/>
          <w:bCs/>
          <w:sz w:val="32"/>
          <w:szCs w:val="32"/>
        </w:rPr>
        <w:t>Índice</w:t>
      </w:r>
    </w:p>
    <w:p w14:paraId="47565F0F" w14:textId="3495B50B" w:rsidR="00402F92" w:rsidRDefault="00544557">
      <w:pPr>
        <w:pStyle w:val="TDC1"/>
        <w:tabs>
          <w:tab w:val="left" w:pos="480"/>
          <w:tab w:val="right" w:leader="dot" w:pos="8495"/>
        </w:tabs>
        <w:rPr>
          <w:rFonts w:asciiTheme="minorHAnsi" w:eastAsiaTheme="minorEastAsia" w:hAnsiTheme="minorHAnsi" w:cstheme="minorBidi"/>
          <w:noProof/>
          <w:kern w:val="2"/>
          <w:sz w:val="24"/>
          <w:szCs w:val="24"/>
          <w:lang w:val="es-ES"/>
          <w14:ligatures w14:val="standardContextual"/>
        </w:rPr>
      </w:pPr>
      <w:r>
        <w:rPr>
          <w:sz w:val="21"/>
          <w:szCs w:val="21"/>
        </w:rPr>
        <w:fldChar w:fldCharType="begin"/>
      </w:r>
      <w:r>
        <w:rPr>
          <w:sz w:val="21"/>
          <w:szCs w:val="21"/>
        </w:rPr>
        <w:instrText xml:space="preserve"> TOC \o "1-2" \h \z \u </w:instrText>
      </w:r>
      <w:r>
        <w:rPr>
          <w:sz w:val="21"/>
          <w:szCs w:val="21"/>
        </w:rPr>
        <w:fldChar w:fldCharType="separate"/>
      </w:r>
      <w:hyperlink w:anchor="_Toc230792302" w:history="1">
        <w:r w:rsidR="00402F92" w:rsidRPr="005749FA">
          <w:rPr>
            <w:rStyle w:val="Hipervnculo"/>
            <w:noProof/>
          </w:rPr>
          <w:t>1</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Introducción</w:t>
        </w:r>
        <w:r w:rsidR="00402F92">
          <w:rPr>
            <w:noProof/>
            <w:webHidden/>
          </w:rPr>
          <w:tab/>
        </w:r>
        <w:r w:rsidR="00402F92">
          <w:rPr>
            <w:noProof/>
            <w:webHidden/>
          </w:rPr>
          <w:fldChar w:fldCharType="begin"/>
        </w:r>
        <w:r w:rsidR="00402F92">
          <w:rPr>
            <w:noProof/>
            <w:webHidden/>
          </w:rPr>
          <w:instrText xml:space="preserve"> PAGEREF _Toc230792302 \h </w:instrText>
        </w:r>
        <w:r w:rsidR="00402F92">
          <w:rPr>
            <w:noProof/>
            <w:webHidden/>
          </w:rPr>
        </w:r>
        <w:r w:rsidR="00402F92">
          <w:rPr>
            <w:noProof/>
            <w:webHidden/>
          </w:rPr>
          <w:fldChar w:fldCharType="separate"/>
        </w:r>
        <w:r w:rsidR="00402F92">
          <w:rPr>
            <w:noProof/>
            <w:webHidden/>
          </w:rPr>
          <w:t>1</w:t>
        </w:r>
        <w:r w:rsidR="00402F92">
          <w:rPr>
            <w:noProof/>
            <w:webHidden/>
          </w:rPr>
          <w:fldChar w:fldCharType="end"/>
        </w:r>
      </w:hyperlink>
    </w:p>
    <w:p w14:paraId="5789A13B" w14:textId="3DF455EB"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03" w:history="1">
        <w:r w:rsidR="00402F92" w:rsidRPr="005749FA">
          <w:rPr>
            <w:rStyle w:val="Hipervnculo"/>
            <w:noProof/>
          </w:rPr>
          <w:t>1.1</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Contexto y justificación del Trabajo</w:t>
        </w:r>
        <w:r w:rsidR="00402F92">
          <w:rPr>
            <w:noProof/>
            <w:webHidden/>
          </w:rPr>
          <w:tab/>
        </w:r>
        <w:r w:rsidR="00402F92">
          <w:rPr>
            <w:noProof/>
            <w:webHidden/>
          </w:rPr>
          <w:fldChar w:fldCharType="begin"/>
        </w:r>
        <w:r w:rsidR="00402F92">
          <w:rPr>
            <w:noProof/>
            <w:webHidden/>
          </w:rPr>
          <w:instrText xml:space="preserve"> PAGEREF _Toc230792303 \h </w:instrText>
        </w:r>
        <w:r w:rsidR="00402F92">
          <w:rPr>
            <w:noProof/>
            <w:webHidden/>
          </w:rPr>
        </w:r>
        <w:r w:rsidR="00402F92">
          <w:rPr>
            <w:noProof/>
            <w:webHidden/>
          </w:rPr>
          <w:fldChar w:fldCharType="separate"/>
        </w:r>
        <w:r w:rsidR="00402F92">
          <w:rPr>
            <w:noProof/>
            <w:webHidden/>
          </w:rPr>
          <w:t>1</w:t>
        </w:r>
        <w:r w:rsidR="00402F92">
          <w:rPr>
            <w:noProof/>
            <w:webHidden/>
          </w:rPr>
          <w:fldChar w:fldCharType="end"/>
        </w:r>
      </w:hyperlink>
    </w:p>
    <w:p w14:paraId="55FB4C05" w14:textId="33745AB8"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04" w:history="1">
        <w:r w:rsidR="00402F92" w:rsidRPr="005749FA">
          <w:rPr>
            <w:rStyle w:val="Hipervnculo"/>
            <w:noProof/>
          </w:rPr>
          <w:t>1.2</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Objetivos del Trabajo</w:t>
        </w:r>
        <w:r w:rsidR="00402F92">
          <w:rPr>
            <w:noProof/>
            <w:webHidden/>
          </w:rPr>
          <w:tab/>
        </w:r>
        <w:r w:rsidR="00402F92">
          <w:rPr>
            <w:noProof/>
            <w:webHidden/>
          </w:rPr>
          <w:fldChar w:fldCharType="begin"/>
        </w:r>
        <w:r w:rsidR="00402F92">
          <w:rPr>
            <w:noProof/>
            <w:webHidden/>
          </w:rPr>
          <w:instrText xml:space="preserve"> PAGEREF _Toc230792304 \h </w:instrText>
        </w:r>
        <w:r w:rsidR="00402F92">
          <w:rPr>
            <w:noProof/>
            <w:webHidden/>
          </w:rPr>
        </w:r>
        <w:r w:rsidR="00402F92">
          <w:rPr>
            <w:noProof/>
            <w:webHidden/>
          </w:rPr>
          <w:fldChar w:fldCharType="separate"/>
        </w:r>
        <w:r w:rsidR="00402F92">
          <w:rPr>
            <w:noProof/>
            <w:webHidden/>
          </w:rPr>
          <w:t>2</w:t>
        </w:r>
        <w:r w:rsidR="00402F92">
          <w:rPr>
            <w:noProof/>
            <w:webHidden/>
          </w:rPr>
          <w:fldChar w:fldCharType="end"/>
        </w:r>
      </w:hyperlink>
    </w:p>
    <w:p w14:paraId="24A031C3" w14:textId="2438FB69"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05" w:history="1">
        <w:r w:rsidR="00402F92" w:rsidRPr="005749FA">
          <w:rPr>
            <w:rStyle w:val="Hipervnculo"/>
            <w:noProof/>
          </w:rPr>
          <w:t>1.3</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Impacto en sostenibilidad, ético-social y de diversidad</w:t>
        </w:r>
        <w:r w:rsidR="00402F92">
          <w:rPr>
            <w:noProof/>
            <w:webHidden/>
          </w:rPr>
          <w:tab/>
        </w:r>
        <w:r w:rsidR="00402F92">
          <w:rPr>
            <w:noProof/>
            <w:webHidden/>
          </w:rPr>
          <w:fldChar w:fldCharType="begin"/>
        </w:r>
        <w:r w:rsidR="00402F92">
          <w:rPr>
            <w:noProof/>
            <w:webHidden/>
          </w:rPr>
          <w:instrText xml:space="preserve"> PAGEREF _Toc230792305 \h </w:instrText>
        </w:r>
        <w:r w:rsidR="00402F92">
          <w:rPr>
            <w:noProof/>
            <w:webHidden/>
          </w:rPr>
        </w:r>
        <w:r w:rsidR="00402F92">
          <w:rPr>
            <w:noProof/>
            <w:webHidden/>
          </w:rPr>
          <w:fldChar w:fldCharType="separate"/>
        </w:r>
        <w:r w:rsidR="00402F92">
          <w:rPr>
            <w:noProof/>
            <w:webHidden/>
          </w:rPr>
          <w:t>3</w:t>
        </w:r>
        <w:r w:rsidR="00402F92">
          <w:rPr>
            <w:noProof/>
            <w:webHidden/>
          </w:rPr>
          <w:fldChar w:fldCharType="end"/>
        </w:r>
      </w:hyperlink>
    </w:p>
    <w:p w14:paraId="30A1C66E" w14:textId="398F6A61"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06" w:history="1">
        <w:r w:rsidR="00402F92" w:rsidRPr="005749FA">
          <w:rPr>
            <w:rStyle w:val="Hipervnculo"/>
            <w:noProof/>
          </w:rPr>
          <w:t>1.4</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Enfoque y método seguido</w:t>
        </w:r>
        <w:r w:rsidR="00402F92">
          <w:rPr>
            <w:noProof/>
            <w:webHidden/>
          </w:rPr>
          <w:tab/>
        </w:r>
        <w:r w:rsidR="00402F92">
          <w:rPr>
            <w:noProof/>
            <w:webHidden/>
          </w:rPr>
          <w:fldChar w:fldCharType="begin"/>
        </w:r>
        <w:r w:rsidR="00402F92">
          <w:rPr>
            <w:noProof/>
            <w:webHidden/>
          </w:rPr>
          <w:instrText xml:space="preserve"> PAGEREF _Toc230792306 \h </w:instrText>
        </w:r>
        <w:r w:rsidR="00402F92">
          <w:rPr>
            <w:noProof/>
            <w:webHidden/>
          </w:rPr>
        </w:r>
        <w:r w:rsidR="00402F92">
          <w:rPr>
            <w:noProof/>
            <w:webHidden/>
          </w:rPr>
          <w:fldChar w:fldCharType="separate"/>
        </w:r>
        <w:r w:rsidR="00402F92">
          <w:rPr>
            <w:noProof/>
            <w:webHidden/>
          </w:rPr>
          <w:t>3</w:t>
        </w:r>
        <w:r w:rsidR="00402F92">
          <w:rPr>
            <w:noProof/>
            <w:webHidden/>
          </w:rPr>
          <w:fldChar w:fldCharType="end"/>
        </w:r>
      </w:hyperlink>
    </w:p>
    <w:p w14:paraId="49463377" w14:textId="5ACD98B1"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07" w:history="1">
        <w:r w:rsidR="00402F92" w:rsidRPr="005749FA">
          <w:rPr>
            <w:rStyle w:val="Hipervnculo"/>
            <w:noProof/>
          </w:rPr>
          <w:t>1.5</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Planificación del Trabajo</w:t>
        </w:r>
        <w:r w:rsidR="00402F92">
          <w:rPr>
            <w:noProof/>
            <w:webHidden/>
          </w:rPr>
          <w:tab/>
        </w:r>
        <w:r w:rsidR="00402F92">
          <w:rPr>
            <w:noProof/>
            <w:webHidden/>
          </w:rPr>
          <w:fldChar w:fldCharType="begin"/>
        </w:r>
        <w:r w:rsidR="00402F92">
          <w:rPr>
            <w:noProof/>
            <w:webHidden/>
          </w:rPr>
          <w:instrText xml:space="preserve"> PAGEREF _Toc230792307 \h </w:instrText>
        </w:r>
        <w:r w:rsidR="00402F92">
          <w:rPr>
            <w:noProof/>
            <w:webHidden/>
          </w:rPr>
        </w:r>
        <w:r w:rsidR="00402F92">
          <w:rPr>
            <w:noProof/>
            <w:webHidden/>
          </w:rPr>
          <w:fldChar w:fldCharType="separate"/>
        </w:r>
        <w:r w:rsidR="00402F92">
          <w:rPr>
            <w:noProof/>
            <w:webHidden/>
          </w:rPr>
          <w:t>5</w:t>
        </w:r>
        <w:r w:rsidR="00402F92">
          <w:rPr>
            <w:noProof/>
            <w:webHidden/>
          </w:rPr>
          <w:fldChar w:fldCharType="end"/>
        </w:r>
      </w:hyperlink>
    </w:p>
    <w:p w14:paraId="25313D57" w14:textId="1221E7BA"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08" w:history="1">
        <w:r w:rsidR="00402F92" w:rsidRPr="005749FA">
          <w:rPr>
            <w:rStyle w:val="Hipervnculo"/>
            <w:noProof/>
          </w:rPr>
          <w:t>1.6</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Breve sumario de productos obtenidos</w:t>
        </w:r>
        <w:r w:rsidR="00402F92">
          <w:rPr>
            <w:noProof/>
            <w:webHidden/>
          </w:rPr>
          <w:tab/>
        </w:r>
        <w:r w:rsidR="00402F92">
          <w:rPr>
            <w:noProof/>
            <w:webHidden/>
          </w:rPr>
          <w:fldChar w:fldCharType="begin"/>
        </w:r>
        <w:r w:rsidR="00402F92">
          <w:rPr>
            <w:noProof/>
            <w:webHidden/>
          </w:rPr>
          <w:instrText xml:space="preserve"> PAGEREF _Toc230792308 \h </w:instrText>
        </w:r>
        <w:r w:rsidR="00402F92">
          <w:rPr>
            <w:noProof/>
            <w:webHidden/>
          </w:rPr>
        </w:r>
        <w:r w:rsidR="00402F92">
          <w:rPr>
            <w:noProof/>
            <w:webHidden/>
          </w:rPr>
          <w:fldChar w:fldCharType="separate"/>
        </w:r>
        <w:r w:rsidR="00402F92">
          <w:rPr>
            <w:noProof/>
            <w:webHidden/>
          </w:rPr>
          <w:t>8</w:t>
        </w:r>
        <w:r w:rsidR="00402F92">
          <w:rPr>
            <w:noProof/>
            <w:webHidden/>
          </w:rPr>
          <w:fldChar w:fldCharType="end"/>
        </w:r>
      </w:hyperlink>
    </w:p>
    <w:p w14:paraId="6D0AF5AA" w14:textId="29C91825"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09" w:history="1">
        <w:r w:rsidR="00402F92" w:rsidRPr="005749FA">
          <w:rPr>
            <w:rStyle w:val="Hipervnculo"/>
            <w:noProof/>
          </w:rPr>
          <w:t>1.7</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Declaración sobre el uso de inteligencia artificial generativa</w:t>
        </w:r>
        <w:r w:rsidR="00402F92">
          <w:rPr>
            <w:noProof/>
            <w:webHidden/>
          </w:rPr>
          <w:tab/>
        </w:r>
        <w:r w:rsidR="00402F92">
          <w:rPr>
            <w:noProof/>
            <w:webHidden/>
          </w:rPr>
          <w:fldChar w:fldCharType="begin"/>
        </w:r>
        <w:r w:rsidR="00402F92">
          <w:rPr>
            <w:noProof/>
            <w:webHidden/>
          </w:rPr>
          <w:instrText xml:space="preserve"> PAGEREF _Toc230792309 \h </w:instrText>
        </w:r>
        <w:r w:rsidR="00402F92">
          <w:rPr>
            <w:noProof/>
            <w:webHidden/>
          </w:rPr>
        </w:r>
        <w:r w:rsidR="00402F92">
          <w:rPr>
            <w:noProof/>
            <w:webHidden/>
          </w:rPr>
          <w:fldChar w:fldCharType="separate"/>
        </w:r>
        <w:r w:rsidR="00402F92">
          <w:rPr>
            <w:noProof/>
            <w:webHidden/>
          </w:rPr>
          <w:t>8</w:t>
        </w:r>
        <w:r w:rsidR="00402F92">
          <w:rPr>
            <w:noProof/>
            <w:webHidden/>
          </w:rPr>
          <w:fldChar w:fldCharType="end"/>
        </w:r>
      </w:hyperlink>
    </w:p>
    <w:p w14:paraId="587F6A66" w14:textId="5F3E648F" w:rsidR="00402F92" w:rsidRDefault="00000000">
      <w:pPr>
        <w:pStyle w:val="TDC1"/>
        <w:tabs>
          <w:tab w:val="left" w:pos="48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10" w:history="1">
        <w:r w:rsidR="00402F92" w:rsidRPr="005749FA">
          <w:rPr>
            <w:rStyle w:val="Hipervnculo"/>
            <w:noProof/>
          </w:rPr>
          <w:t>2</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Estado del arte</w:t>
        </w:r>
        <w:r w:rsidR="00402F92">
          <w:rPr>
            <w:noProof/>
            <w:webHidden/>
          </w:rPr>
          <w:tab/>
        </w:r>
        <w:r w:rsidR="00402F92">
          <w:rPr>
            <w:noProof/>
            <w:webHidden/>
          </w:rPr>
          <w:fldChar w:fldCharType="begin"/>
        </w:r>
        <w:r w:rsidR="00402F92">
          <w:rPr>
            <w:noProof/>
            <w:webHidden/>
          </w:rPr>
          <w:instrText xml:space="preserve"> PAGEREF _Toc230792310 \h </w:instrText>
        </w:r>
        <w:r w:rsidR="00402F92">
          <w:rPr>
            <w:noProof/>
            <w:webHidden/>
          </w:rPr>
        </w:r>
        <w:r w:rsidR="00402F92">
          <w:rPr>
            <w:noProof/>
            <w:webHidden/>
          </w:rPr>
          <w:fldChar w:fldCharType="separate"/>
        </w:r>
        <w:r w:rsidR="00402F92">
          <w:rPr>
            <w:noProof/>
            <w:webHidden/>
          </w:rPr>
          <w:t>9</w:t>
        </w:r>
        <w:r w:rsidR="00402F92">
          <w:rPr>
            <w:noProof/>
            <w:webHidden/>
          </w:rPr>
          <w:fldChar w:fldCharType="end"/>
        </w:r>
      </w:hyperlink>
    </w:p>
    <w:p w14:paraId="2B21BDC6" w14:textId="184D4671"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11" w:history="1">
        <w:r w:rsidR="00402F92" w:rsidRPr="005749FA">
          <w:rPr>
            <w:rStyle w:val="Hipervnculo"/>
            <w:noProof/>
          </w:rPr>
          <w:t>2.1</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El lupus eritematoso sistémico: epidemiología y heterogeneidad clínica</w:t>
        </w:r>
        <w:r w:rsidR="00402F92">
          <w:rPr>
            <w:noProof/>
            <w:webHidden/>
          </w:rPr>
          <w:tab/>
        </w:r>
        <w:r w:rsidR="00402F92">
          <w:rPr>
            <w:noProof/>
            <w:webHidden/>
          </w:rPr>
          <w:fldChar w:fldCharType="begin"/>
        </w:r>
        <w:r w:rsidR="00402F92">
          <w:rPr>
            <w:noProof/>
            <w:webHidden/>
          </w:rPr>
          <w:instrText xml:space="preserve"> PAGEREF _Toc230792311 \h </w:instrText>
        </w:r>
        <w:r w:rsidR="00402F92">
          <w:rPr>
            <w:noProof/>
            <w:webHidden/>
          </w:rPr>
        </w:r>
        <w:r w:rsidR="00402F92">
          <w:rPr>
            <w:noProof/>
            <w:webHidden/>
          </w:rPr>
          <w:fldChar w:fldCharType="separate"/>
        </w:r>
        <w:r w:rsidR="00402F92">
          <w:rPr>
            <w:noProof/>
            <w:webHidden/>
          </w:rPr>
          <w:t>9</w:t>
        </w:r>
        <w:r w:rsidR="00402F92">
          <w:rPr>
            <w:noProof/>
            <w:webHidden/>
          </w:rPr>
          <w:fldChar w:fldCharType="end"/>
        </w:r>
      </w:hyperlink>
    </w:p>
    <w:p w14:paraId="487A0BED" w14:textId="60C39DBB"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12" w:history="1">
        <w:r w:rsidR="00402F92" w:rsidRPr="005749FA">
          <w:rPr>
            <w:rStyle w:val="Hipervnculo"/>
            <w:noProof/>
          </w:rPr>
          <w:t>2.2</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Índices clínicos: SLEDAI-2K, SLE-DAS, SLICC, LLDAS y DORIS</w:t>
        </w:r>
        <w:r w:rsidR="00402F92">
          <w:rPr>
            <w:noProof/>
            <w:webHidden/>
          </w:rPr>
          <w:tab/>
        </w:r>
        <w:r w:rsidR="00402F92">
          <w:rPr>
            <w:noProof/>
            <w:webHidden/>
          </w:rPr>
          <w:fldChar w:fldCharType="begin"/>
        </w:r>
        <w:r w:rsidR="00402F92">
          <w:rPr>
            <w:noProof/>
            <w:webHidden/>
          </w:rPr>
          <w:instrText xml:space="preserve"> PAGEREF _Toc230792312 \h </w:instrText>
        </w:r>
        <w:r w:rsidR="00402F92">
          <w:rPr>
            <w:noProof/>
            <w:webHidden/>
          </w:rPr>
        </w:r>
        <w:r w:rsidR="00402F92">
          <w:rPr>
            <w:noProof/>
            <w:webHidden/>
          </w:rPr>
          <w:fldChar w:fldCharType="separate"/>
        </w:r>
        <w:r w:rsidR="00402F92">
          <w:rPr>
            <w:noProof/>
            <w:webHidden/>
          </w:rPr>
          <w:t>9</w:t>
        </w:r>
        <w:r w:rsidR="00402F92">
          <w:rPr>
            <w:noProof/>
            <w:webHidden/>
          </w:rPr>
          <w:fldChar w:fldCharType="end"/>
        </w:r>
      </w:hyperlink>
    </w:p>
    <w:p w14:paraId="0D286961" w14:textId="47BFEDF9"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13" w:history="1">
        <w:r w:rsidR="00402F92" w:rsidRPr="005749FA">
          <w:rPr>
            <w:rStyle w:val="Hipervnculo"/>
            <w:noProof/>
          </w:rPr>
          <w:t>2.3</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Papel central del interferón de tipo I y la firma de interferón</w:t>
        </w:r>
        <w:r w:rsidR="00402F92">
          <w:rPr>
            <w:noProof/>
            <w:webHidden/>
          </w:rPr>
          <w:tab/>
        </w:r>
        <w:r w:rsidR="00402F92">
          <w:rPr>
            <w:noProof/>
            <w:webHidden/>
          </w:rPr>
          <w:fldChar w:fldCharType="begin"/>
        </w:r>
        <w:r w:rsidR="00402F92">
          <w:rPr>
            <w:noProof/>
            <w:webHidden/>
          </w:rPr>
          <w:instrText xml:space="preserve"> PAGEREF _Toc230792313 \h </w:instrText>
        </w:r>
        <w:r w:rsidR="00402F92">
          <w:rPr>
            <w:noProof/>
            <w:webHidden/>
          </w:rPr>
        </w:r>
        <w:r w:rsidR="00402F92">
          <w:rPr>
            <w:noProof/>
            <w:webHidden/>
          </w:rPr>
          <w:fldChar w:fldCharType="separate"/>
        </w:r>
        <w:r w:rsidR="00402F92">
          <w:rPr>
            <w:noProof/>
            <w:webHidden/>
          </w:rPr>
          <w:t>11</w:t>
        </w:r>
        <w:r w:rsidR="00402F92">
          <w:rPr>
            <w:noProof/>
            <w:webHidden/>
          </w:rPr>
          <w:fldChar w:fldCharType="end"/>
        </w:r>
      </w:hyperlink>
    </w:p>
    <w:p w14:paraId="625F5F64" w14:textId="0F04389E"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14" w:history="1">
        <w:r w:rsidR="00402F92" w:rsidRPr="005749FA">
          <w:rPr>
            <w:rStyle w:val="Hipervnculo"/>
            <w:noProof/>
          </w:rPr>
          <w:t>2.4</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Panel proteómico sérico y biomarcadores complementario</w:t>
        </w:r>
        <w:r w:rsidR="00402F92">
          <w:rPr>
            <w:noProof/>
            <w:webHidden/>
          </w:rPr>
          <w:tab/>
        </w:r>
        <w:r w:rsidR="00402F92">
          <w:rPr>
            <w:noProof/>
            <w:webHidden/>
          </w:rPr>
          <w:fldChar w:fldCharType="begin"/>
        </w:r>
        <w:r w:rsidR="00402F92">
          <w:rPr>
            <w:noProof/>
            <w:webHidden/>
          </w:rPr>
          <w:instrText xml:space="preserve"> PAGEREF _Toc230792314 \h </w:instrText>
        </w:r>
        <w:r w:rsidR="00402F92">
          <w:rPr>
            <w:noProof/>
            <w:webHidden/>
          </w:rPr>
        </w:r>
        <w:r w:rsidR="00402F92">
          <w:rPr>
            <w:noProof/>
            <w:webHidden/>
          </w:rPr>
          <w:fldChar w:fldCharType="separate"/>
        </w:r>
        <w:r w:rsidR="00402F92">
          <w:rPr>
            <w:noProof/>
            <w:webHidden/>
          </w:rPr>
          <w:t>12</w:t>
        </w:r>
        <w:r w:rsidR="00402F92">
          <w:rPr>
            <w:noProof/>
            <w:webHidden/>
          </w:rPr>
          <w:fldChar w:fldCharType="end"/>
        </w:r>
      </w:hyperlink>
    </w:p>
    <w:p w14:paraId="7FDB5F28" w14:textId="5489ED1B"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15" w:history="1">
        <w:r w:rsidR="00402F92" w:rsidRPr="005749FA">
          <w:rPr>
            <w:rStyle w:val="Hipervnculo"/>
            <w:noProof/>
          </w:rPr>
          <w:t>2.5</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Integración multiómica: MOFA2, DIABLO</w:t>
        </w:r>
        <w:r w:rsidR="00402F92">
          <w:rPr>
            <w:noProof/>
            <w:webHidden/>
          </w:rPr>
          <w:tab/>
        </w:r>
        <w:r w:rsidR="00402F92">
          <w:rPr>
            <w:noProof/>
            <w:webHidden/>
          </w:rPr>
          <w:fldChar w:fldCharType="begin"/>
        </w:r>
        <w:r w:rsidR="00402F92">
          <w:rPr>
            <w:noProof/>
            <w:webHidden/>
          </w:rPr>
          <w:instrText xml:space="preserve"> PAGEREF _Toc230792315 \h </w:instrText>
        </w:r>
        <w:r w:rsidR="00402F92">
          <w:rPr>
            <w:noProof/>
            <w:webHidden/>
          </w:rPr>
        </w:r>
        <w:r w:rsidR="00402F92">
          <w:rPr>
            <w:noProof/>
            <w:webHidden/>
          </w:rPr>
          <w:fldChar w:fldCharType="separate"/>
        </w:r>
        <w:r w:rsidR="00402F92">
          <w:rPr>
            <w:noProof/>
            <w:webHidden/>
          </w:rPr>
          <w:t>13</w:t>
        </w:r>
        <w:r w:rsidR="00402F92">
          <w:rPr>
            <w:noProof/>
            <w:webHidden/>
          </w:rPr>
          <w:fldChar w:fldCharType="end"/>
        </w:r>
      </w:hyperlink>
    </w:p>
    <w:p w14:paraId="1DDE8DF3" w14:textId="1C90CFE2"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16" w:history="1">
        <w:r w:rsidR="00402F92" w:rsidRPr="005749FA">
          <w:rPr>
            <w:rStyle w:val="Hipervnculo"/>
            <w:noProof/>
          </w:rPr>
          <w:t>2.6</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Objetivos y justificación del presente trabajo</w:t>
        </w:r>
        <w:r w:rsidR="00402F92">
          <w:rPr>
            <w:noProof/>
            <w:webHidden/>
          </w:rPr>
          <w:tab/>
        </w:r>
        <w:r w:rsidR="00402F92">
          <w:rPr>
            <w:noProof/>
            <w:webHidden/>
          </w:rPr>
          <w:fldChar w:fldCharType="begin"/>
        </w:r>
        <w:r w:rsidR="00402F92">
          <w:rPr>
            <w:noProof/>
            <w:webHidden/>
          </w:rPr>
          <w:instrText xml:space="preserve"> PAGEREF _Toc230792316 \h </w:instrText>
        </w:r>
        <w:r w:rsidR="00402F92">
          <w:rPr>
            <w:noProof/>
            <w:webHidden/>
          </w:rPr>
        </w:r>
        <w:r w:rsidR="00402F92">
          <w:rPr>
            <w:noProof/>
            <w:webHidden/>
          </w:rPr>
          <w:fldChar w:fldCharType="separate"/>
        </w:r>
        <w:r w:rsidR="00402F92">
          <w:rPr>
            <w:noProof/>
            <w:webHidden/>
          </w:rPr>
          <w:t>15</w:t>
        </w:r>
        <w:r w:rsidR="00402F92">
          <w:rPr>
            <w:noProof/>
            <w:webHidden/>
          </w:rPr>
          <w:fldChar w:fldCharType="end"/>
        </w:r>
      </w:hyperlink>
    </w:p>
    <w:p w14:paraId="7DF86609" w14:textId="4424AB8B" w:rsidR="00402F92" w:rsidRDefault="00000000">
      <w:pPr>
        <w:pStyle w:val="TDC1"/>
        <w:tabs>
          <w:tab w:val="left" w:pos="48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17" w:history="1">
        <w:r w:rsidR="00402F92" w:rsidRPr="005749FA">
          <w:rPr>
            <w:rStyle w:val="Hipervnculo"/>
            <w:noProof/>
          </w:rPr>
          <w:t>3</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Materiales y métodos</w:t>
        </w:r>
        <w:r w:rsidR="00402F92">
          <w:rPr>
            <w:noProof/>
            <w:webHidden/>
          </w:rPr>
          <w:tab/>
        </w:r>
        <w:r w:rsidR="00402F92">
          <w:rPr>
            <w:noProof/>
            <w:webHidden/>
          </w:rPr>
          <w:fldChar w:fldCharType="begin"/>
        </w:r>
        <w:r w:rsidR="00402F92">
          <w:rPr>
            <w:noProof/>
            <w:webHidden/>
          </w:rPr>
          <w:instrText xml:space="preserve"> PAGEREF _Toc230792317 \h </w:instrText>
        </w:r>
        <w:r w:rsidR="00402F92">
          <w:rPr>
            <w:noProof/>
            <w:webHidden/>
          </w:rPr>
        </w:r>
        <w:r w:rsidR="00402F92">
          <w:rPr>
            <w:noProof/>
            <w:webHidden/>
          </w:rPr>
          <w:fldChar w:fldCharType="separate"/>
        </w:r>
        <w:r w:rsidR="00402F92">
          <w:rPr>
            <w:noProof/>
            <w:webHidden/>
          </w:rPr>
          <w:t>18</w:t>
        </w:r>
        <w:r w:rsidR="00402F92">
          <w:rPr>
            <w:noProof/>
            <w:webHidden/>
          </w:rPr>
          <w:fldChar w:fldCharType="end"/>
        </w:r>
      </w:hyperlink>
    </w:p>
    <w:p w14:paraId="3D6F6167" w14:textId="79ABD98F"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18" w:history="1">
        <w:r w:rsidR="00402F92" w:rsidRPr="005749FA">
          <w:rPr>
            <w:rStyle w:val="Hipervnculo"/>
            <w:noProof/>
          </w:rPr>
          <w:t>3.1</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Diseño del estudio y población</w:t>
        </w:r>
        <w:r w:rsidR="00402F92">
          <w:rPr>
            <w:noProof/>
            <w:webHidden/>
          </w:rPr>
          <w:tab/>
        </w:r>
        <w:r w:rsidR="00402F92">
          <w:rPr>
            <w:noProof/>
            <w:webHidden/>
          </w:rPr>
          <w:fldChar w:fldCharType="begin"/>
        </w:r>
        <w:r w:rsidR="00402F92">
          <w:rPr>
            <w:noProof/>
            <w:webHidden/>
          </w:rPr>
          <w:instrText xml:space="preserve"> PAGEREF _Toc230792318 \h </w:instrText>
        </w:r>
        <w:r w:rsidR="00402F92">
          <w:rPr>
            <w:noProof/>
            <w:webHidden/>
          </w:rPr>
        </w:r>
        <w:r w:rsidR="00402F92">
          <w:rPr>
            <w:noProof/>
            <w:webHidden/>
          </w:rPr>
          <w:fldChar w:fldCharType="separate"/>
        </w:r>
        <w:r w:rsidR="00402F92">
          <w:rPr>
            <w:noProof/>
            <w:webHidden/>
          </w:rPr>
          <w:t>18</w:t>
        </w:r>
        <w:r w:rsidR="00402F92">
          <w:rPr>
            <w:noProof/>
            <w:webHidden/>
          </w:rPr>
          <w:fldChar w:fldCharType="end"/>
        </w:r>
      </w:hyperlink>
    </w:p>
    <w:p w14:paraId="74F88940" w14:textId="5545532B"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19" w:history="1">
        <w:r w:rsidR="00402F92" w:rsidRPr="005749FA">
          <w:rPr>
            <w:rStyle w:val="Hipervnculo"/>
            <w:noProof/>
          </w:rPr>
          <w:t>3.2</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Variables clínicas e índices de actividad</w:t>
        </w:r>
        <w:r w:rsidR="00402F92">
          <w:rPr>
            <w:noProof/>
            <w:webHidden/>
          </w:rPr>
          <w:tab/>
        </w:r>
        <w:r w:rsidR="00402F92">
          <w:rPr>
            <w:noProof/>
            <w:webHidden/>
          </w:rPr>
          <w:fldChar w:fldCharType="begin"/>
        </w:r>
        <w:r w:rsidR="00402F92">
          <w:rPr>
            <w:noProof/>
            <w:webHidden/>
          </w:rPr>
          <w:instrText xml:space="preserve"> PAGEREF _Toc230792319 \h </w:instrText>
        </w:r>
        <w:r w:rsidR="00402F92">
          <w:rPr>
            <w:noProof/>
            <w:webHidden/>
          </w:rPr>
        </w:r>
        <w:r w:rsidR="00402F92">
          <w:rPr>
            <w:noProof/>
            <w:webHidden/>
          </w:rPr>
          <w:fldChar w:fldCharType="separate"/>
        </w:r>
        <w:r w:rsidR="00402F92">
          <w:rPr>
            <w:noProof/>
            <w:webHidden/>
          </w:rPr>
          <w:t>19</w:t>
        </w:r>
        <w:r w:rsidR="00402F92">
          <w:rPr>
            <w:noProof/>
            <w:webHidden/>
          </w:rPr>
          <w:fldChar w:fldCharType="end"/>
        </w:r>
      </w:hyperlink>
    </w:p>
    <w:p w14:paraId="7DB65E79" w14:textId="1215ED90"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20" w:history="1">
        <w:r w:rsidR="00402F92" w:rsidRPr="005749FA">
          <w:rPr>
            <w:rStyle w:val="Hipervnculo"/>
            <w:noProof/>
          </w:rPr>
          <w:t>3.3</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Análisis descriptivo</w:t>
        </w:r>
        <w:r w:rsidR="00402F92">
          <w:rPr>
            <w:noProof/>
            <w:webHidden/>
          </w:rPr>
          <w:tab/>
        </w:r>
        <w:r w:rsidR="00402F92">
          <w:rPr>
            <w:noProof/>
            <w:webHidden/>
          </w:rPr>
          <w:fldChar w:fldCharType="begin"/>
        </w:r>
        <w:r w:rsidR="00402F92">
          <w:rPr>
            <w:noProof/>
            <w:webHidden/>
          </w:rPr>
          <w:instrText xml:space="preserve"> PAGEREF _Toc230792320 \h </w:instrText>
        </w:r>
        <w:r w:rsidR="00402F92">
          <w:rPr>
            <w:noProof/>
            <w:webHidden/>
          </w:rPr>
        </w:r>
        <w:r w:rsidR="00402F92">
          <w:rPr>
            <w:noProof/>
            <w:webHidden/>
          </w:rPr>
          <w:fldChar w:fldCharType="separate"/>
        </w:r>
        <w:r w:rsidR="00402F92">
          <w:rPr>
            <w:noProof/>
            <w:webHidden/>
          </w:rPr>
          <w:t>20</w:t>
        </w:r>
        <w:r w:rsidR="00402F92">
          <w:rPr>
            <w:noProof/>
            <w:webHidden/>
          </w:rPr>
          <w:fldChar w:fldCharType="end"/>
        </w:r>
      </w:hyperlink>
    </w:p>
    <w:p w14:paraId="58533C78" w14:textId="6A5EBCA9"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21" w:history="1">
        <w:r w:rsidR="00402F92" w:rsidRPr="005749FA">
          <w:rPr>
            <w:rStyle w:val="Hipervnculo"/>
            <w:noProof/>
          </w:rPr>
          <w:t>3.4</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Análisis de expresión génica mediante NanoString nCounter</w:t>
        </w:r>
        <w:r w:rsidR="00402F92">
          <w:rPr>
            <w:noProof/>
            <w:webHidden/>
          </w:rPr>
          <w:tab/>
        </w:r>
        <w:r w:rsidR="00402F92">
          <w:rPr>
            <w:noProof/>
            <w:webHidden/>
          </w:rPr>
          <w:fldChar w:fldCharType="begin"/>
        </w:r>
        <w:r w:rsidR="00402F92">
          <w:rPr>
            <w:noProof/>
            <w:webHidden/>
          </w:rPr>
          <w:instrText xml:space="preserve"> PAGEREF _Toc230792321 \h </w:instrText>
        </w:r>
        <w:r w:rsidR="00402F92">
          <w:rPr>
            <w:noProof/>
            <w:webHidden/>
          </w:rPr>
        </w:r>
        <w:r w:rsidR="00402F92">
          <w:rPr>
            <w:noProof/>
            <w:webHidden/>
          </w:rPr>
          <w:fldChar w:fldCharType="separate"/>
        </w:r>
        <w:r w:rsidR="00402F92">
          <w:rPr>
            <w:noProof/>
            <w:webHidden/>
          </w:rPr>
          <w:t>21</w:t>
        </w:r>
        <w:r w:rsidR="00402F92">
          <w:rPr>
            <w:noProof/>
            <w:webHidden/>
          </w:rPr>
          <w:fldChar w:fldCharType="end"/>
        </w:r>
      </w:hyperlink>
    </w:p>
    <w:p w14:paraId="0C43B2D2" w14:textId="4847AF52"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22" w:history="1">
        <w:r w:rsidR="00402F92" w:rsidRPr="005749FA">
          <w:rPr>
            <w:rStyle w:val="Hipervnculo"/>
            <w:noProof/>
          </w:rPr>
          <w:t>3.5</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Asociación de la firma transcriptómica de IFN-I con el resto de variables</w:t>
        </w:r>
        <w:r w:rsidR="00402F92">
          <w:rPr>
            <w:noProof/>
            <w:webHidden/>
          </w:rPr>
          <w:tab/>
        </w:r>
        <w:r w:rsidR="00402F92">
          <w:rPr>
            <w:noProof/>
            <w:webHidden/>
          </w:rPr>
          <w:fldChar w:fldCharType="begin"/>
        </w:r>
        <w:r w:rsidR="00402F92">
          <w:rPr>
            <w:noProof/>
            <w:webHidden/>
          </w:rPr>
          <w:instrText xml:space="preserve"> PAGEREF _Toc230792322 \h </w:instrText>
        </w:r>
        <w:r w:rsidR="00402F92">
          <w:rPr>
            <w:noProof/>
            <w:webHidden/>
          </w:rPr>
        </w:r>
        <w:r w:rsidR="00402F92">
          <w:rPr>
            <w:noProof/>
            <w:webHidden/>
          </w:rPr>
          <w:fldChar w:fldCharType="separate"/>
        </w:r>
        <w:r w:rsidR="00402F92">
          <w:rPr>
            <w:noProof/>
            <w:webHidden/>
          </w:rPr>
          <w:t>24</w:t>
        </w:r>
        <w:r w:rsidR="00402F92">
          <w:rPr>
            <w:noProof/>
            <w:webHidden/>
          </w:rPr>
          <w:fldChar w:fldCharType="end"/>
        </w:r>
      </w:hyperlink>
    </w:p>
    <w:p w14:paraId="1C2FD2FF" w14:textId="18C460E3"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23" w:history="1">
        <w:r w:rsidR="00402F92" w:rsidRPr="005749FA">
          <w:rPr>
            <w:rStyle w:val="Hipervnculo"/>
            <w:noProof/>
          </w:rPr>
          <w:t>3.6</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Integración multi-ómica no supervisada: MOFA2</w:t>
        </w:r>
        <w:r w:rsidR="00402F92">
          <w:rPr>
            <w:noProof/>
            <w:webHidden/>
          </w:rPr>
          <w:tab/>
        </w:r>
        <w:r w:rsidR="00402F92">
          <w:rPr>
            <w:noProof/>
            <w:webHidden/>
          </w:rPr>
          <w:fldChar w:fldCharType="begin"/>
        </w:r>
        <w:r w:rsidR="00402F92">
          <w:rPr>
            <w:noProof/>
            <w:webHidden/>
          </w:rPr>
          <w:instrText xml:space="preserve"> PAGEREF _Toc230792323 \h </w:instrText>
        </w:r>
        <w:r w:rsidR="00402F92">
          <w:rPr>
            <w:noProof/>
            <w:webHidden/>
          </w:rPr>
        </w:r>
        <w:r w:rsidR="00402F92">
          <w:rPr>
            <w:noProof/>
            <w:webHidden/>
          </w:rPr>
          <w:fldChar w:fldCharType="separate"/>
        </w:r>
        <w:r w:rsidR="00402F92">
          <w:rPr>
            <w:noProof/>
            <w:webHidden/>
          </w:rPr>
          <w:t>27</w:t>
        </w:r>
        <w:r w:rsidR="00402F92">
          <w:rPr>
            <w:noProof/>
            <w:webHidden/>
          </w:rPr>
          <w:fldChar w:fldCharType="end"/>
        </w:r>
      </w:hyperlink>
    </w:p>
    <w:p w14:paraId="71BE36A8" w14:textId="5166DB10"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24" w:history="1">
        <w:r w:rsidR="00402F92" w:rsidRPr="005749FA">
          <w:rPr>
            <w:rStyle w:val="Hipervnculo"/>
            <w:noProof/>
          </w:rPr>
          <w:t>3.7</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Integración multi</w:t>
        </w:r>
        <w:r w:rsidR="00402F92" w:rsidRPr="005749FA">
          <w:rPr>
            <w:rStyle w:val="Hipervnculo"/>
            <w:rFonts w:ascii="Cambria Math" w:eastAsia="Cambria Math" w:hAnsi="Cambria Math" w:cs="Cambria Math"/>
            <w:noProof/>
          </w:rPr>
          <w:t>‑</w:t>
        </w:r>
        <w:r w:rsidR="00402F92" w:rsidRPr="005749FA">
          <w:rPr>
            <w:rStyle w:val="Hipervnculo"/>
            <w:noProof/>
          </w:rPr>
          <w:t>ómica supervisada mediante DIABLO</w:t>
        </w:r>
        <w:r w:rsidR="00402F92">
          <w:rPr>
            <w:noProof/>
            <w:webHidden/>
          </w:rPr>
          <w:tab/>
        </w:r>
        <w:r w:rsidR="00402F92">
          <w:rPr>
            <w:noProof/>
            <w:webHidden/>
          </w:rPr>
          <w:fldChar w:fldCharType="begin"/>
        </w:r>
        <w:r w:rsidR="00402F92">
          <w:rPr>
            <w:noProof/>
            <w:webHidden/>
          </w:rPr>
          <w:instrText xml:space="preserve"> PAGEREF _Toc230792324 \h </w:instrText>
        </w:r>
        <w:r w:rsidR="00402F92">
          <w:rPr>
            <w:noProof/>
            <w:webHidden/>
          </w:rPr>
        </w:r>
        <w:r w:rsidR="00402F92">
          <w:rPr>
            <w:noProof/>
            <w:webHidden/>
          </w:rPr>
          <w:fldChar w:fldCharType="separate"/>
        </w:r>
        <w:r w:rsidR="00402F92">
          <w:rPr>
            <w:noProof/>
            <w:webHidden/>
          </w:rPr>
          <w:t>29</w:t>
        </w:r>
        <w:r w:rsidR="00402F92">
          <w:rPr>
            <w:noProof/>
            <w:webHidden/>
          </w:rPr>
          <w:fldChar w:fldCharType="end"/>
        </w:r>
      </w:hyperlink>
    </w:p>
    <w:p w14:paraId="2943C9D0" w14:textId="243196D5"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25" w:history="1">
        <w:r w:rsidR="00402F92" w:rsidRPr="005749FA">
          <w:rPr>
            <w:rStyle w:val="Hipervnculo"/>
            <w:noProof/>
          </w:rPr>
          <w:t>3.8</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Modelo predictivo multi</w:t>
        </w:r>
        <w:r w:rsidR="00402F92" w:rsidRPr="005749FA">
          <w:rPr>
            <w:rStyle w:val="Hipervnculo"/>
            <w:rFonts w:ascii="Cambria Math" w:hAnsi="Cambria Math" w:cs="Cambria Math"/>
            <w:noProof/>
          </w:rPr>
          <w:t>‑</w:t>
        </w:r>
        <w:r w:rsidR="00402F92" w:rsidRPr="005749FA">
          <w:rPr>
            <w:rStyle w:val="Hipervnculo"/>
            <w:noProof/>
          </w:rPr>
          <w:t>ómico mediante regularización LASSO</w:t>
        </w:r>
        <w:r w:rsidR="00402F92">
          <w:rPr>
            <w:noProof/>
            <w:webHidden/>
          </w:rPr>
          <w:tab/>
        </w:r>
        <w:r w:rsidR="00402F92">
          <w:rPr>
            <w:noProof/>
            <w:webHidden/>
          </w:rPr>
          <w:fldChar w:fldCharType="begin"/>
        </w:r>
        <w:r w:rsidR="00402F92">
          <w:rPr>
            <w:noProof/>
            <w:webHidden/>
          </w:rPr>
          <w:instrText xml:space="preserve"> PAGEREF _Toc230792325 \h </w:instrText>
        </w:r>
        <w:r w:rsidR="00402F92">
          <w:rPr>
            <w:noProof/>
            <w:webHidden/>
          </w:rPr>
        </w:r>
        <w:r w:rsidR="00402F92">
          <w:rPr>
            <w:noProof/>
            <w:webHidden/>
          </w:rPr>
          <w:fldChar w:fldCharType="separate"/>
        </w:r>
        <w:r w:rsidR="00402F92">
          <w:rPr>
            <w:noProof/>
            <w:webHidden/>
          </w:rPr>
          <w:t>31</w:t>
        </w:r>
        <w:r w:rsidR="00402F92">
          <w:rPr>
            <w:noProof/>
            <w:webHidden/>
          </w:rPr>
          <w:fldChar w:fldCharType="end"/>
        </w:r>
      </w:hyperlink>
    </w:p>
    <w:p w14:paraId="28A1F0ED" w14:textId="53CF5CC5" w:rsidR="00402F92" w:rsidRDefault="00000000">
      <w:pPr>
        <w:pStyle w:val="TDC1"/>
        <w:tabs>
          <w:tab w:val="left" w:pos="48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26" w:history="1">
        <w:r w:rsidR="00402F92" w:rsidRPr="005749FA">
          <w:rPr>
            <w:rStyle w:val="Hipervnculo"/>
            <w:noProof/>
          </w:rPr>
          <w:t>4</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Resultados</w:t>
        </w:r>
        <w:r w:rsidR="00402F92">
          <w:rPr>
            <w:noProof/>
            <w:webHidden/>
          </w:rPr>
          <w:tab/>
        </w:r>
        <w:r w:rsidR="00402F92">
          <w:rPr>
            <w:noProof/>
            <w:webHidden/>
          </w:rPr>
          <w:fldChar w:fldCharType="begin"/>
        </w:r>
        <w:r w:rsidR="00402F92">
          <w:rPr>
            <w:noProof/>
            <w:webHidden/>
          </w:rPr>
          <w:instrText xml:space="preserve"> PAGEREF _Toc230792326 \h </w:instrText>
        </w:r>
        <w:r w:rsidR="00402F92">
          <w:rPr>
            <w:noProof/>
            <w:webHidden/>
          </w:rPr>
        </w:r>
        <w:r w:rsidR="00402F92">
          <w:rPr>
            <w:noProof/>
            <w:webHidden/>
          </w:rPr>
          <w:fldChar w:fldCharType="separate"/>
        </w:r>
        <w:r w:rsidR="00402F92">
          <w:rPr>
            <w:noProof/>
            <w:webHidden/>
          </w:rPr>
          <w:t>34</w:t>
        </w:r>
        <w:r w:rsidR="00402F92">
          <w:rPr>
            <w:noProof/>
            <w:webHidden/>
          </w:rPr>
          <w:fldChar w:fldCharType="end"/>
        </w:r>
      </w:hyperlink>
    </w:p>
    <w:p w14:paraId="67A48F0F" w14:textId="7057B92D"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27" w:history="1">
        <w:r w:rsidR="00402F92" w:rsidRPr="005749FA">
          <w:rPr>
            <w:rStyle w:val="Hipervnculo"/>
            <w:noProof/>
          </w:rPr>
          <w:t>4.1</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Análisis descriptivo</w:t>
        </w:r>
        <w:r w:rsidR="00402F92">
          <w:rPr>
            <w:noProof/>
            <w:webHidden/>
          </w:rPr>
          <w:tab/>
        </w:r>
        <w:r w:rsidR="00402F92">
          <w:rPr>
            <w:noProof/>
            <w:webHidden/>
          </w:rPr>
          <w:fldChar w:fldCharType="begin"/>
        </w:r>
        <w:r w:rsidR="00402F92">
          <w:rPr>
            <w:noProof/>
            <w:webHidden/>
          </w:rPr>
          <w:instrText xml:space="preserve"> PAGEREF _Toc230792327 \h </w:instrText>
        </w:r>
        <w:r w:rsidR="00402F92">
          <w:rPr>
            <w:noProof/>
            <w:webHidden/>
          </w:rPr>
        </w:r>
        <w:r w:rsidR="00402F92">
          <w:rPr>
            <w:noProof/>
            <w:webHidden/>
          </w:rPr>
          <w:fldChar w:fldCharType="separate"/>
        </w:r>
        <w:r w:rsidR="00402F92">
          <w:rPr>
            <w:noProof/>
            <w:webHidden/>
          </w:rPr>
          <w:t>34</w:t>
        </w:r>
        <w:r w:rsidR="00402F92">
          <w:rPr>
            <w:noProof/>
            <w:webHidden/>
          </w:rPr>
          <w:fldChar w:fldCharType="end"/>
        </w:r>
      </w:hyperlink>
    </w:p>
    <w:p w14:paraId="2F111FEC" w14:textId="009E80B0"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28" w:history="1">
        <w:r w:rsidR="00402F92" w:rsidRPr="005749FA">
          <w:rPr>
            <w:rStyle w:val="Hipervnculo"/>
            <w:noProof/>
          </w:rPr>
          <w:t>4.2</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Pipeline de procesamiento NanoString</w:t>
        </w:r>
        <w:r w:rsidR="00402F92">
          <w:rPr>
            <w:noProof/>
            <w:webHidden/>
          </w:rPr>
          <w:tab/>
        </w:r>
        <w:r w:rsidR="00402F92">
          <w:rPr>
            <w:noProof/>
            <w:webHidden/>
          </w:rPr>
          <w:fldChar w:fldCharType="begin"/>
        </w:r>
        <w:r w:rsidR="00402F92">
          <w:rPr>
            <w:noProof/>
            <w:webHidden/>
          </w:rPr>
          <w:instrText xml:space="preserve"> PAGEREF _Toc230792328 \h </w:instrText>
        </w:r>
        <w:r w:rsidR="00402F92">
          <w:rPr>
            <w:noProof/>
            <w:webHidden/>
          </w:rPr>
        </w:r>
        <w:r w:rsidR="00402F92">
          <w:rPr>
            <w:noProof/>
            <w:webHidden/>
          </w:rPr>
          <w:fldChar w:fldCharType="separate"/>
        </w:r>
        <w:r w:rsidR="00402F92">
          <w:rPr>
            <w:noProof/>
            <w:webHidden/>
          </w:rPr>
          <w:t>37</w:t>
        </w:r>
        <w:r w:rsidR="00402F92">
          <w:rPr>
            <w:noProof/>
            <w:webHidden/>
          </w:rPr>
          <w:fldChar w:fldCharType="end"/>
        </w:r>
      </w:hyperlink>
    </w:p>
    <w:p w14:paraId="3F0262AC" w14:textId="7F99F924"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29" w:history="1">
        <w:r w:rsidR="00402F92" w:rsidRPr="005749FA">
          <w:rPr>
            <w:rStyle w:val="Hipervnculo"/>
            <w:noProof/>
          </w:rPr>
          <w:t>4.3</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Análisis de expresión génica y firma de interferón tipo I</w:t>
        </w:r>
        <w:r w:rsidR="00402F92">
          <w:rPr>
            <w:noProof/>
            <w:webHidden/>
          </w:rPr>
          <w:tab/>
        </w:r>
        <w:r w:rsidR="00402F92">
          <w:rPr>
            <w:noProof/>
            <w:webHidden/>
          </w:rPr>
          <w:fldChar w:fldCharType="begin"/>
        </w:r>
        <w:r w:rsidR="00402F92">
          <w:rPr>
            <w:noProof/>
            <w:webHidden/>
          </w:rPr>
          <w:instrText xml:space="preserve"> PAGEREF _Toc230792329 \h </w:instrText>
        </w:r>
        <w:r w:rsidR="00402F92">
          <w:rPr>
            <w:noProof/>
            <w:webHidden/>
          </w:rPr>
        </w:r>
        <w:r w:rsidR="00402F92">
          <w:rPr>
            <w:noProof/>
            <w:webHidden/>
          </w:rPr>
          <w:fldChar w:fldCharType="separate"/>
        </w:r>
        <w:r w:rsidR="00402F92">
          <w:rPr>
            <w:noProof/>
            <w:webHidden/>
          </w:rPr>
          <w:t>41</w:t>
        </w:r>
        <w:r w:rsidR="00402F92">
          <w:rPr>
            <w:noProof/>
            <w:webHidden/>
          </w:rPr>
          <w:fldChar w:fldCharType="end"/>
        </w:r>
      </w:hyperlink>
    </w:p>
    <w:p w14:paraId="59903454" w14:textId="4C245AAF"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30" w:history="1">
        <w:r w:rsidR="00402F92" w:rsidRPr="005749FA">
          <w:rPr>
            <w:rStyle w:val="Hipervnculo"/>
            <w:noProof/>
          </w:rPr>
          <w:t>4.4</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Asociación firma IFN-I con actividad y biomarcadores séricos</w:t>
        </w:r>
        <w:r w:rsidR="00402F92">
          <w:rPr>
            <w:noProof/>
            <w:webHidden/>
          </w:rPr>
          <w:tab/>
        </w:r>
        <w:r w:rsidR="00402F92">
          <w:rPr>
            <w:noProof/>
            <w:webHidden/>
          </w:rPr>
          <w:fldChar w:fldCharType="begin"/>
        </w:r>
        <w:r w:rsidR="00402F92">
          <w:rPr>
            <w:noProof/>
            <w:webHidden/>
          </w:rPr>
          <w:instrText xml:space="preserve"> PAGEREF _Toc230792330 \h </w:instrText>
        </w:r>
        <w:r w:rsidR="00402F92">
          <w:rPr>
            <w:noProof/>
            <w:webHidden/>
          </w:rPr>
        </w:r>
        <w:r w:rsidR="00402F92">
          <w:rPr>
            <w:noProof/>
            <w:webHidden/>
          </w:rPr>
          <w:fldChar w:fldCharType="separate"/>
        </w:r>
        <w:r w:rsidR="00402F92">
          <w:rPr>
            <w:noProof/>
            <w:webHidden/>
          </w:rPr>
          <w:t>44</w:t>
        </w:r>
        <w:r w:rsidR="00402F92">
          <w:rPr>
            <w:noProof/>
            <w:webHidden/>
          </w:rPr>
          <w:fldChar w:fldCharType="end"/>
        </w:r>
      </w:hyperlink>
    </w:p>
    <w:p w14:paraId="0C345E2C" w14:textId="529E1BD4"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31" w:history="1">
        <w:r w:rsidR="00402F92" w:rsidRPr="005749FA">
          <w:rPr>
            <w:rStyle w:val="Hipervnculo"/>
            <w:noProof/>
          </w:rPr>
          <w:t>4.5</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Integración multi</w:t>
        </w:r>
        <w:r w:rsidR="00402F92" w:rsidRPr="005749FA">
          <w:rPr>
            <w:rStyle w:val="Hipervnculo"/>
            <w:rFonts w:ascii="Cambria Math" w:eastAsia="Cambria Math" w:hAnsi="Cambria Math" w:cs="Cambria Math"/>
            <w:noProof/>
          </w:rPr>
          <w:t>‑</w:t>
        </w:r>
        <w:r w:rsidR="00402F92" w:rsidRPr="005749FA">
          <w:rPr>
            <w:rStyle w:val="Hipervnculo"/>
            <w:noProof/>
          </w:rPr>
          <w:t>ómica no supervisada mediante MOFA2</w:t>
        </w:r>
        <w:r w:rsidR="00402F92">
          <w:rPr>
            <w:noProof/>
            <w:webHidden/>
          </w:rPr>
          <w:tab/>
        </w:r>
        <w:r w:rsidR="00402F92">
          <w:rPr>
            <w:noProof/>
            <w:webHidden/>
          </w:rPr>
          <w:fldChar w:fldCharType="begin"/>
        </w:r>
        <w:r w:rsidR="00402F92">
          <w:rPr>
            <w:noProof/>
            <w:webHidden/>
          </w:rPr>
          <w:instrText xml:space="preserve"> PAGEREF _Toc230792331 \h </w:instrText>
        </w:r>
        <w:r w:rsidR="00402F92">
          <w:rPr>
            <w:noProof/>
            <w:webHidden/>
          </w:rPr>
        </w:r>
        <w:r w:rsidR="00402F92">
          <w:rPr>
            <w:noProof/>
            <w:webHidden/>
          </w:rPr>
          <w:fldChar w:fldCharType="separate"/>
        </w:r>
        <w:r w:rsidR="00402F92">
          <w:rPr>
            <w:noProof/>
            <w:webHidden/>
          </w:rPr>
          <w:t>51</w:t>
        </w:r>
        <w:r w:rsidR="00402F92">
          <w:rPr>
            <w:noProof/>
            <w:webHidden/>
          </w:rPr>
          <w:fldChar w:fldCharType="end"/>
        </w:r>
      </w:hyperlink>
    </w:p>
    <w:p w14:paraId="500D87CA" w14:textId="6BC24F61"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32" w:history="1">
        <w:r w:rsidR="00402F92" w:rsidRPr="005749FA">
          <w:rPr>
            <w:rStyle w:val="Hipervnculo"/>
            <w:noProof/>
          </w:rPr>
          <w:t>4.6</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Integración multi</w:t>
        </w:r>
        <w:r w:rsidR="00402F92" w:rsidRPr="005749FA">
          <w:rPr>
            <w:rStyle w:val="Hipervnculo"/>
            <w:rFonts w:ascii="Cambria Math" w:eastAsia="Cambria Math" w:hAnsi="Cambria Math" w:cs="Cambria Math"/>
            <w:noProof/>
          </w:rPr>
          <w:t>‑</w:t>
        </w:r>
        <w:r w:rsidR="00402F92" w:rsidRPr="005749FA">
          <w:rPr>
            <w:rStyle w:val="Hipervnculo"/>
            <w:noProof/>
          </w:rPr>
          <w:t>ómica supervisada mediante DIABLO</w:t>
        </w:r>
        <w:r w:rsidR="00402F92">
          <w:rPr>
            <w:noProof/>
            <w:webHidden/>
          </w:rPr>
          <w:tab/>
        </w:r>
        <w:r w:rsidR="00402F92">
          <w:rPr>
            <w:noProof/>
            <w:webHidden/>
          </w:rPr>
          <w:fldChar w:fldCharType="begin"/>
        </w:r>
        <w:r w:rsidR="00402F92">
          <w:rPr>
            <w:noProof/>
            <w:webHidden/>
          </w:rPr>
          <w:instrText xml:space="preserve"> PAGEREF _Toc230792332 \h </w:instrText>
        </w:r>
        <w:r w:rsidR="00402F92">
          <w:rPr>
            <w:noProof/>
            <w:webHidden/>
          </w:rPr>
        </w:r>
        <w:r w:rsidR="00402F92">
          <w:rPr>
            <w:noProof/>
            <w:webHidden/>
          </w:rPr>
          <w:fldChar w:fldCharType="separate"/>
        </w:r>
        <w:r w:rsidR="00402F92">
          <w:rPr>
            <w:noProof/>
            <w:webHidden/>
          </w:rPr>
          <w:t>54</w:t>
        </w:r>
        <w:r w:rsidR="00402F92">
          <w:rPr>
            <w:noProof/>
            <w:webHidden/>
          </w:rPr>
          <w:fldChar w:fldCharType="end"/>
        </w:r>
      </w:hyperlink>
    </w:p>
    <w:p w14:paraId="321F2700" w14:textId="68D4F623"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33" w:history="1">
        <w:r w:rsidR="00402F92" w:rsidRPr="005749FA">
          <w:rPr>
            <w:rStyle w:val="Hipervnculo"/>
            <w:noProof/>
          </w:rPr>
          <w:t>4.7</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Modelo predictivo LASSO multi-ómico</w:t>
        </w:r>
        <w:r w:rsidR="00402F92">
          <w:rPr>
            <w:noProof/>
            <w:webHidden/>
          </w:rPr>
          <w:tab/>
        </w:r>
        <w:r w:rsidR="00402F92">
          <w:rPr>
            <w:noProof/>
            <w:webHidden/>
          </w:rPr>
          <w:fldChar w:fldCharType="begin"/>
        </w:r>
        <w:r w:rsidR="00402F92">
          <w:rPr>
            <w:noProof/>
            <w:webHidden/>
          </w:rPr>
          <w:instrText xml:space="preserve"> PAGEREF _Toc230792333 \h </w:instrText>
        </w:r>
        <w:r w:rsidR="00402F92">
          <w:rPr>
            <w:noProof/>
            <w:webHidden/>
          </w:rPr>
        </w:r>
        <w:r w:rsidR="00402F92">
          <w:rPr>
            <w:noProof/>
            <w:webHidden/>
          </w:rPr>
          <w:fldChar w:fldCharType="separate"/>
        </w:r>
        <w:r w:rsidR="00402F92">
          <w:rPr>
            <w:noProof/>
            <w:webHidden/>
          </w:rPr>
          <w:t>67</w:t>
        </w:r>
        <w:r w:rsidR="00402F92">
          <w:rPr>
            <w:noProof/>
            <w:webHidden/>
          </w:rPr>
          <w:fldChar w:fldCharType="end"/>
        </w:r>
      </w:hyperlink>
    </w:p>
    <w:p w14:paraId="702803F0" w14:textId="7437C9C7" w:rsidR="00402F92" w:rsidRDefault="00000000">
      <w:pPr>
        <w:pStyle w:val="TDC1"/>
        <w:tabs>
          <w:tab w:val="left" w:pos="48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34" w:history="1">
        <w:r w:rsidR="00402F92" w:rsidRPr="005749FA">
          <w:rPr>
            <w:rStyle w:val="Hipervnculo"/>
            <w:noProof/>
          </w:rPr>
          <w:t>5</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Discusión</w:t>
        </w:r>
        <w:r w:rsidR="00402F92">
          <w:rPr>
            <w:noProof/>
            <w:webHidden/>
          </w:rPr>
          <w:tab/>
        </w:r>
        <w:r w:rsidR="00402F92">
          <w:rPr>
            <w:noProof/>
            <w:webHidden/>
          </w:rPr>
          <w:fldChar w:fldCharType="begin"/>
        </w:r>
        <w:r w:rsidR="00402F92">
          <w:rPr>
            <w:noProof/>
            <w:webHidden/>
          </w:rPr>
          <w:instrText xml:space="preserve"> PAGEREF _Toc230792334 \h </w:instrText>
        </w:r>
        <w:r w:rsidR="00402F92">
          <w:rPr>
            <w:noProof/>
            <w:webHidden/>
          </w:rPr>
        </w:r>
        <w:r w:rsidR="00402F92">
          <w:rPr>
            <w:noProof/>
            <w:webHidden/>
          </w:rPr>
          <w:fldChar w:fldCharType="separate"/>
        </w:r>
        <w:r w:rsidR="00402F92">
          <w:rPr>
            <w:noProof/>
            <w:webHidden/>
          </w:rPr>
          <w:t>70</w:t>
        </w:r>
        <w:r w:rsidR="00402F92">
          <w:rPr>
            <w:noProof/>
            <w:webHidden/>
          </w:rPr>
          <w:fldChar w:fldCharType="end"/>
        </w:r>
      </w:hyperlink>
    </w:p>
    <w:p w14:paraId="4A2BFF54" w14:textId="1C432C4E"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35" w:history="1">
        <w:r w:rsidR="00402F92" w:rsidRPr="005749FA">
          <w:rPr>
            <w:rStyle w:val="Hipervnculo"/>
            <w:noProof/>
          </w:rPr>
          <w:t>5.1</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La firma de interferón tipo I como eje central de heterogeneidad en el LES</w:t>
        </w:r>
        <w:r w:rsidR="00402F92">
          <w:rPr>
            <w:noProof/>
            <w:webHidden/>
          </w:rPr>
          <w:tab/>
        </w:r>
        <w:r w:rsidR="00402F92">
          <w:rPr>
            <w:noProof/>
            <w:webHidden/>
          </w:rPr>
          <w:fldChar w:fldCharType="begin"/>
        </w:r>
        <w:r w:rsidR="00402F92">
          <w:rPr>
            <w:noProof/>
            <w:webHidden/>
          </w:rPr>
          <w:instrText xml:space="preserve"> PAGEREF _Toc230792335 \h </w:instrText>
        </w:r>
        <w:r w:rsidR="00402F92">
          <w:rPr>
            <w:noProof/>
            <w:webHidden/>
          </w:rPr>
        </w:r>
        <w:r w:rsidR="00402F92">
          <w:rPr>
            <w:noProof/>
            <w:webHidden/>
          </w:rPr>
          <w:fldChar w:fldCharType="separate"/>
        </w:r>
        <w:r w:rsidR="00402F92">
          <w:rPr>
            <w:noProof/>
            <w:webHidden/>
          </w:rPr>
          <w:t>70</w:t>
        </w:r>
        <w:r w:rsidR="00402F92">
          <w:rPr>
            <w:noProof/>
            <w:webHidden/>
          </w:rPr>
          <w:fldChar w:fldCharType="end"/>
        </w:r>
      </w:hyperlink>
    </w:p>
    <w:p w14:paraId="14EF1E26" w14:textId="63806C19"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36" w:history="1">
        <w:r w:rsidR="00402F92" w:rsidRPr="005749FA">
          <w:rPr>
            <w:rStyle w:val="Hipervnculo"/>
            <w:noProof/>
          </w:rPr>
          <w:t>5.2</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Asociación con actividad clínica</w:t>
        </w:r>
        <w:r w:rsidR="00402F92">
          <w:rPr>
            <w:noProof/>
            <w:webHidden/>
          </w:rPr>
          <w:tab/>
        </w:r>
        <w:r w:rsidR="00402F92">
          <w:rPr>
            <w:noProof/>
            <w:webHidden/>
          </w:rPr>
          <w:fldChar w:fldCharType="begin"/>
        </w:r>
        <w:r w:rsidR="00402F92">
          <w:rPr>
            <w:noProof/>
            <w:webHidden/>
          </w:rPr>
          <w:instrText xml:space="preserve"> PAGEREF _Toc230792336 \h </w:instrText>
        </w:r>
        <w:r w:rsidR="00402F92">
          <w:rPr>
            <w:noProof/>
            <w:webHidden/>
          </w:rPr>
        </w:r>
        <w:r w:rsidR="00402F92">
          <w:rPr>
            <w:noProof/>
            <w:webHidden/>
          </w:rPr>
          <w:fldChar w:fldCharType="separate"/>
        </w:r>
        <w:r w:rsidR="00402F92">
          <w:rPr>
            <w:noProof/>
            <w:webHidden/>
          </w:rPr>
          <w:t>70</w:t>
        </w:r>
        <w:r w:rsidR="00402F92">
          <w:rPr>
            <w:noProof/>
            <w:webHidden/>
          </w:rPr>
          <w:fldChar w:fldCharType="end"/>
        </w:r>
      </w:hyperlink>
    </w:p>
    <w:p w14:paraId="3464491C" w14:textId="3D0C79A8"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37" w:history="1">
        <w:r w:rsidR="00402F92" w:rsidRPr="005749FA">
          <w:rPr>
            <w:rStyle w:val="Hipervnculo"/>
            <w:noProof/>
          </w:rPr>
          <w:t>5.3</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Integración multi-ómica: valor del MOFA2 y DIABLO</w:t>
        </w:r>
        <w:r w:rsidR="00402F92">
          <w:rPr>
            <w:noProof/>
            <w:webHidden/>
          </w:rPr>
          <w:tab/>
        </w:r>
        <w:r w:rsidR="00402F92">
          <w:rPr>
            <w:noProof/>
            <w:webHidden/>
          </w:rPr>
          <w:fldChar w:fldCharType="begin"/>
        </w:r>
        <w:r w:rsidR="00402F92">
          <w:rPr>
            <w:noProof/>
            <w:webHidden/>
          </w:rPr>
          <w:instrText xml:space="preserve"> PAGEREF _Toc230792337 \h </w:instrText>
        </w:r>
        <w:r w:rsidR="00402F92">
          <w:rPr>
            <w:noProof/>
            <w:webHidden/>
          </w:rPr>
        </w:r>
        <w:r w:rsidR="00402F92">
          <w:rPr>
            <w:noProof/>
            <w:webHidden/>
          </w:rPr>
          <w:fldChar w:fldCharType="separate"/>
        </w:r>
        <w:r w:rsidR="00402F92">
          <w:rPr>
            <w:noProof/>
            <w:webHidden/>
          </w:rPr>
          <w:t>71</w:t>
        </w:r>
        <w:r w:rsidR="00402F92">
          <w:rPr>
            <w:noProof/>
            <w:webHidden/>
          </w:rPr>
          <w:fldChar w:fldCharType="end"/>
        </w:r>
      </w:hyperlink>
    </w:p>
    <w:p w14:paraId="06557E95" w14:textId="24E96657"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38" w:history="1">
        <w:r w:rsidR="00402F92" w:rsidRPr="005749FA">
          <w:rPr>
            <w:rStyle w:val="Hipervnculo"/>
            <w:noProof/>
          </w:rPr>
          <w:t>5.4</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Modelo predictivo LASSO: valor añadido y limitaciones</w:t>
        </w:r>
        <w:r w:rsidR="00402F92">
          <w:rPr>
            <w:noProof/>
            <w:webHidden/>
          </w:rPr>
          <w:tab/>
        </w:r>
        <w:r w:rsidR="00402F92">
          <w:rPr>
            <w:noProof/>
            <w:webHidden/>
          </w:rPr>
          <w:fldChar w:fldCharType="begin"/>
        </w:r>
        <w:r w:rsidR="00402F92">
          <w:rPr>
            <w:noProof/>
            <w:webHidden/>
          </w:rPr>
          <w:instrText xml:space="preserve"> PAGEREF _Toc230792338 \h </w:instrText>
        </w:r>
        <w:r w:rsidR="00402F92">
          <w:rPr>
            <w:noProof/>
            <w:webHidden/>
          </w:rPr>
        </w:r>
        <w:r w:rsidR="00402F92">
          <w:rPr>
            <w:noProof/>
            <w:webHidden/>
          </w:rPr>
          <w:fldChar w:fldCharType="separate"/>
        </w:r>
        <w:r w:rsidR="00402F92">
          <w:rPr>
            <w:noProof/>
            <w:webHidden/>
          </w:rPr>
          <w:t>72</w:t>
        </w:r>
        <w:r w:rsidR="00402F92">
          <w:rPr>
            <w:noProof/>
            <w:webHidden/>
          </w:rPr>
          <w:fldChar w:fldCharType="end"/>
        </w:r>
      </w:hyperlink>
    </w:p>
    <w:p w14:paraId="18E5D194" w14:textId="5CBB7232" w:rsidR="00402F92" w:rsidRDefault="00000000">
      <w:pPr>
        <w:pStyle w:val="TDC2"/>
        <w:tabs>
          <w:tab w:val="left" w:pos="96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39" w:history="1">
        <w:r w:rsidR="00402F92" w:rsidRPr="005749FA">
          <w:rPr>
            <w:rStyle w:val="Hipervnculo"/>
            <w:noProof/>
          </w:rPr>
          <w:t>5.5</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Heterogeneidad del LES: subgrupos IFN e implicaciones terapéuticas</w:t>
        </w:r>
        <w:r w:rsidR="00402F92">
          <w:rPr>
            <w:noProof/>
            <w:webHidden/>
          </w:rPr>
          <w:tab/>
        </w:r>
        <w:r w:rsidR="00402F92">
          <w:rPr>
            <w:noProof/>
            <w:webHidden/>
          </w:rPr>
          <w:fldChar w:fldCharType="begin"/>
        </w:r>
        <w:r w:rsidR="00402F92">
          <w:rPr>
            <w:noProof/>
            <w:webHidden/>
          </w:rPr>
          <w:instrText xml:space="preserve"> PAGEREF _Toc230792339 \h </w:instrText>
        </w:r>
        <w:r w:rsidR="00402F92">
          <w:rPr>
            <w:noProof/>
            <w:webHidden/>
          </w:rPr>
        </w:r>
        <w:r w:rsidR="00402F92">
          <w:rPr>
            <w:noProof/>
            <w:webHidden/>
          </w:rPr>
          <w:fldChar w:fldCharType="separate"/>
        </w:r>
        <w:r w:rsidR="00402F92">
          <w:rPr>
            <w:noProof/>
            <w:webHidden/>
          </w:rPr>
          <w:t>72</w:t>
        </w:r>
        <w:r w:rsidR="00402F92">
          <w:rPr>
            <w:noProof/>
            <w:webHidden/>
          </w:rPr>
          <w:fldChar w:fldCharType="end"/>
        </w:r>
      </w:hyperlink>
    </w:p>
    <w:p w14:paraId="43A5DE20" w14:textId="56B36BC2" w:rsidR="00402F92" w:rsidRDefault="00000000">
      <w:pPr>
        <w:pStyle w:val="TDC1"/>
        <w:tabs>
          <w:tab w:val="left" w:pos="48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40" w:history="1">
        <w:r w:rsidR="00402F92" w:rsidRPr="005749FA">
          <w:rPr>
            <w:rStyle w:val="Hipervnculo"/>
            <w:noProof/>
          </w:rPr>
          <w:t>6</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Conclusiones y trabajos futuros</w:t>
        </w:r>
        <w:r w:rsidR="00402F92">
          <w:rPr>
            <w:noProof/>
            <w:webHidden/>
          </w:rPr>
          <w:tab/>
        </w:r>
        <w:r w:rsidR="00402F92">
          <w:rPr>
            <w:noProof/>
            <w:webHidden/>
          </w:rPr>
          <w:fldChar w:fldCharType="begin"/>
        </w:r>
        <w:r w:rsidR="00402F92">
          <w:rPr>
            <w:noProof/>
            <w:webHidden/>
          </w:rPr>
          <w:instrText xml:space="preserve"> PAGEREF _Toc230792340 \h </w:instrText>
        </w:r>
        <w:r w:rsidR="00402F92">
          <w:rPr>
            <w:noProof/>
            <w:webHidden/>
          </w:rPr>
        </w:r>
        <w:r w:rsidR="00402F92">
          <w:rPr>
            <w:noProof/>
            <w:webHidden/>
          </w:rPr>
          <w:fldChar w:fldCharType="separate"/>
        </w:r>
        <w:r w:rsidR="00402F92">
          <w:rPr>
            <w:noProof/>
            <w:webHidden/>
          </w:rPr>
          <w:t>73</w:t>
        </w:r>
        <w:r w:rsidR="00402F92">
          <w:rPr>
            <w:noProof/>
            <w:webHidden/>
          </w:rPr>
          <w:fldChar w:fldCharType="end"/>
        </w:r>
      </w:hyperlink>
    </w:p>
    <w:p w14:paraId="4D4756C7" w14:textId="659122E3" w:rsidR="00402F92" w:rsidRDefault="00000000">
      <w:pPr>
        <w:pStyle w:val="TDC1"/>
        <w:tabs>
          <w:tab w:val="left" w:pos="48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41" w:history="1">
        <w:r w:rsidR="00402F92" w:rsidRPr="005749FA">
          <w:rPr>
            <w:rStyle w:val="Hipervnculo"/>
            <w:noProof/>
          </w:rPr>
          <w:t>7</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Glosario</w:t>
        </w:r>
        <w:r w:rsidR="00402F92">
          <w:rPr>
            <w:noProof/>
            <w:webHidden/>
          </w:rPr>
          <w:tab/>
        </w:r>
        <w:r w:rsidR="00402F92">
          <w:rPr>
            <w:noProof/>
            <w:webHidden/>
          </w:rPr>
          <w:fldChar w:fldCharType="begin"/>
        </w:r>
        <w:r w:rsidR="00402F92">
          <w:rPr>
            <w:noProof/>
            <w:webHidden/>
          </w:rPr>
          <w:instrText xml:space="preserve"> PAGEREF _Toc230792341 \h </w:instrText>
        </w:r>
        <w:r w:rsidR="00402F92">
          <w:rPr>
            <w:noProof/>
            <w:webHidden/>
          </w:rPr>
        </w:r>
        <w:r w:rsidR="00402F92">
          <w:rPr>
            <w:noProof/>
            <w:webHidden/>
          </w:rPr>
          <w:fldChar w:fldCharType="separate"/>
        </w:r>
        <w:r w:rsidR="00402F92">
          <w:rPr>
            <w:noProof/>
            <w:webHidden/>
          </w:rPr>
          <w:t>74</w:t>
        </w:r>
        <w:r w:rsidR="00402F92">
          <w:rPr>
            <w:noProof/>
            <w:webHidden/>
          </w:rPr>
          <w:fldChar w:fldCharType="end"/>
        </w:r>
      </w:hyperlink>
    </w:p>
    <w:p w14:paraId="44D8F260" w14:textId="0B788B33" w:rsidR="00402F92" w:rsidRDefault="00000000">
      <w:pPr>
        <w:pStyle w:val="TDC1"/>
        <w:tabs>
          <w:tab w:val="left" w:pos="480"/>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42" w:history="1">
        <w:r w:rsidR="00402F92" w:rsidRPr="005749FA">
          <w:rPr>
            <w:rStyle w:val="Hipervnculo"/>
            <w:noProof/>
          </w:rPr>
          <w:t>8</w:t>
        </w:r>
        <w:r w:rsidR="00402F92">
          <w:rPr>
            <w:rFonts w:asciiTheme="minorHAnsi" w:eastAsiaTheme="minorEastAsia" w:hAnsiTheme="minorHAnsi" w:cstheme="minorBidi"/>
            <w:noProof/>
            <w:kern w:val="2"/>
            <w:sz w:val="24"/>
            <w:szCs w:val="24"/>
            <w:lang w:val="es-ES"/>
            <w14:ligatures w14:val="standardContextual"/>
          </w:rPr>
          <w:tab/>
        </w:r>
        <w:r w:rsidR="00402F92" w:rsidRPr="005749FA">
          <w:rPr>
            <w:rStyle w:val="Hipervnculo"/>
            <w:noProof/>
          </w:rPr>
          <w:t>Bibliografía</w:t>
        </w:r>
        <w:r w:rsidR="00402F92">
          <w:rPr>
            <w:noProof/>
            <w:webHidden/>
          </w:rPr>
          <w:tab/>
        </w:r>
        <w:r w:rsidR="00402F92">
          <w:rPr>
            <w:noProof/>
            <w:webHidden/>
          </w:rPr>
          <w:fldChar w:fldCharType="begin"/>
        </w:r>
        <w:r w:rsidR="00402F92">
          <w:rPr>
            <w:noProof/>
            <w:webHidden/>
          </w:rPr>
          <w:instrText xml:space="preserve"> PAGEREF _Toc230792342 \h </w:instrText>
        </w:r>
        <w:r w:rsidR="00402F92">
          <w:rPr>
            <w:noProof/>
            <w:webHidden/>
          </w:rPr>
        </w:r>
        <w:r w:rsidR="00402F92">
          <w:rPr>
            <w:noProof/>
            <w:webHidden/>
          </w:rPr>
          <w:fldChar w:fldCharType="separate"/>
        </w:r>
        <w:r w:rsidR="00402F92">
          <w:rPr>
            <w:noProof/>
            <w:webHidden/>
          </w:rPr>
          <w:t>75</w:t>
        </w:r>
        <w:r w:rsidR="00402F92">
          <w:rPr>
            <w:noProof/>
            <w:webHidden/>
          </w:rPr>
          <w:fldChar w:fldCharType="end"/>
        </w:r>
      </w:hyperlink>
    </w:p>
    <w:p w14:paraId="520D40AD" w14:textId="51D71DCC" w:rsidR="00544557" w:rsidRPr="00E41202" w:rsidRDefault="00544557" w:rsidP="00544557">
      <w:pPr>
        <w:spacing w:after="0"/>
        <w:ind w:left="2" w:hanging="4"/>
        <w:rPr>
          <w:sz w:val="21"/>
          <w:szCs w:val="21"/>
        </w:rPr>
      </w:pPr>
      <w:r>
        <w:rPr>
          <w:sz w:val="21"/>
          <w:szCs w:val="21"/>
        </w:rPr>
        <w:fldChar w:fldCharType="end"/>
      </w:r>
    </w:p>
    <w:p w14:paraId="2717D008" w14:textId="508D3BB1" w:rsidR="00097466" w:rsidRPr="00E41202" w:rsidRDefault="00E41202">
      <w:pPr>
        <w:spacing w:line="360" w:lineRule="auto"/>
        <w:ind w:hanging="2"/>
        <w:jc w:val="left"/>
        <w:rPr>
          <w:sz w:val="21"/>
          <w:szCs w:val="21"/>
        </w:rPr>
      </w:pPr>
      <w:r w:rsidRPr="00E41202">
        <w:rPr>
          <w:sz w:val="21"/>
          <w:szCs w:val="21"/>
        </w:rPr>
        <w:br w:type="page"/>
      </w:r>
    </w:p>
    <w:p w14:paraId="534854EB" w14:textId="640D4DBD" w:rsidR="00544557" w:rsidRDefault="00000000" w:rsidP="00544557">
      <w:pPr>
        <w:spacing w:after="0"/>
        <w:rPr>
          <w:b/>
          <w:bCs/>
          <w:sz w:val="32"/>
          <w:szCs w:val="32"/>
        </w:rPr>
      </w:pPr>
      <w:bookmarkStart w:id="33" w:name="_heading=h.qd2rp529w0hu" w:colFirst="0" w:colLast="0"/>
      <w:bookmarkEnd w:id="33"/>
      <w:r w:rsidRPr="00544557">
        <w:rPr>
          <w:b/>
          <w:bCs/>
          <w:sz w:val="32"/>
          <w:szCs w:val="32"/>
        </w:rPr>
        <w:lastRenderedPageBreak/>
        <w:t>Lista de figuras</w:t>
      </w:r>
    </w:p>
    <w:p w14:paraId="624C4DC5" w14:textId="3200767F" w:rsidR="00544557" w:rsidRDefault="00544557">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r>
        <w:rPr>
          <w:b/>
          <w:bCs/>
          <w:sz w:val="32"/>
          <w:szCs w:val="32"/>
        </w:rPr>
        <w:fldChar w:fldCharType="begin"/>
      </w:r>
      <w:r>
        <w:rPr>
          <w:b/>
          <w:bCs/>
          <w:sz w:val="32"/>
          <w:szCs w:val="32"/>
        </w:rPr>
        <w:instrText xml:space="preserve"> TOC \h \z \c "Ilustración" </w:instrText>
      </w:r>
      <w:r>
        <w:rPr>
          <w:b/>
          <w:bCs/>
          <w:sz w:val="32"/>
          <w:szCs w:val="32"/>
        </w:rPr>
        <w:fldChar w:fldCharType="separate"/>
      </w:r>
      <w:hyperlink w:anchor="_Toc230792274" w:history="1">
        <w:r w:rsidRPr="00CA02BB">
          <w:rPr>
            <w:rStyle w:val="Hipervnculo"/>
            <w:noProof/>
          </w:rPr>
          <w:t>Ilustración 1. Diagrama de Gantt del proyecto</w:t>
        </w:r>
        <w:r>
          <w:rPr>
            <w:noProof/>
            <w:webHidden/>
          </w:rPr>
          <w:tab/>
        </w:r>
        <w:r>
          <w:rPr>
            <w:noProof/>
            <w:webHidden/>
          </w:rPr>
          <w:fldChar w:fldCharType="begin"/>
        </w:r>
        <w:r>
          <w:rPr>
            <w:noProof/>
            <w:webHidden/>
          </w:rPr>
          <w:instrText xml:space="preserve"> PAGEREF _Toc230792274 \h </w:instrText>
        </w:r>
        <w:r>
          <w:rPr>
            <w:noProof/>
            <w:webHidden/>
          </w:rPr>
        </w:r>
        <w:r>
          <w:rPr>
            <w:noProof/>
            <w:webHidden/>
          </w:rPr>
          <w:fldChar w:fldCharType="separate"/>
        </w:r>
        <w:r>
          <w:rPr>
            <w:noProof/>
            <w:webHidden/>
          </w:rPr>
          <w:t>7</w:t>
        </w:r>
        <w:r>
          <w:rPr>
            <w:noProof/>
            <w:webHidden/>
          </w:rPr>
          <w:fldChar w:fldCharType="end"/>
        </w:r>
      </w:hyperlink>
    </w:p>
    <w:p w14:paraId="245058DB" w14:textId="0C441902"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75" w:history="1">
        <w:r w:rsidR="00544557" w:rsidRPr="00CA02BB">
          <w:rPr>
            <w:rStyle w:val="Hipervnculo"/>
            <w:noProof/>
          </w:rPr>
          <w:t>Ilustración 2. Diagrama de flujo del proceso de selección de participantes</w:t>
        </w:r>
        <w:r w:rsidR="00544557">
          <w:rPr>
            <w:noProof/>
            <w:webHidden/>
          </w:rPr>
          <w:tab/>
        </w:r>
        <w:r w:rsidR="00544557">
          <w:rPr>
            <w:noProof/>
            <w:webHidden/>
          </w:rPr>
          <w:fldChar w:fldCharType="begin"/>
        </w:r>
        <w:r w:rsidR="00544557">
          <w:rPr>
            <w:noProof/>
            <w:webHidden/>
          </w:rPr>
          <w:instrText xml:space="preserve"> PAGEREF _Toc230792275 \h </w:instrText>
        </w:r>
        <w:r w:rsidR="00544557">
          <w:rPr>
            <w:noProof/>
            <w:webHidden/>
          </w:rPr>
        </w:r>
        <w:r w:rsidR="00544557">
          <w:rPr>
            <w:noProof/>
            <w:webHidden/>
          </w:rPr>
          <w:fldChar w:fldCharType="separate"/>
        </w:r>
        <w:r w:rsidR="00544557">
          <w:rPr>
            <w:noProof/>
            <w:webHidden/>
          </w:rPr>
          <w:t>19</w:t>
        </w:r>
        <w:r w:rsidR="00544557">
          <w:rPr>
            <w:noProof/>
            <w:webHidden/>
          </w:rPr>
          <w:fldChar w:fldCharType="end"/>
        </w:r>
      </w:hyperlink>
    </w:p>
    <w:p w14:paraId="396D9EAE" w14:textId="2B487BE2"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76" w:history="1">
        <w:r w:rsidR="00544557" w:rsidRPr="00CA02BB">
          <w:rPr>
            <w:rStyle w:val="Hipervnculo"/>
            <w:noProof/>
          </w:rPr>
          <w:t>Ilustración 3. Arquitectura analítica del estudio. A partir de los datos transcriptómicos de 72 ISGs cuantificados mediante NanoString nCounter, un panel proteómico sérico multicomponente y los índices clínicos validados de actividad/remisión en LES (SLEDAI-2K, SLE-DAS, SLICC-DI, LLDAS, DORIS), se construye el IFN-score y la estratificación IFN-high/IFN-low, se realizan comparaciones clínicas clásicas y se aplican estrategias de integración multi-ómica no supervisada (MOFA2) y supervisada (DIABLO), culminando en un modelo predictivo de actividad basado en regresión penalizada LASSO.</w:t>
        </w:r>
        <w:r w:rsidR="00544557">
          <w:rPr>
            <w:noProof/>
            <w:webHidden/>
          </w:rPr>
          <w:tab/>
        </w:r>
        <w:r w:rsidR="00544557">
          <w:rPr>
            <w:noProof/>
            <w:webHidden/>
          </w:rPr>
          <w:fldChar w:fldCharType="begin"/>
        </w:r>
        <w:r w:rsidR="00544557">
          <w:rPr>
            <w:noProof/>
            <w:webHidden/>
          </w:rPr>
          <w:instrText xml:space="preserve"> PAGEREF _Toc230792276 \h </w:instrText>
        </w:r>
        <w:r w:rsidR="00544557">
          <w:rPr>
            <w:noProof/>
            <w:webHidden/>
          </w:rPr>
        </w:r>
        <w:r w:rsidR="00544557">
          <w:rPr>
            <w:noProof/>
            <w:webHidden/>
          </w:rPr>
          <w:fldChar w:fldCharType="separate"/>
        </w:r>
        <w:r w:rsidR="00544557">
          <w:rPr>
            <w:noProof/>
            <w:webHidden/>
          </w:rPr>
          <w:t>33</w:t>
        </w:r>
        <w:r w:rsidR="00544557">
          <w:rPr>
            <w:noProof/>
            <w:webHidden/>
          </w:rPr>
          <w:fldChar w:fldCharType="end"/>
        </w:r>
      </w:hyperlink>
    </w:p>
    <w:p w14:paraId="3D6D39E0" w14:textId="028719E9"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77" w:history="1">
        <w:r w:rsidR="00544557" w:rsidRPr="00CA02BB">
          <w:rPr>
            <w:rStyle w:val="Hipervnculo"/>
            <w:noProof/>
          </w:rPr>
          <w:t>Ilustración 4. Recuentos medios de las sondas de control negativo (NEG_A–NEG_F)</w:t>
        </w:r>
        <w:r w:rsidR="00544557">
          <w:rPr>
            <w:noProof/>
            <w:webHidden/>
          </w:rPr>
          <w:tab/>
        </w:r>
        <w:r w:rsidR="00544557">
          <w:rPr>
            <w:noProof/>
            <w:webHidden/>
          </w:rPr>
          <w:fldChar w:fldCharType="begin"/>
        </w:r>
        <w:r w:rsidR="00544557">
          <w:rPr>
            <w:noProof/>
            <w:webHidden/>
          </w:rPr>
          <w:instrText xml:space="preserve"> PAGEREF _Toc230792277 \h </w:instrText>
        </w:r>
        <w:r w:rsidR="00544557">
          <w:rPr>
            <w:noProof/>
            <w:webHidden/>
          </w:rPr>
        </w:r>
        <w:r w:rsidR="00544557">
          <w:rPr>
            <w:noProof/>
            <w:webHidden/>
          </w:rPr>
          <w:fldChar w:fldCharType="separate"/>
        </w:r>
        <w:r w:rsidR="00544557">
          <w:rPr>
            <w:noProof/>
            <w:webHidden/>
          </w:rPr>
          <w:t>37</w:t>
        </w:r>
        <w:r w:rsidR="00544557">
          <w:rPr>
            <w:noProof/>
            <w:webHidden/>
          </w:rPr>
          <w:fldChar w:fldCharType="end"/>
        </w:r>
      </w:hyperlink>
    </w:p>
    <w:p w14:paraId="225216DA" w14:textId="20EFD53D"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78" w:history="1">
        <w:r w:rsidR="00544557" w:rsidRPr="00CA02BB">
          <w:rPr>
            <w:rStyle w:val="Hipervnculo"/>
            <w:noProof/>
          </w:rPr>
          <w:t>Ilustración 5. Linealidad de los controles positivos (escala log).</w:t>
        </w:r>
        <w:r w:rsidR="00544557">
          <w:rPr>
            <w:noProof/>
            <w:webHidden/>
          </w:rPr>
          <w:tab/>
        </w:r>
        <w:r w:rsidR="00544557">
          <w:rPr>
            <w:noProof/>
            <w:webHidden/>
          </w:rPr>
          <w:fldChar w:fldCharType="begin"/>
        </w:r>
        <w:r w:rsidR="00544557">
          <w:rPr>
            <w:noProof/>
            <w:webHidden/>
          </w:rPr>
          <w:instrText xml:space="preserve"> PAGEREF _Toc230792278 \h </w:instrText>
        </w:r>
        <w:r w:rsidR="00544557">
          <w:rPr>
            <w:noProof/>
            <w:webHidden/>
          </w:rPr>
        </w:r>
        <w:r w:rsidR="00544557">
          <w:rPr>
            <w:noProof/>
            <w:webHidden/>
          </w:rPr>
          <w:fldChar w:fldCharType="separate"/>
        </w:r>
        <w:r w:rsidR="00544557">
          <w:rPr>
            <w:noProof/>
            <w:webHidden/>
          </w:rPr>
          <w:t>38</w:t>
        </w:r>
        <w:r w:rsidR="00544557">
          <w:rPr>
            <w:noProof/>
            <w:webHidden/>
          </w:rPr>
          <w:fldChar w:fldCharType="end"/>
        </w:r>
      </w:hyperlink>
    </w:p>
    <w:p w14:paraId="42435FD1" w14:textId="7AA7F306"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79" w:history="1">
        <w:r w:rsidR="00544557" w:rsidRPr="00CA02BB">
          <w:rPr>
            <w:rStyle w:val="Hipervnculo"/>
            <w:noProof/>
          </w:rPr>
          <w:t>Ilustración 6. Recuentos de los genes housekeeping de la muestra excluida (LES136) frente a la media global de la cohorte (n = 275). Factor de normalización HK = 11,673 (criterio de exclusión: &gt; 10).</w:t>
        </w:r>
        <w:r w:rsidR="00544557">
          <w:rPr>
            <w:noProof/>
            <w:webHidden/>
          </w:rPr>
          <w:tab/>
        </w:r>
        <w:r w:rsidR="00544557">
          <w:rPr>
            <w:noProof/>
            <w:webHidden/>
          </w:rPr>
          <w:fldChar w:fldCharType="begin"/>
        </w:r>
        <w:r w:rsidR="00544557">
          <w:rPr>
            <w:noProof/>
            <w:webHidden/>
          </w:rPr>
          <w:instrText xml:space="preserve"> PAGEREF _Toc230792279 \h </w:instrText>
        </w:r>
        <w:r w:rsidR="00544557">
          <w:rPr>
            <w:noProof/>
            <w:webHidden/>
          </w:rPr>
        </w:r>
        <w:r w:rsidR="00544557">
          <w:rPr>
            <w:noProof/>
            <w:webHidden/>
          </w:rPr>
          <w:fldChar w:fldCharType="separate"/>
        </w:r>
        <w:r w:rsidR="00544557">
          <w:rPr>
            <w:noProof/>
            <w:webHidden/>
          </w:rPr>
          <w:t>39</w:t>
        </w:r>
        <w:r w:rsidR="00544557">
          <w:rPr>
            <w:noProof/>
            <w:webHidden/>
          </w:rPr>
          <w:fldChar w:fldCharType="end"/>
        </w:r>
      </w:hyperlink>
    </w:p>
    <w:p w14:paraId="2DBFBEBA" w14:textId="2002FF4B"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80" w:history="1">
        <w:r w:rsidR="00544557" w:rsidRPr="00CA02BB">
          <w:rPr>
            <w:rStyle w:val="Hipervnculo"/>
            <w:noProof/>
          </w:rPr>
          <w:t>Ilustración 7. Distribución del IFN-score principal (72 genes IGS) en pacientes con LES (n=251) y controles sanos (n=24). La línea discontinua roja indica el punto de corte para la clasificación IFN-high/IFN-low (1,264). Test de Wilcoxon, p = 1,05 × 10⁻⁴, r = 0,23.</w:t>
        </w:r>
        <w:r w:rsidR="00544557">
          <w:rPr>
            <w:noProof/>
            <w:webHidden/>
          </w:rPr>
          <w:tab/>
        </w:r>
        <w:r w:rsidR="00544557">
          <w:rPr>
            <w:noProof/>
            <w:webHidden/>
          </w:rPr>
          <w:fldChar w:fldCharType="begin"/>
        </w:r>
        <w:r w:rsidR="00544557">
          <w:rPr>
            <w:noProof/>
            <w:webHidden/>
          </w:rPr>
          <w:instrText xml:space="preserve"> PAGEREF _Toc230792280 \h </w:instrText>
        </w:r>
        <w:r w:rsidR="00544557">
          <w:rPr>
            <w:noProof/>
            <w:webHidden/>
          </w:rPr>
        </w:r>
        <w:r w:rsidR="00544557">
          <w:rPr>
            <w:noProof/>
            <w:webHidden/>
          </w:rPr>
          <w:fldChar w:fldCharType="separate"/>
        </w:r>
        <w:r w:rsidR="00544557">
          <w:rPr>
            <w:noProof/>
            <w:webHidden/>
          </w:rPr>
          <w:t>40</w:t>
        </w:r>
        <w:r w:rsidR="00544557">
          <w:rPr>
            <w:noProof/>
            <w:webHidden/>
          </w:rPr>
          <w:fldChar w:fldCharType="end"/>
        </w:r>
      </w:hyperlink>
    </w:p>
    <w:p w14:paraId="3004AB54" w14:textId="0E00A2CA"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81" w:history="1">
        <w:r w:rsidR="00544557" w:rsidRPr="00CA02BB">
          <w:rPr>
            <w:rStyle w:val="Hipervnculo"/>
            <w:noProof/>
          </w:rPr>
          <w:t>Ilustración 8. Correlación entre el IFN</w:t>
        </w:r>
        <w:r w:rsidR="00544557" w:rsidRPr="00CA02BB">
          <w:rPr>
            <w:rStyle w:val="Hipervnculo"/>
            <w:rFonts w:ascii="Cambria Math" w:hAnsi="Cambria Math" w:cs="Cambria Math"/>
            <w:noProof/>
          </w:rPr>
          <w:t>‑</w:t>
        </w:r>
        <w:r w:rsidR="00544557" w:rsidRPr="00CA02BB">
          <w:rPr>
            <w:rStyle w:val="Hipervnculo"/>
            <w:noProof/>
          </w:rPr>
          <w:t>score de 72 genes ISG y el IFN</w:t>
        </w:r>
        <w:r w:rsidR="00544557" w:rsidRPr="00CA02BB">
          <w:rPr>
            <w:rStyle w:val="Hipervnculo"/>
            <w:rFonts w:ascii="Cambria Math" w:hAnsi="Cambria Math" w:cs="Cambria Math"/>
            <w:noProof/>
          </w:rPr>
          <w:t>‑</w:t>
        </w:r>
        <w:r w:rsidR="00544557" w:rsidRPr="00CA02BB">
          <w:rPr>
            <w:rStyle w:val="Hipervnculo"/>
            <w:noProof/>
          </w:rPr>
          <w:t>score clásico de 4 genes en pacientes con LES</w:t>
        </w:r>
        <w:r w:rsidR="00544557">
          <w:rPr>
            <w:noProof/>
            <w:webHidden/>
          </w:rPr>
          <w:tab/>
        </w:r>
        <w:r w:rsidR="00544557">
          <w:rPr>
            <w:noProof/>
            <w:webHidden/>
          </w:rPr>
          <w:fldChar w:fldCharType="begin"/>
        </w:r>
        <w:r w:rsidR="00544557">
          <w:rPr>
            <w:noProof/>
            <w:webHidden/>
          </w:rPr>
          <w:instrText xml:space="preserve"> PAGEREF _Toc230792281 \h </w:instrText>
        </w:r>
        <w:r w:rsidR="00544557">
          <w:rPr>
            <w:noProof/>
            <w:webHidden/>
          </w:rPr>
        </w:r>
        <w:r w:rsidR="00544557">
          <w:rPr>
            <w:noProof/>
            <w:webHidden/>
          </w:rPr>
          <w:fldChar w:fldCharType="separate"/>
        </w:r>
        <w:r w:rsidR="00544557">
          <w:rPr>
            <w:noProof/>
            <w:webHidden/>
          </w:rPr>
          <w:t>42</w:t>
        </w:r>
        <w:r w:rsidR="00544557">
          <w:rPr>
            <w:noProof/>
            <w:webHidden/>
          </w:rPr>
          <w:fldChar w:fldCharType="end"/>
        </w:r>
      </w:hyperlink>
    </w:p>
    <w:p w14:paraId="3E2D937A" w14:textId="762101D5"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82" w:history="1">
        <w:r w:rsidR="00544557" w:rsidRPr="00CA02BB">
          <w:rPr>
            <w:rStyle w:val="Hipervnculo"/>
            <w:noProof/>
          </w:rPr>
          <w:t>Ilustración 9. Concordancia de la clasificación IFN</w:t>
        </w:r>
        <w:r w:rsidR="00544557" w:rsidRPr="00CA02BB">
          <w:rPr>
            <w:rStyle w:val="Hipervnculo"/>
            <w:rFonts w:ascii="Cambria Math" w:hAnsi="Cambria Math" w:cs="Cambria Math"/>
            <w:noProof/>
          </w:rPr>
          <w:t>‑</w:t>
        </w:r>
        <w:r w:rsidR="00544557" w:rsidRPr="00CA02BB">
          <w:rPr>
            <w:rStyle w:val="Hipervnculo"/>
            <w:noProof/>
          </w:rPr>
          <w:t>high/IFN</w:t>
        </w:r>
        <w:r w:rsidR="00544557" w:rsidRPr="00CA02BB">
          <w:rPr>
            <w:rStyle w:val="Hipervnculo"/>
            <w:rFonts w:ascii="Cambria Math" w:hAnsi="Cambria Math" w:cs="Cambria Math"/>
            <w:noProof/>
          </w:rPr>
          <w:t>‑</w:t>
        </w:r>
        <w:r w:rsidR="00544557" w:rsidRPr="00CA02BB">
          <w:rPr>
            <w:rStyle w:val="Hipervnculo"/>
            <w:noProof/>
          </w:rPr>
          <w:t>low entre el IFN</w:t>
        </w:r>
        <w:r w:rsidR="00544557" w:rsidRPr="00CA02BB">
          <w:rPr>
            <w:rStyle w:val="Hipervnculo"/>
            <w:rFonts w:ascii="Cambria Math" w:hAnsi="Cambria Math" w:cs="Cambria Math"/>
            <w:noProof/>
          </w:rPr>
          <w:t>‑</w:t>
        </w:r>
        <w:r w:rsidR="00544557" w:rsidRPr="00CA02BB">
          <w:rPr>
            <w:rStyle w:val="Hipervnculo"/>
            <w:noProof/>
          </w:rPr>
          <w:t>score de 72 genes y el IFN</w:t>
        </w:r>
        <w:r w:rsidR="00544557" w:rsidRPr="00CA02BB">
          <w:rPr>
            <w:rStyle w:val="Hipervnculo"/>
            <w:rFonts w:ascii="Cambria Math" w:hAnsi="Cambria Math" w:cs="Cambria Math"/>
            <w:noProof/>
          </w:rPr>
          <w:t>‑</w:t>
        </w:r>
        <w:r w:rsidR="00544557" w:rsidRPr="00CA02BB">
          <w:rPr>
            <w:rStyle w:val="Hipervnculo"/>
            <w:noProof/>
          </w:rPr>
          <w:t>score de 4 genes</w:t>
        </w:r>
        <w:r w:rsidR="00544557">
          <w:rPr>
            <w:noProof/>
            <w:webHidden/>
          </w:rPr>
          <w:tab/>
        </w:r>
        <w:r w:rsidR="00544557">
          <w:rPr>
            <w:noProof/>
            <w:webHidden/>
          </w:rPr>
          <w:fldChar w:fldCharType="begin"/>
        </w:r>
        <w:r w:rsidR="00544557">
          <w:rPr>
            <w:noProof/>
            <w:webHidden/>
          </w:rPr>
          <w:instrText xml:space="preserve"> PAGEREF _Toc230792282 \h </w:instrText>
        </w:r>
        <w:r w:rsidR="00544557">
          <w:rPr>
            <w:noProof/>
            <w:webHidden/>
          </w:rPr>
        </w:r>
        <w:r w:rsidR="00544557">
          <w:rPr>
            <w:noProof/>
            <w:webHidden/>
          </w:rPr>
          <w:fldChar w:fldCharType="separate"/>
        </w:r>
        <w:r w:rsidR="00544557">
          <w:rPr>
            <w:noProof/>
            <w:webHidden/>
          </w:rPr>
          <w:t>42</w:t>
        </w:r>
        <w:r w:rsidR="00544557">
          <w:rPr>
            <w:noProof/>
            <w:webHidden/>
          </w:rPr>
          <w:fldChar w:fldCharType="end"/>
        </w:r>
      </w:hyperlink>
    </w:p>
    <w:p w14:paraId="757F809D" w14:textId="4E3A40EE"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83" w:history="1">
        <w:r w:rsidR="00544557" w:rsidRPr="00CA02BB">
          <w:rPr>
            <w:rStyle w:val="Hipervnculo"/>
            <w:noProof/>
          </w:rPr>
          <w:t>Ilustración 10. (A) Volcano plot de los 72 ISGs (eje X: log2 fold-change IFN-high − IFN-low; eje Y: −log₁₀(FDR)). Los genes estadísticamente significativos (FDR &lt; 0,05 y |LFC| &gt; 0,5; n = 65) se muestran en rojo; los no significativos en gris. (B) Diagrama de barras horizontales con los 20 genes más sobreexpresados en IFN-high, ordenados por LFC. Se indican los valores de FDR individuales para cada gen.</w:t>
        </w:r>
        <w:r w:rsidR="00544557">
          <w:rPr>
            <w:noProof/>
            <w:webHidden/>
          </w:rPr>
          <w:tab/>
        </w:r>
        <w:r w:rsidR="00544557">
          <w:rPr>
            <w:noProof/>
            <w:webHidden/>
          </w:rPr>
          <w:fldChar w:fldCharType="begin"/>
        </w:r>
        <w:r w:rsidR="00544557">
          <w:rPr>
            <w:noProof/>
            <w:webHidden/>
          </w:rPr>
          <w:instrText xml:space="preserve"> PAGEREF _Toc230792283 \h </w:instrText>
        </w:r>
        <w:r w:rsidR="00544557">
          <w:rPr>
            <w:noProof/>
            <w:webHidden/>
          </w:rPr>
        </w:r>
        <w:r w:rsidR="00544557">
          <w:rPr>
            <w:noProof/>
            <w:webHidden/>
          </w:rPr>
          <w:fldChar w:fldCharType="separate"/>
        </w:r>
        <w:r w:rsidR="00544557">
          <w:rPr>
            <w:noProof/>
            <w:webHidden/>
          </w:rPr>
          <w:t>43</w:t>
        </w:r>
        <w:r w:rsidR="00544557">
          <w:rPr>
            <w:noProof/>
            <w:webHidden/>
          </w:rPr>
          <w:fldChar w:fldCharType="end"/>
        </w:r>
      </w:hyperlink>
    </w:p>
    <w:p w14:paraId="37760A4F" w14:textId="0B88E3F9"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84" w:history="1">
        <w:r w:rsidR="00544557" w:rsidRPr="00CA02BB">
          <w:rPr>
            <w:rStyle w:val="Hipervnculo"/>
            <w:noProof/>
          </w:rPr>
          <w:t>Ilustración 12. Heatmap de los 72 ISGs en pacientes con LES (n = 251) ordenados por clustering jerárquico (ward.D2; z-score por gen). Las columnas están anotadas según la clasificación IFN-high/IFN-low.</w:t>
        </w:r>
        <w:r w:rsidR="00544557">
          <w:rPr>
            <w:noProof/>
            <w:webHidden/>
          </w:rPr>
          <w:tab/>
        </w:r>
        <w:r w:rsidR="00544557">
          <w:rPr>
            <w:noProof/>
            <w:webHidden/>
          </w:rPr>
          <w:fldChar w:fldCharType="begin"/>
        </w:r>
        <w:r w:rsidR="00544557">
          <w:rPr>
            <w:noProof/>
            <w:webHidden/>
          </w:rPr>
          <w:instrText xml:space="preserve"> PAGEREF _Toc230792284 \h </w:instrText>
        </w:r>
        <w:r w:rsidR="00544557">
          <w:rPr>
            <w:noProof/>
            <w:webHidden/>
          </w:rPr>
        </w:r>
        <w:r w:rsidR="00544557">
          <w:rPr>
            <w:noProof/>
            <w:webHidden/>
          </w:rPr>
          <w:fldChar w:fldCharType="separate"/>
        </w:r>
        <w:r w:rsidR="00544557">
          <w:rPr>
            <w:noProof/>
            <w:webHidden/>
          </w:rPr>
          <w:t>44</w:t>
        </w:r>
        <w:r w:rsidR="00544557">
          <w:rPr>
            <w:noProof/>
            <w:webHidden/>
          </w:rPr>
          <w:fldChar w:fldCharType="end"/>
        </w:r>
      </w:hyperlink>
    </w:p>
    <w:p w14:paraId="46765B88" w14:textId="578601FC"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85" w:history="1">
        <w:r w:rsidR="00544557" w:rsidRPr="00CA02BB">
          <w:rPr>
            <w:rStyle w:val="Hipervnculo"/>
            <w:noProof/>
          </w:rPr>
          <w:t>Ilustración 13. Distribución de categorías SLEDAI-2K y SLE-DAS por grupo IFN</w:t>
        </w:r>
        <w:r w:rsidR="00544557">
          <w:rPr>
            <w:noProof/>
            <w:webHidden/>
          </w:rPr>
          <w:tab/>
        </w:r>
        <w:r w:rsidR="00544557">
          <w:rPr>
            <w:noProof/>
            <w:webHidden/>
          </w:rPr>
          <w:fldChar w:fldCharType="begin"/>
        </w:r>
        <w:r w:rsidR="00544557">
          <w:rPr>
            <w:noProof/>
            <w:webHidden/>
          </w:rPr>
          <w:instrText xml:space="preserve"> PAGEREF _Toc230792285 \h </w:instrText>
        </w:r>
        <w:r w:rsidR="00544557">
          <w:rPr>
            <w:noProof/>
            <w:webHidden/>
          </w:rPr>
        </w:r>
        <w:r w:rsidR="00544557">
          <w:rPr>
            <w:noProof/>
            <w:webHidden/>
          </w:rPr>
          <w:fldChar w:fldCharType="separate"/>
        </w:r>
        <w:r w:rsidR="00544557">
          <w:rPr>
            <w:noProof/>
            <w:webHidden/>
          </w:rPr>
          <w:t>46</w:t>
        </w:r>
        <w:r w:rsidR="00544557">
          <w:rPr>
            <w:noProof/>
            <w:webHidden/>
          </w:rPr>
          <w:fldChar w:fldCharType="end"/>
        </w:r>
      </w:hyperlink>
    </w:p>
    <w:p w14:paraId="45A23A49" w14:textId="1F7EC4D6"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86" w:history="1">
        <w:r w:rsidR="00544557" w:rsidRPr="00CA02BB">
          <w:rPr>
            <w:rStyle w:val="Hipervnculo"/>
            <w:noProof/>
          </w:rPr>
          <w:t>Ilustración 14. Correlaciones significativas entre el IFN-score y el resto de variables clínicas y de laboratorio</w:t>
        </w:r>
        <w:r w:rsidR="00544557">
          <w:rPr>
            <w:noProof/>
            <w:webHidden/>
          </w:rPr>
          <w:tab/>
        </w:r>
        <w:r w:rsidR="00544557">
          <w:rPr>
            <w:noProof/>
            <w:webHidden/>
          </w:rPr>
          <w:fldChar w:fldCharType="begin"/>
        </w:r>
        <w:r w:rsidR="00544557">
          <w:rPr>
            <w:noProof/>
            <w:webHidden/>
          </w:rPr>
          <w:instrText xml:space="preserve"> PAGEREF _Toc230792286 \h </w:instrText>
        </w:r>
        <w:r w:rsidR="00544557">
          <w:rPr>
            <w:noProof/>
            <w:webHidden/>
          </w:rPr>
        </w:r>
        <w:r w:rsidR="00544557">
          <w:rPr>
            <w:noProof/>
            <w:webHidden/>
          </w:rPr>
          <w:fldChar w:fldCharType="separate"/>
        </w:r>
        <w:r w:rsidR="00544557">
          <w:rPr>
            <w:noProof/>
            <w:webHidden/>
          </w:rPr>
          <w:t>49</w:t>
        </w:r>
        <w:r w:rsidR="00544557">
          <w:rPr>
            <w:noProof/>
            <w:webHidden/>
          </w:rPr>
          <w:fldChar w:fldCharType="end"/>
        </w:r>
      </w:hyperlink>
    </w:p>
    <w:p w14:paraId="7BA2E01A" w14:textId="340392E8"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87" w:history="1">
        <w:r w:rsidR="00544557" w:rsidRPr="00CA02BB">
          <w:rPr>
            <w:rStyle w:val="Hipervnculo"/>
            <w:noProof/>
          </w:rPr>
          <w:t>Ilustración 15. curvas ROC superpuestas (IFN-α en rojo, SLEDAI-2K en gris oscuro, C3 y C4 en grises claros)</w:t>
        </w:r>
        <w:r w:rsidR="00544557">
          <w:rPr>
            <w:noProof/>
            <w:webHidden/>
          </w:rPr>
          <w:tab/>
        </w:r>
        <w:r w:rsidR="00544557">
          <w:rPr>
            <w:noProof/>
            <w:webHidden/>
          </w:rPr>
          <w:fldChar w:fldCharType="begin"/>
        </w:r>
        <w:r w:rsidR="00544557">
          <w:rPr>
            <w:noProof/>
            <w:webHidden/>
          </w:rPr>
          <w:instrText xml:space="preserve"> PAGEREF _Toc230792287 \h </w:instrText>
        </w:r>
        <w:r w:rsidR="00544557">
          <w:rPr>
            <w:noProof/>
            <w:webHidden/>
          </w:rPr>
        </w:r>
        <w:r w:rsidR="00544557">
          <w:rPr>
            <w:noProof/>
            <w:webHidden/>
          </w:rPr>
          <w:fldChar w:fldCharType="separate"/>
        </w:r>
        <w:r w:rsidR="00544557">
          <w:rPr>
            <w:noProof/>
            <w:webHidden/>
          </w:rPr>
          <w:t>51</w:t>
        </w:r>
        <w:r w:rsidR="00544557">
          <w:rPr>
            <w:noProof/>
            <w:webHidden/>
          </w:rPr>
          <w:fldChar w:fldCharType="end"/>
        </w:r>
      </w:hyperlink>
    </w:p>
    <w:p w14:paraId="327C40A1" w14:textId="4D823865"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88" w:history="1">
        <w:r w:rsidR="00544557" w:rsidRPr="00CA02BB">
          <w:rPr>
            <w:rStyle w:val="Hipervnculo"/>
            <w:noProof/>
          </w:rPr>
          <w:t>Ilustración 16. plotIndiv (SLEDAI)</w:t>
        </w:r>
        <w:r w:rsidR="00544557">
          <w:rPr>
            <w:noProof/>
            <w:webHidden/>
          </w:rPr>
          <w:tab/>
        </w:r>
        <w:r w:rsidR="00544557">
          <w:rPr>
            <w:noProof/>
            <w:webHidden/>
          </w:rPr>
          <w:fldChar w:fldCharType="begin"/>
        </w:r>
        <w:r w:rsidR="00544557">
          <w:rPr>
            <w:noProof/>
            <w:webHidden/>
          </w:rPr>
          <w:instrText xml:space="preserve"> PAGEREF _Toc230792288 \h </w:instrText>
        </w:r>
        <w:r w:rsidR="00544557">
          <w:rPr>
            <w:noProof/>
            <w:webHidden/>
          </w:rPr>
        </w:r>
        <w:r w:rsidR="00544557">
          <w:rPr>
            <w:noProof/>
            <w:webHidden/>
          </w:rPr>
          <w:fldChar w:fldCharType="separate"/>
        </w:r>
        <w:r w:rsidR="00544557">
          <w:rPr>
            <w:noProof/>
            <w:webHidden/>
          </w:rPr>
          <w:t>60</w:t>
        </w:r>
        <w:r w:rsidR="00544557">
          <w:rPr>
            <w:noProof/>
            <w:webHidden/>
          </w:rPr>
          <w:fldChar w:fldCharType="end"/>
        </w:r>
      </w:hyperlink>
    </w:p>
    <w:p w14:paraId="63C82BA4" w14:textId="40C31971"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89" w:history="1">
        <w:r w:rsidR="00544557" w:rsidRPr="00CA02BB">
          <w:rPr>
            <w:rStyle w:val="Hipervnculo"/>
            <w:noProof/>
          </w:rPr>
          <w:t>Ilustración 17. plotIndiv (SLE-DAS)</w:t>
        </w:r>
        <w:r w:rsidR="00544557">
          <w:rPr>
            <w:noProof/>
            <w:webHidden/>
          </w:rPr>
          <w:tab/>
        </w:r>
        <w:r w:rsidR="00544557">
          <w:rPr>
            <w:noProof/>
            <w:webHidden/>
          </w:rPr>
          <w:fldChar w:fldCharType="begin"/>
        </w:r>
        <w:r w:rsidR="00544557">
          <w:rPr>
            <w:noProof/>
            <w:webHidden/>
          </w:rPr>
          <w:instrText xml:space="preserve"> PAGEREF _Toc230792289 \h </w:instrText>
        </w:r>
        <w:r w:rsidR="00544557">
          <w:rPr>
            <w:noProof/>
            <w:webHidden/>
          </w:rPr>
        </w:r>
        <w:r w:rsidR="00544557">
          <w:rPr>
            <w:noProof/>
            <w:webHidden/>
          </w:rPr>
          <w:fldChar w:fldCharType="separate"/>
        </w:r>
        <w:r w:rsidR="00544557">
          <w:rPr>
            <w:noProof/>
            <w:webHidden/>
          </w:rPr>
          <w:t>60</w:t>
        </w:r>
        <w:r w:rsidR="00544557">
          <w:rPr>
            <w:noProof/>
            <w:webHidden/>
          </w:rPr>
          <w:fldChar w:fldCharType="end"/>
        </w:r>
      </w:hyperlink>
    </w:p>
    <w:p w14:paraId="113F138A" w14:textId="6B4E10BF"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90" w:history="1">
        <w:r w:rsidR="00544557" w:rsidRPr="00CA02BB">
          <w:rPr>
            <w:rStyle w:val="Hipervnculo"/>
            <w:noProof/>
          </w:rPr>
          <w:t>Ilustración 18. plotIndiv (SLICC)</w:t>
        </w:r>
        <w:r w:rsidR="00544557">
          <w:rPr>
            <w:noProof/>
            <w:webHidden/>
          </w:rPr>
          <w:tab/>
        </w:r>
        <w:r w:rsidR="00544557">
          <w:rPr>
            <w:noProof/>
            <w:webHidden/>
          </w:rPr>
          <w:fldChar w:fldCharType="begin"/>
        </w:r>
        <w:r w:rsidR="00544557">
          <w:rPr>
            <w:noProof/>
            <w:webHidden/>
          </w:rPr>
          <w:instrText xml:space="preserve"> PAGEREF _Toc230792290 \h </w:instrText>
        </w:r>
        <w:r w:rsidR="00544557">
          <w:rPr>
            <w:noProof/>
            <w:webHidden/>
          </w:rPr>
        </w:r>
        <w:r w:rsidR="00544557">
          <w:rPr>
            <w:noProof/>
            <w:webHidden/>
          </w:rPr>
          <w:fldChar w:fldCharType="separate"/>
        </w:r>
        <w:r w:rsidR="00544557">
          <w:rPr>
            <w:noProof/>
            <w:webHidden/>
          </w:rPr>
          <w:t>60</w:t>
        </w:r>
        <w:r w:rsidR="00544557">
          <w:rPr>
            <w:noProof/>
            <w:webHidden/>
          </w:rPr>
          <w:fldChar w:fldCharType="end"/>
        </w:r>
      </w:hyperlink>
    </w:p>
    <w:p w14:paraId="3BDD4A42" w14:textId="4C043F8B"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91" w:history="1">
        <w:r w:rsidR="00544557" w:rsidRPr="00CA02BB">
          <w:rPr>
            <w:rStyle w:val="Hipervnculo"/>
            <w:noProof/>
          </w:rPr>
          <w:t>Ilustración 19. plotIndiv (DORIS)</w:t>
        </w:r>
        <w:r w:rsidR="00544557">
          <w:rPr>
            <w:noProof/>
            <w:webHidden/>
          </w:rPr>
          <w:tab/>
        </w:r>
        <w:r w:rsidR="00544557">
          <w:rPr>
            <w:noProof/>
            <w:webHidden/>
          </w:rPr>
          <w:fldChar w:fldCharType="begin"/>
        </w:r>
        <w:r w:rsidR="00544557">
          <w:rPr>
            <w:noProof/>
            <w:webHidden/>
          </w:rPr>
          <w:instrText xml:space="preserve"> PAGEREF _Toc230792291 \h </w:instrText>
        </w:r>
        <w:r w:rsidR="00544557">
          <w:rPr>
            <w:noProof/>
            <w:webHidden/>
          </w:rPr>
        </w:r>
        <w:r w:rsidR="00544557">
          <w:rPr>
            <w:noProof/>
            <w:webHidden/>
          </w:rPr>
          <w:fldChar w:fldCharType="separate"/>
        </w:r>
        <w:r w:rsidR="00544557">
          <w:rPr>
            <w:noProof/>
            <w:webHidden/>
          </w:rPr>
          <w:t>60</w:t>
        </w:r>
        <w:r w:rsidR="00544557">
          <w:rPr>
            <w:noProof/>
            <w:webHidden/>
          </w:rPr>
          <w:fldChar w:fldCharType="end"/>
        </w:r>
      </w:hyperlink>
    </w:p>
    <w:p w14:paraId="33769780" w14:textId="1EA81968"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92" w:history="1">
        <w:r w:rsidR="00544557" w:rsidRPr="00CA02BB">
          <w:rPr>
            <w:rStyle w:val="Hipervnculo"/>
            <w:noProof/>
          </w:rPr>
          <w:t>Ilustración 20. plotIndiv (Remisión estricta)</w:t>
        </w:r>
        <w:r w:rsidR="00544557">
          <w:rPr>
            <w:noProof/>
            <w:webHidden/>
          </w:rPr>
          <w:tab/>
        </w:r>
        <w:r w:rsidR="00544557">
          <w:rPr>
            <w:noProof/>
            <w:webHidden/>
          </w:rPr>
          <w:fldChar w:fldCharType="begin"/>
        </w:r>
        <w:r w:rsidR="00544557">
          <w:rPr>
            <w:noProof/>
            <w:webHidden/>
          </w:rPr>
          <w:instrText xml:space="preserve"> PAGEREF _Toc230792292 \h </w:instrText>
        </w:r>
        <w:r w:rsidR="00544557">
          <w:rPr>
            <w:noProof/>
            <w:webHidden/>
          </w:rPr>
        </w:r>
        <w:r w:rsidR="00544557">
          <w:rPr>
            <w:noProof/>
            <w:webHidden/>
          </w:rPr>
          <w:fldChar w:fldCharType="separate"/>
        </w:r>
        <w:r w:rsidR="00544557">
          <w:rPr>
            <w:noProof/>
            <w:webHidden/>
          </w:rPr>
          <w:t>60</w:t>
        </w:r>
        <w:r w:rsidR="00544557">
          <w:rPr>
            <w:noProof/>
            <w:webHidden/>
          </w:rPr>
          <w:fldChar w:fldCharType="end"/>
        </w:r>
      </w:hyperlink>
    </w:p>
    <w:p w14:paraId="679ED4F3" w14:textId="59C11DA5"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93" w:history="1">
        <w:r w:rsidR="00544557" w:rsidRPr="00CA02BB">
          <w:rPr>
            <w:rStyle w:val="Hipervnculo"/>
            <w:noProof/>
          </w:rPr>
          <w:t>Ilustración 21. plotDiablo (SLEDAI)</w:t>
        </w:r>
        <w:r w:rsidR="00544557">
          <w:rPr>
            <w:noProof/>
            <w:webHidden/>
          </w:rPr>
          <w:tab/>
        </w:r>
        <w:r w:rsidR="00544557">
          <w:rPr>
            <w:noProof/>
            <w:webHidden/>
          </w:rPr>
          <w:fldChar w:fldCharType="begin"/>
        </w:r>
        <w:r w:rsidR="00544557">
          <w:rPr>
            <w:noProof/>
            <w:webHidden/>
          </w:rPr>
          <w:instrText xml:space="preserve"> PAGEREF _Toc230792293 \h </w:instrText>
        </w:r>
        <w:r w:rsidR="00544557">
          <w:rPr>
            <w:noProof/>
            <w:webHidden/>
          </w:rPr>
        </w:r>
        <w:r w:rsidR="00544557">
          <w:rPr>
            <w:noProof/>
            <w:webHidden/>
          </w:rPr>
          <w:fldChar w:fldCharType="separate"/>
        </w:r>
        <w:r w:rsidR="00544557">
          <w:rPr>
            <w:noProof/>
            <w:webHidden/>
          </w:rPr>
          <w:t>62</w:t>
        </w:r>
        <w:r w:rsidR="00544557">
          <w:rPr>
            <w:noProof/>
            <w:webHidden/>
          </w:rPr>
          <w:fldChar w:fldCharType="end"/>
        </w:r>
      </w:hyperlink>
    </w:p>
    <w:p w14:paraId="535C6B1B" w14:textId="12B2756B"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94" w:history="1">
        <w:r w:rsidR="00544557" w:rsidRPr="00CA02BB">
          <w:rPr>
            <w:rStyle w:val="Hipervnculo"/>
            <w:noProof/>
          </w:rPr>
          <w:t>Ilustración 22. plotDiablo (SLE-DAS)</w:t>
        </w:r>
        <w:r w:rsidR="00544557">
          <w:rPr>
            <w:noProof/>
            <w:webHidden/>
          </w:rPr>
          <w:tab/>
        </w:r>
        <w:r w:rsidR="00544557">
          <w:rPr>
            <w:noProof/>
            <w:webHidden/>
          </w:rPr>
          <w:fldChar w:fldCharType="begin"/>
        </w:r>
        <w:r w:rsidR="00544557">
          <w:rPr>
            <w:noProof/>
            <w:webHidden/>
          </w:rPr>
          <w:instrText xml:space="preserve"> PAGEREF _Toc230792294 \h </w:instrText>
        </w:r>
        <w:r w:rsidR="00544557">
          <w:rPr>
            <w:noProof/>
            <w:webHidden/>
          </w:rPr>
        </w:r>
        <w:r w:rsidR="00544557">
          <w:rPr>
            <w:noProof/>
            <w:webHidden/>
          </w:rPr>
          <w:fldChar w:fldCharType="separate"/>
        </w:r>
        <w:r w:rsidR="00544557">
          <w:rPr>
            <w:noProof/>
            <w:webHidden/>
          </w:rPr>
          <w:t>62</w:t>
        </w:r>
        <w:r w:rsidR="00544557">
          <w:rPr>
            <w:noProof/>
            <w:webHidden/>
          </w:rPr>
          <w:fldChar w:fldCharType="end"/>
        </w:r>
      </w:hyperlink>
    </w:p>
    <w:p w14:paraId="1B85DC2D" w14:textId="67830534"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95" w:history="1">
        <w:r w:rsidR="00544557" w:rsidRPr="00CA02BB">
          <w:rPr>
            <w:rStyle w:val="Hipervnculo"/>
            <w:noProof/>
          </w:rPr>
          <w:t>Ilustración 23. plotDiablo (SLICC)</w:t>
        </w:r>
        <w:r w:rsidR="00544557">
          <w:rPr>
            <w:noProof/>
            <w:webHidden/>
          </w:rPr>
          <w:tab/>
        </w:r>
        <w:r w:rsidR="00544557">
          <w:rPr>
            <w:noProof/>
            <w:webHidden/>
          </w:rPr>
          <w:fldChar w:fldCharType="begin"/>
        </w:r>
        <w:r w:rsidR="00544557">
          <w:rPr>
            <w:noProof/>
            <w:webHidden/>
          </w:rPr>
          <w:instrText xml:space="preserve"> PAGEREF _Toc230792295 \h </w:instrText>
        </w:r>
        <w:r w:rsidR="00544557">
          <w:rPr>
            <w:noProof/>
            <w:webHidden/>
          </w:rPr>
        </w:r>
        <w:r w:rsidR="00544557">
          <w:rPr>
            <w:noProof/>
            <w:webHidden/>
          </w:rPr>
          <w:fldChar w:fldCharType="separate"/>
        </w:r>
        <w:r w:rsidR="00544557">
          <w:rPr>
            <w:noProof/>
            <w:webHidden/>
          </w:rPr>
          <w:t>62</w:t>
        </w:r>
        <w:r w:rsidR="00544557">
          <w:rPr>
            <w:noProof/>
            <w:webHidden/>
          </w:rPr>
          <w:fldChar w:fldCharType="end"/>
        </w:r>
      </w:hyperlink>
    </w:p>
    <w:p w14:paraId="795C7D5D" w14:textId="773E84B3"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96" w:history="1">
        <w:r w:rsidR="00544557" w:rsidRPr="00CA02BB">
          <w:rPr>
            <w:rStyle w:val="Hipervnculo"/>
            <w:noProof/>
          </w:rPr>
          <w:t>Ilustración 24. plotDiablo (DORIS)</w:t>
        </w:r>
        <w:r w:rsidR="00544557">
          <w:rPr>
            <w:noProof/>
            <w:webHidden/>
          </w:rPr>
          <w:tab/>
        </w:r>
        <w:r w:rsidR="00544557">
          <w:rPr>
            <w:noProof/>
            <w:webHidden/>
          </w:rPr>
          <w:fldChar w:fldCharType="begin"/>
        </w:r>
        <w:r w:rsidR="00544557">
          <w:rPr>
            <w:noProof/>
            <w:webHidden/>
          </w:rPr>
          <w:instrText xml:space="preserve"> PAGEREF _Toc230792296 \h </w:instrText>
        </w:r>
        <w:r w:rsidR="00544557">
          <w:rPr>
            <w:noProof/>
            <w:webHidden/>
          </w:rPr>
        </w:r>
        <w:r w:rsidR="00544557">
          <w:rPr>
            <w:noProof/>
            <w:webHidden/>
          </w:rPr>
          <w:fldChar w:fldCharType="separate"/>
        </w:r>
        <w:r w:rsidR="00544557">
          <w:rPr>
            <w:noProof/>
            <w:webHidden/>
          </w:rPr>
          <w:t>62</w:t>
        </w:r>
        <w:r w:rsidR="00544557">
          <w:rPr>
            <w:noProof/>
            <w:webHidden/>
          </w:rPr>
          <w:fldChar w:fldCharType="end"/>
        </w:r>
      </w:hyperlink>
    </w:p>
    <w:p w14:paraId="6C4262E0" w14:textId="4CF80123"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97" w:history="1">
        <w:r w:rsidR="00544557" w:rsidRPr="00CA02BB">
          <w:rPr>
            <w:rStyle w:val="Hipervnculo"/>
            <w:noProof/>
          </w:rPr>
          <w:t>Ilustración 25. plotDiablo (Remisión Estricta)</w:t>
        </w:r>
        <w:r w:rsidR="00544557">
          <w:rPr>
            <w:noProof/>
            <w:webHidden/>
          </w:rPr>
          <w:tab/>
        </w:r>
        <w:r w:rsidR="00544557">
          <w:rPr>
            <w:noProof/>
            <w:webHidden/>
          </w:rPr>
          <w:fldChar w:fldCharType="begin"/>
        </w:r>
        <w:r w:rsidR="00544557">
          <w:rPr>
            <w:noProof/>
            <w:webHidden/>
          </w:rPr>
          <w:instrText xml:space="preserve"> PAGEREF _Toc230792297 \h </w:instrText>
        </w:r>
        <w:r w:rsidR="00544557">
          <w:rPr>
            <w:noProof/>
            <w:webHidden/>
          </w:rPr>
        </w:r>
        <w:r w:rsidR="00544557">
          <w:rPr>
            <w:noProof/>
            <w:webHidden/>
          </w:rPr>
          <w:fldChar w:fldCharType="separate"/>
        </w:r>
        <w:r w:rsidR="00544557">
          <w:rPr>
            <w:noProof/>
            <w:webHidden/>
          </w:rPr>
          <w:t>62</w:t>
        </w:r>
        <w:r w:rsidR="00544557">
          <w:rPr>
            <w:noProof/>
            <w:webHidden/>
          </w:rPr>
          <w:fldChar w:fldCharType="end"/>
        </w:r>
      </w:hyperlink>
    </w:p>
    <w:p w14:paraId="49D82296" w14:textId="2F320A18"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98" w:history="1">
        <w:r w:rsidR="00544557" w:rsidRPr="00CA02BB">
          <w:rPr>
            <w:rStyle w:val="Hipervnculo"/>
            <w:noProof/>
          </w:rPr>
          <w:t>Ilustración 31. Circos plot y Relevance Network (SLE-DAS)</w:t>
        </w:r>
        <w:r w:rsidR="00544557">
          <w:rPr>
            <w:noProof/>
            <w:webHidden/>
          </w:rPr>
          <w:tab/>
        </w:r>
        <w:r w:rsidR="00544557">
          <w:rPr>
            <w:noProof/>
            <w:webHidden/>
          </w:rPr>
          <w:fldChar w:fldCharType="begin"/>
        </w:r>
        <w:r w:rsidR="00544557">
          <w:rPr>
            <w:noProof/>
            <w:webHidden/>
          </w:rPr>
          <w:instrText xml:space="preserve"> PAGEREF _Toc230792298 \h </w:instrText>
        </w:r>
        <w:r w:rsidR="00544557">
          <w:rPr>
            <w:noProof/>
            <w:webHidden/>
          </w:rPr>
        </w:r>
        <w:r w:rsidR="00544557">
          <w:rPr>
            <w:noProof/>
            <w:webHidden/>
          </w:rPr>
          <w:fldChar w:fldCharType="separate"/>
        </w:r>
        <w:r w:rsidR="00544557">
          <w:rPr>
            <w:noProof/>
            <w:webHidden/>
          </w:rPr>
          <w:t>63</w:t>
        </w:r>
        <w:r w:rsidR="00544557">
          <w:rPr>
            <w:noProof/>
            <w:webHidden/>
          </w:rPr>
          <w:fldChar w:fldCharType="end"/>
        </w:r>
      </w:hyperlink>
    </w:p>
    <w:p w14:paraId="03B3AE09" w14:textId="2ECE5CAF"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299" w:history="1">
        <w:r w:rsidR="00544557" w:rsidRPr="00CA02BB">
          <w:rPr>
            <w:rStyle w:val="Hipervnculo"/>
            <w:noProof/>
          </w:rPr>
          <w:t>Ilustración 32. Circos plot y Relevance Network (SLICC)</w:t>
        </w:r>
        <w:r w:rsidR="00544557">
          <w:rPr>
            <w:noProof/>
            <w:webHidden/>
          </w:rPr>
          <w:tab/>
        </w:r>
        <w:r w:rsidR="00544557">
          <w:rPr>
            <w:noProof/>
            <w:webHidden/>
          </w:rPr>
          <w:fldChar w:fldCharType="begin"/>
        </w:r>
        <w:r w:rsidR="00544557">
          <w:rPr>
            <w:noProof/>
            <w:webHidden/>
          </w:rPr>
          <w:instrText xml:space="preserve"> PAGEREF _Toc230792299 \h </w:instrText>
        </w:r>
        <w:r w:rsidR="00544557">
          <w:rPr>
            <w:noProof/>
            <w:webHidden/>
          </w:rPr>
        </w:r>
        <w:r w:rsidR="00544557">
          <w:rPr>
            <w:noProof/>
            <w:webHidden/>
          </w:rPr>
          <w:fldChar w:fldCharType="separate"/>
        </w:r>
        <w:r w:rsidR="00544557">
          <w:rPr>
            <w:noProof/>
            <w:webHidden/>
          </w:rPr>
          <w:t>64</w:t>
        </w:r>
        <w:r w:rsidR="00544557">
          <w:rPr>
            <w:noProof/>
            <w:webHidden/>
          </w:rPr>
          <w:fldChar w:fldCharType="end"/>
        </w:r>
      </w:hyperlink>
    </w:p>
    <w:p w14:paraId="1F284512" w14:textId="1E8856CA"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00" w:history="1">
        <w:r w:rsidR="00544557" w:rsidRPr="00CA02BB">
          <w:rPr>
            <w:rStyle w:val="Hipervnculo"/>
            <w:noProof/>
          </w:rPr>
          <w:t>Ilustración 33. Circos plot y Relevance Network (Remisión Estricta)</w:t>
        </w:r>
        <w:r w:rsidR="00544557">
          <w:rPr>
            <w:noProof/>
            <w:webHidden/>
          </w:rPr>
          <w:tab/>
        </w:r>
        <w:r w:rsidR="00544557">
          <w:rPr>
            <w:noProof/>
            <w:webHidden/>
          </w:rPr>
          <w:fldChar w:fldCharType="begin"/>
        </w:r>
        <w:r w:rsidR="00544557">
          <w:rPr>
            <w:noProof/>
            <w:webHidden/>
          </w:rPr>
          <w:instrText xml:space="preserve"> PAGEREF _Toc230792300 \h </w:instrText>
        </w:r>
        <w:r w:rsidR="00544557">
          <w:rPr>
            <w:noProof/>
            <w:webHidden/>
          </w:rPr>
        </w:r>
        <w:r w:rsidR="00544557">
          <w:rPr>
            <w:noProof/>
            <w:webHidden/>
          </w:rPr>
          <w:fldChar w:fldCharType="separate"/>
        </w:r>
        <w:r w:rsidR="00544557">
          <w:rPr>
            <w:noProof/>
            <w:webHidden/>
          </w:rPr>
          <w:t>65</w:t>
        </w:r>
        <w:r w:rsidR="00544557">
          <w:rPr>
            <w:noProof/>
            <w:webHidden/>
          </w:rPr>
          <w:fldChar w:fldCharType="end"/>
        </w:r>
      </w:hyperlink>
    </w:p>
    <w:p w14:paraId="66EE870C" w14:textId="266AA374" w:rsidR="00544557" w:rsidRDefault="00000000">
      <w:pPr>
        <w:pStyle w:val="Tabladeilustraciones"/>
        <w:tabs>
          <w:tab w:val="right" w:leader="dot" w:pos="8495"/>
        </w:tabs>
        <w:rPr>
          <w:rFonts w:asciiTheme="minorHAnsi" w:eastAsiaTheme="minorEastAsia" w:hAnsiTheme="minorHAnsi" w:cstheme="minorBidi"/>
          <w:noProof/>
          <w:kern w:val="2"/>
          <w:sz w:val="24"/>
          <w:szCs w:val="24"/>
          <w:lang w:val="es-ES"/>
          <w14:ligatures w14:val="standardContextual"/>
        </w:rPr>
      </w:pPr>
      <w:hyperlink w:anchor="_Toc230792301" w:history="1">
        <w:r w:rsidR="00544557" w:rsidRPr="00CA02BB">
          <w:rPr>
            <w:rStyle w:val="Hipervnculo"/>
            <w:noProof/>
          </w:rPr>
          <w:t>Ilustración 34. Circos plot y Relevance Network (SLEDAI)</w:t>
        </w:r>
        <w:r w:rsidR="00544557">
          <w:rPr>
            <w:noProof/>
            <w:webHidden/>
          </w:rPr>
          <w:tab/>
        </w:r>
        <w:r w:rsidR="00544557">
          <w:rPr>
            <w:noProof/>
            <w:webHidden/>
          </w:rPr>
          <w:fldChar w:fldCharType="begin"/>
        </w:r>
        <w:r w:rsidR="00544557">
          <w:rPr>
            <w:noProof/>
            <w:webHidden/>
          </w:rPr>
          <w:instrText xml:space="preserve"> PAGEREF _Toc230792301 \h </w:instrText>
        </w:r>
        <w:r w:rsidR="00544557">
          <w:rPr>
            <w:noProof/>
            <w:webHidden/>
          </w:rPr>
        </w:r>
        <w:r w:rsidR="00544557">
          <w:rPr>
            <w:noProof/>
            <w:webHidden/>
          </w:rPr>
          <w:fldChar w:fldCharType="separate"/>
        </w:r>
        <w:r w:rsidR="00544557">
          <w:rPr>
            <w:noProof/>
            <w:webHidden/>
          </w:rPr>
          <w:t>65</w:t>
        </w:r>
        <w:r w:rsidR="00544557">
          <w:rPr>
            <w:noProof/>
            <w:webHidden/>
          </w:rPr>
          <w:fldChar w:fldCharType="end"/>
        </w:r>
      </w:hyperlink>
    </w:p>
    <w:p w14:paraId="5794854B" w14:textId="67BFCA72" w:rsidR="00544557" w:rsidRPr="00544557" w:rsidRDefault="00544557" w:rsidP="00544557">
      <w:pPr>
        <w:spacing w:after="0"/>
        <w:rPr>
          <w:b/>
          <w:bCs/>
          <w:sz w:val="32"/>
          <w:szCs w:val="32"/>
        </w:rPr>
        <w:sectPr w:rsidR="00544557" w:rsidRPr="00544557">
          <w:footerReference w:type="default" r:id="rId22"/>
          <w:footerReference w:type="first" r:id="rId23"/>
          <w:pgSz w:w="11907" w:h="16840"/>
          <w:pgMar w:top="1418" w:right="1701" w:bottom="1418" w:left="1701" w:header="709" w:footer="709" w:gutter="0"/>
          <w:cols w:space="720"/>
          <w:titlePg/>
        </w:sectPr>
      </w:pPr>
      <w:r>
        <w:rPr>
          <w:b/>
          <w:bCs/>
          <w:sz w:val="32"/>
          <w:szCs w:val="32"/>
        </w:rPr>
        <w:fldChar w:fldCharType="end"/>
      </w:r>
    </w:p>
    <w:p w14:paraId="77CA6589" w14:textId="77777777" w:rsidR="00097466" w:rsidRDefault="00000000" w:rsidP="00E41202">
      <w:pPr>
        <w:pStyle w:val="Ttulo1"/>
        <w:numPr>
          <w:ilvl w:val="0"/>
          <w:numId w:val="16"/>
        </w:numPr>
        <w:jc w:val="left"/>
      </w:pPr>
      <w:bookmarkStart w:id="34" w:name="_Toc229237663"/>
      <w:bookmarkStart w:id="35" w:name="_Toc230792302"/>
      <w:r>
        <w:lastRenderedPageBreak/>
        <w:t>Introducción</w:t>
      </w:r>
      <w:bookmarkEnd w:id="34"/>
      <w:bookmarkEnd w:id="35"/>
    </w:p>
    <w:p w14:paraId="2AA62A10" w14:textId="77777777" w:rsidR="00097466" w:rsidRDefault="00000000" w:rsidP="00E41202">
      <w:pPr>
        <w:pStyle w:val="Ttulo2"/>
        <w:numPr>
          <w:ilvl w:val="1"/>
          <w:numId w:val="16"/>
        </w:numPr>
        <w:jc w:val="left"/>
      </w:pPr>
      <w:bookmarkStart w:id="36" w:name="_Toc229237664"/>
      <w:bookmarkStart w:id="37" w:name="_Toc230792303"/>
      <w:r>
        <w:t>Contexto y justificación del Trabajo</w:t>
      </w:r>
      <w:bookmarkEnd w:id="36"/>
      <w:bookmarkEnd w:id="37"/>
    </w:p>
    <w:p w14:paraId="05868638" w14:textId="383A7951" w:rsidR="00EF50BF" w:rsidRDefault="00EF50BF" w:rsidP="00EF50BF">
      <w:r>
        <w:t xml:space="preserve">En las últimas dos décadas, el desarrollo de tecnologías de análisis molecular de alta resolución ha transformado el estudio de las enfermedades, dando lugar a las ciencias </w:t>
      </w:r>
      <w:proofErr w:type="spellStart"/>
      <w:r>
        <w:t>ómicas</w:t>
      </w:r>
      <w:proofErr w:type="spellEnd"/>
      <w:r>
        <w:t xml:space="preserve"> (genómica, transcriptómica, proteómica, metabolómica y </w:t>
      </w:r>
      <w:proofErr w:type="spellStart"/>
      <w:r>
        <w:t>epigenómica</w:t>
      </w:r>
      <w:proofErr w:type="spellEnd"/>
      <w:r>
        <w:t xml:space="preserve">), que permiten la caracterización sistemática de grandes familias de biomoléculas en muestras biológicas. Sin embargo, las aproximaciones </w:t>
      </w:r>
      <w:proofErr w:type="spellStart"/>
      <w:r>
        <w:t>unicapa</w:t>
      </w:r>
      <w:proofErr w:type="spellEnd"/>
      <w:r>
        <w:t>, aunque han permitido identificar miles de variantes genéticas mediante estudios GWAS</w:t>
      </w:r>
      <w:r w:rsidR="00402F92">
        <w:t xml:space="preserve"> (</w:t>
      </w:r>
      <w:proofErr w:type="spellStart"/>
      <w:r w:rsidR="00402F92" w:rsidRPr="00402F92">
        <w:rPr>
          <w:i/>
          <w:iCs/>
        </w:rPr>
        <w:t>Genome</w:t>
      </w:r>
      <w:proofErr w:type="spellEnd"/>
      <w:r w:rsidR="00402F92" w:rsidRPr="00402F92">
        <w:rPr>
          <w:i/>
          <w:iCs/>
        </w:rPr>
        <w:t xml:space="preserve">-Wide </w:t>
      </w:r>
      <w:proofErr w:type="spellStart"/>
      <w:r w:rsidR="00402F92" w:rsidRPr="00402F92">
        <w:rPr>
          <w:i/>
          <w:iCs/>
        </w:rPr>
        <w:t>Association</w:t>
      </w:r>
      <w:proofErr w:type="spellEnd"/>
      <w:r w:rsidR="00402F92" w:rsidRPr="00402F92">
        <w:rPr>
          <w:i/>
          <w:iCs/>
        </w:rPr>
        <w:t xml:space="preserve"> </w:t>
      </w:r>
      <w:proofErr w:type="spellStart"/>
      <w:r w:rsidR="00402F92" w:rsidRPr="00402F92">
        <w:rPr>
          <w:i/>
          <w:iCs/>
        </w:rPr>
        <w:t>Studies</w:t>
      </w:r>
      <w:proofErr w:type="spellEnd"/>
      <w:r w:rsidR="00402F92">
        <w:t>)</w:t>
      </w:r>
      <w:r>
        <w:t xml:space="preserve"> y definir firmas transcriptómicas específicas de enfermedad, presentan limitaciones importante</w:t>
      </w:r>
      <w:r w:rsidR="00402F92">
        <w:t xml:space="preserve"> como la</w:t>
      </w:r>
      <w:r>
        <w:t xml:space="preserve"> pérdida de información coordinada entre niveles moleculares, paradoja dimensional (</w:t>
      </w:r>
      <w:proofErr w:type="spellStart"/>
      <w:r>
        <w:t>large</w:t>
      </w:r>
      <w:proofErr w:type="spellEnd"/>
      <w:r>
        <w:t xml:space="preserve"> p, </w:t>
      </w:r>
      <w:proofErr w:type="spellStart"/>
      <w:r>
        <w:t>small</w:t>
      </w:r>
      <w:proofErr w:type="spellEnd"/>
      <w:r>
        <w:t xml:space="preserve"> n) y heterogeneidad biológica no capturada por los índices clínicos tradicionales.</w:t>
      </w:r>
    </w:p>
    <w:p w14:paraId="378BAB57" w14:textId="32E87C5F" w:rsidR="00EF50BF" w:rsidRDefault="00EF50BF" w:rsidP="00EF50BF">
      <w:r>
        <w:t>La integración multi-</w:t>
      </w:r>
      <w:proofErr w:type="spellStart"/>
      <w:r>
        <w:t>ómica</w:t>
      </w:r>
      <w:proofErr w:type="spellEnd"/>
      <w:r>
        <w:t xml:space="preserve"> surge como respuesta a estas limitaciones, al posibilitar la identificación de patrones coordinados entre capas que permanecen ocultos en análisis </w:t>
      </w:r>
      <w:proofErr w:type="spellStart"/>
      <w:r>
        <w:t>unicapa</w:t>
      </w:r>
      <w:proofErr w:type="spellEnd"/>
      <w:r>
        <w:t>, mejorar la capacidad predictiva de los modelos clínicos mediante información molecular complementaria y facilitar el descubrimiento de biomarcadores compuestos más sensibles y específicos.</w:t>
      </w:r>
    </w:p>
    <w:p w14:paraId="1B68C23E" w14:textId="36B33F48" w:rsidR="00EF50BF" w:rsidRDefault="00EF50BF" w:rsidP="00EF50BF">
      <w:r>
        <w:t>El lupus eritematoso sistémico (LES) constituye un paradigma de esta complejidad</w:t>
      </w:r>
      <w:r w:rsidR="00402F92">
        <w:t xml:space="preserve"> pues</w:t>
      </w:r>
      <w:r>
        <w:t xml:space="preserve"> es una enfermedad autoinmune crónica de etiología multifactorial, con marcada heterogeneidad clínica y un curso de brotes y remisiones que afecta de forma sustancial al pronóstico. Los índices de actividad validados (SLEDAI-2K, SLE-DAS) y las definiciones de remisión (LLDAS, DORIS), basados principalmente en parámetros clínicos y analíticos convencionales, resultan insuficientes para capturar la diversidad molecular subyacente.</w:t>
      </w:r>
    </w:p>
    <w:p w14:paraId="53A80219" w14:textId="1767BE19" w:rsidR="00EF50BF" w:rsidRDefault="00EF50BF" w:rsidP="00EF50BF">
      <w:r>
        <w:t xml:space="preserve">Uno de los hallazgos más reproducidos en LES es la activación sostenida de la vía del interferón tipo I (IFN-I) y la sobreexpresión de genes estimulados por interferón (ISGs), que configuran la firma de interferón, presente en un 60–80% de los pacientes con enfermedad activa y asociada a mayor actividad, afectación de órganos diana y peor pronóstico. La cuantificación ultrasensible de proteínas séricas (por ejemplo, niveles de IFN-α) y la medición estandarizada de ISGs mediante </w:t>
      </w:r>
      <w:proofErr w:type="spellStart"/>
      <w:r>
        <w:t>NanoString</w:t>
      </w:r>
      <w:proofErr w:type="spellEnd"/>
      <w:r>
        <w:t xml:space="preserve"> </w:t>
      </w:r>
      <w:proofErr w:type="spellStart"/>
      <w:r>
        <w:t>nCounter</w:t>
      </w:r>
      <w:proofErr w:type="spellEnd"/>
      <w:r>
        <w:t xml:space="preserve"> permiten calcular un IFN-score reproducible y estratificar a los pacientes en subgrupos IFN-</w:t>
      </w:r>
      <w:proofErr w:type="spellStart"/>
      <w:r>
        <w:t>high</w:t>
      </w:r>
      <w:proofErr w:type="spellEnd"/>
      <w:r>
        <w:t xml:space="preserve"> e IFN-low, con potencial aplicabilidad clínica.</w:t>
      </w:r>
    </w:p>
    <w:p w14:paraId="1DD771A6" w14:textId="7FFF6A8D" w:rsidR="00EF50BF" w:rsidRDefault="00EF50BF" w:rsidP="003357F2">
      <w:pPr>
        <w:spacing w:after="0"/>
      </w:pPr>
      <w:r>
        <w:t>En la cohorte estudiada se dispone, además, de un panel proteómico sérico multicomponente (citoquinas, complemento, marcadores metabólicos y hepático-nutricionales), lo que abre la posibilidad de aplicar estrategias de integración multi-</w:t>
      </w:r>
      <w:proofErr w:type="spellStart"/>
      <w:r>
        <w:t>ómica</w:t>
      </w:r>
      <w:proofErr w:type="spellEnd"/>
      <w:r>
        <w:t>. En particular, la combinación de enfoques no supervisados (MOFA2) y supervisados (DIABLO), junto con modelos predictivos penalizados (LASSO), permite identificar factores latentes compartidos entre transcriptómica y proteómica, explorar de forma conjunta las bases moleculares y clínicas del LES y construir modelos de actividad/remisión con mayor rendimiento que los biomarcadores individuales.</w:t>
      </w:r>
    </w:p>
    <w:p w14:paraId="59D902E5" w14:textId="5A5CC61E" w:rsidR="00EF50BF" w:rsidRPr="00EF50BF" w:rsidRDefault="00EF50BF" w:rsidP="00EF50BF">
      <w:r>
        <w:lastRenderedPageBreak/>
        <w:t xml:space="preserve">En este contexto, la pregunta central del presente trabajo es cómo se relacionan los niveles transcriptómico (expresión de ISGs cuantificada mediante </w:t>
      </w:r>
      <w:proofErr w:type="spellStart"/>
      <w:r>
        <w:t>NanoString</w:t>
      </w:r>
      <w:proofErr w:type="spellEnd"/>
      <w:r>
        <w:t xml:space="preserve"> </w:t>
      </w:r>
      <w:proofErr w:type="spellStart"/>
      <w:r>
        <w:t>nCounter</w:t>
      </w:r>
      <w:proofErr w:type="spellEnd"/>
      <w:r>
        <w:t>) y proteómico sérico (citoquinas, complemento y marcadores metabólicos e inflamatorios) entre sí y con la actividad clínica del LES medida mediante índices validados. Para responderla se propone un enfoque de integración multi-</w:t>
      </w:r>
      <w:proofErr w:type="spellStart"/>
      <w:r>
        <w:t>ómica</w:t>
      </w:r>
      <w:proofErr w:type="spellEnd"/>
      <w:r>
        <w:t xml:space="preserve"> aplicado a una cohorte propia de pacientes con LES, inexistente hasta la fecha para la combinación específica de datos y métodos aquí considerada, que pretende cubrir un vacío metodológico y contribuir a la identificación de patrones moleculares complejos con relevancia clínica.</w:t>
      </w:r>
    </w:p>
    <w:p w14:paraId="313DD2ED" w14:textId="77777777" w:rsidR="00097466" w:rsidRDefault="00000000">
      <w:pPr>
        <w:pStyle w:val="Ttulo2"/>
        <w:numPr>
          <w:ilvl w:val="1"/>
          <w:numId w:val="16"/>
        </w:numPr>
      </w:pPr>
      <w:bookmarkStart w:id="38" w:name="_heading=h.linn3ms5hobs" w:colFirst="0" w:colLast="0"/>
      <w:bookmarkStart w:id="39" w:name="_Toc229237665"/>
      <w:bookmarkStart w:id="40" w:name="_Toc230792304"/>
      <w:bookmarkEnd w:id="38"/>
      <w:r>
        <w:t>Objetivos del Trabajo</w:t>
      </w:r>
      <w:bookmarkEnd w:id="39"/>
      <w:bookmarkEnd w:id="40"/>
    </w:p>
    <w:p w14:paraId="2BD1ACF5" w14:textId="77777777" w:rsidR="00097466" w:rsidRDefault="00000000">
      <w:r>
        <w:t>Objetivos Generales</w:t>
      </w:r>
    </w:p>
    <w:p w14:paraId="25E50B32" w14:textId="77777777" w:rsidR="00097466" w:rsidRDefault="00000000">
      <w:pPr>
        <w:numPr>
          <w:ilvl w:val="0"/>
          <w:numId w:val="9"/>
        </w:numPr>
        <w:pBdr>
          <w:top w:val="nil"/>
          <w:left w:val="nil"/>
          <w:bottom w:val="nil"/>
          <w:right w:val="nil"/>
          <w:between w:val="nil"/>
        </w:pBdr>
        <w:spacing w:before="120" w:after="0"/>
        <w:rPr>
          <w:color w:val="000000"/>
        </w:rPr>
      </w:pPr>
      <w:bookmarkStart w:id="41" w:name="_heading=h.tu7dv7jlutpg" w:colFirst="0" w:colLast="0"/>
      <w:bookmarkEnd w:id="41"/>
      <w:r>
        <w:rPr>
          <w:color w:val="000000"/>
        </w:rPr>
        <w:t>Caracterizar la firma multi-</w:t>
      </w:r>
      <w:proofErr w:type="spellStart"/>
      <w:r>
        <w:rPr>
          <w:color w:val="000000"/>
        </w:rPr>
        <w:t>ómica</w:t>
      </w:r>
      <w:proofErr w:type="spellEnd"/>
      <w:r>
        <w:rPr>
          <w:color w:val="000000"/>
        </w:rPr>
        <w:t xml:space="preserve"> de la vía del interferón de tipo I en pacientes con lupus eritematoso sistémico (LES) mediante la integración de datos transcriptómicos de genes estimulados por interferón (ISGs) y datos proteómicos séricos multicomponente.</w:t>
      </w:r>
    </w:p>
    <w:p w14:paraId="5EEB4EFC" w14:textId="77777777" w:rsidR="00097466" w:rsidRDefault="00000000">
      <w:pPr>
        <w:numPr>
          <w:ilvl w:val="0"/>
          <w:numId w:val="9"/>
        </w:numPr>
        <w:pBdr>
          <w:top w:val="nil"/>
          <w:left w:val="nil"/>
          <w:bottom w:val="nil"/>
          <w:right w:val="nil"/>
          <w:between w:val="nil"/>
        </w:pBdr>
        <w:spacing w:before="0" w:after="0"/>
        <w:rPr>
          <w:color w:val="000000"/>
        </w:rPr>
      </w:pPr>
      <w:r>
        <w:rPr>
          <w:color w:val="000000"/>
        </w:rPr>
        <w:t>Explorar el valor añadido de la integración multi-</w:t>
      </w:r>
      <w:proofErr w:type="spellStart"/>
      <w:r>
        <w:rPr>
          <w:color w:val="000000"/>
        </w:rPr>
        <w:t>ómica</w:t>
      </w:r>
      <w:proofErr w:type="spellEnd"/>
      <w:r>
        <w:rPr>
          <w:color w:val="000000"/>
        </w:rPr>
        <w:t xml:space="preserve"> transcriptómica-proteómica para la estratificación de pacientes con LES según su actividad clínica.</w:t>
      </w:r>
    </w:p>
    <w:p w14:paraId="044200E1" w14:textId="77777777" w:rsidR="00097466" w:rsidRDefault="00000000">
      <w:bookmarkStart w:id="42" w:name="_heading=h.r75dqmizaqrp" w:colFirst="0" w:colLast="0"/>
      <w:bookmarkEnd w:id="42"/>
      <w:r>
        <w:t>Objetivos específicos</w:t>
      </w:r>
    </w:p>
    <w:p w14:paraId="7328575B" w14:textId="77777777" w:rsidR="00097466" w:rsidRDefault="00000000">
      <w:pPr>
        <w:numPr>
          <w:ilvl w:val="0"/>
          <w:numId w:val="10"/>
        </w:numPr>
        <w:pBdr>
          <w:top w:val="nil"/>
          <w:left w:val="nil"/>
          <w:bottom w:val="nil"/>
          <w:right w:val="nil"/>
          <w:between w:val="nil"/>
        </w:pBdr>
        <w:spacing w:after="0"/>
        <w:rPr>
          <w:color w:val="000000"/>
        </w:rPr>
      </w:pPr>
      <w:r>
        <w:rPr>
          <w:color w:val="000000"/>
        </w:rPr>
        <w:t xml:space="preserve">Documentar y caracterizar el panel de 72 ISGs cuantificados mediante </w:t>
      </w:r>
      <w:proofErr w:type="spellStart"/>
      <w:r>
        <w:rPr>
          <w:color w:val="000000"/>
        </w:rPr>
        <w:t>NanoString</w:t>
      </w:r>
      <w:proofErr w:type="spellEnd"/>
      <w:r>
        <w:rPr>
          <w:color w:val="000000"/>
        </w:rPr>
        <w:t xml:space="preserve"> </w:t>
      </w:r>
      <w:proofErr w:type="spellStart"/>
      <w:r>
        <w:rPr>
          <w:color w:val="000000"/>
        </w:rPr>
        <w:t>nCounter</w:t>
      </w:r>
      <w:proofErr w:type="spellEnd"/>
      <w:r>
        <w:rPr>
          <w:color w:val="000000"/>
        </w:rPr>
        <w:t>, justificando su representatividad de la firma IFN-I en LES según la literatura.</w:t>
      </w:r>
    </w:p>
    <w:p w14:paraId="6DAC30EC" w14:textId="77777777" w:rsidR="00097466" w:rsidRDefault="00000000">
      <w:pPr>
        <w:numPr>
          <w:ilvl w:val="0"/>
          <w:numId w:val="10"/>
        </w:numPr>
        <w:pBdr>
          <w:top w:val="nil"/>
          <w:left w:val="nil"/>
          <w:bottom w:val="nil"/>
          <w:right w:val="nil"/>
          <w:between w:val="nil"/>
        </w:pBdr>
        <w:spacing w:before="0" w:after="0"/>
        <w:rPr>
          <w:color w:val="000000"/>
        </w:rPr>
      </w:pPr>
      <w:r>
        <w:rPr>
          <w:color w:val="000000"/>
        </w:rPr>
        <w:t xml:space="preserve">Implementar y comparar estrategias de normalización técnica (controles positivos) y biológica (genes </w:t>
      </w:r>
      <w:proofErr w:type="spellStart"/>
      <w:r>
        <w:rPr>
          <w:color w:val="000000"/>
        </w:rPr>
        <w:t>housekeeping</w:t>
      </w:r>
      <w:proofErr w:type="spellEnd"/>
      <w:r>
        <w:rPr>
          <w:color w:val="000000"/>
        </w:rPr>
        <w:t>) para los datos de expresión génica, y calcular el IFN-score principal (72 ISGs) y de validación (4 genes clásicos), evaluando su concordancia mediante correlación de Spearman y el índice kappa de Cohen.</w:t>
      </w:r>
    </w:p>
    <w:p w14:paraId="01DDB91C" w14:textId="77777777" w:rsidR="00097466" w:rsidRDefault="00000000">
      <w:pPr>
        <w:numPr>
          <w:ilvl w:val="0"/>
          <w:numId w:val="10"/>
        </w:numPr>
        <w:pBdr>
          <w:top w:val="nil"/>
          <w:left w:val="nil"/>
          <w:bottom w:val="nil"/>
          <w:right w:val="nil"/>
          <w:between w:val="nil"/>
        </w:pBdr>
        <w:spacing w:before="0" w:after="0"/>
        <w:rPr>
          <w:color w:val="000000"/>
        </w:rPr>
      </w:pPr>
      <w:r>
        <w:rPr>
          <w:color w:val="000000"/>
        </w:rPr>
        <w:t>Describir la distribución del panel proteómico sérico completo —incluyendo interferones (IFN-α, IFN-γ), citoquinas (IL-2, IL-6, IL-8), factores del complemento (C3, C4) y marcadores metabólicos y hepáticos— en la cohorte de pacientes con LES.</w:t>
      </w:r>
    </w:p>
    <w:p w14:paraId="321325E3" w14:textId="62816C24" w:rsidR="00097466" w:rsidRDefault="00000000">
      <w:pPr>
        <w:numPr>
          <w:ilvl w:val="0"/>
          <w:numId w:val="10"/>
        </w:numPr>
        <w:pBdr>
          <w:top w:val="nil"/>
          <w:left w:val="nil"/>
          <w:bottom w:val="nil"/>
          <w:right w:val="nil"/>
          <w:between w:val="nil"/>
        </w:pBdr>
        <w:spacing w:before="0" w:after="0"/>
        <w:rPr>
          <w:color w:val="000000"/>
        </w:rPr>
      </w:pPr>
      <w:r>
        <w:rPr>
          <w:color w:val="000000"/>
        </w:rPr>
        <w:t>Caracterizar los subgrupos IFN-</w:t>
      </w:r>
      <w:proofErr w:type="spellStart"/>
      <w:r>
        <w:rPr>
          <w:color w:val="000000"/>
        </w:rPr>
        <w:t>high</w:t>
      </w:r>
      <w:proofErr w:type="spellEnd"/>
      <w:r>
        <w:rPr>
          <w:color w:val="000000"/>
        </w:rPr>
        <w:t xml:space="preserve"> e IFN-low mediante expresión génica diferencial (Wilcoxon-Mann-Whitney, FDR de </w:t>
      </w:r>
      <w:proofErr w:type="spellStart"/>
      <w:r>
        <w:rPr>
          <w:color w:val="000000"/>
        </w:rPr>
        <w:t>Benjamini-Hochberg</w:t>
      </w:r>
      <w:proofErr w:type="spellEnd"/>
      <w:r>
        <w:rPr>
          <w:color w:val="000000"/>
        </w:rPr>
        <w:t>)</w:t>
      </w:r>
      <w:r w:rsidR="00416B51">
        <w:rPr>
          <w:color w:val="000000"/>
        </w:rPr>
        <w:t xml:space="preserve"> </w:t>
      </w:r>
      <w:r>
        <w:rPr>
          <w:color w:val="000000"/>
        </w:rPr>
        <w:t xml:space="preserve">y </w:t>
      </w:r>
      <w:proofErr w:type="spellStart"/>
      <w:r>
        <w:rPr>
          <w:color w:val="000000"/>
        </w:rPr>
        <w:t>clustering</w:t>
      </w:r>
      <w:proofErr w:type="spellEnd"/>
      <w:r>
        <w:rPr>
          <w:color w:val="000000"/>
        </w:rPr>
        <w:t xml:space="preserve"> jerárquico con visualización por </w:t>
      </w:r>
      <w:proofErr w:type="spellStart"/>
      <w:r>
        <w:rPr>
          <w:color w:val="000000"/>
        </w:rPr>
        <w:t>heatmap</w:t>
      </w:r>
      <w:proofErr w:type="spellEnd"/>
      <w:r>
        <w:rPr>
          <w:color w:val="000000"/>
        </w:rPr>
        <w:t>.</w:t>
      </w:r>
    </w:p>
    <w:p w14:paraId="23A15095" w14:textId="62ACE308" w:rsidR="00097466" w:rsidRDefault="00000000">
      <w:pPr>
        <w:numPr>
          <w:ilvl w:val="0"/>
          <w:numId w:val="10"/>
        </w:numPr>
        <w:pBdr>
          <w:top w:val="nil"/>
          <w:left w:val="nil"/>
          <w:bottom w:val="nil"/>
          <w:right w:val="nil"/>
          <w:between w:val="nil"/>
        </w:pBdr>
        <w:spacing w:before="0" w:after="0"/>
        <w:rPr>
          <w:color w:val="000000"/>
        </w:rPr>
      </w:pPr>
      <w:r>
        <w:rPr>
          <w:color w:val="000000"/>
        </w:rPr>
        <w:t>Evaluar la asociación del IFN-score y la clasificación IFN-</w:t>
      </w:r>
      <w:proofErr w:type="spellStart"/>
      <w:r>
        <w:rPr>
          <w:color w:val="000000"/>
        </w:rPr>
        <w:t>high</w:t>
      </w:r>
      <w:proofErr w:type="spellEnd"/>
      <w:r>
        <w:rPr>
          <w:color w:val="000000"/>
        </w:rPr>
        <w:t xml:space="preserve">/IFN-low con </w:t>
      </w:r>
      <w:r w:rsidR="00EF50BF">
        <w:rPr>
          <w:color w:val="000000"/>
        </w:rPr>
        <w:t xml:space="preserve">marcadores séricos, </w:t>
      </w:r>
      <w:r>
        <w:rPr>
          <w:color w:val="000000"/>
        </w:rPr>
        <w:t>índices clínicos de actividad (SLEDAI-2K, SLE-DAS) y estados definidos (LLDAS, DORIS) mediante correlaciones de Spearman, pruebas no paramétricas y modelos de regresión logística univariable y multivariable.</w:t>
      </w:r>
    </w:p>
    <w:p w14:paraId="7E9D29CF" w14:textId="32A2F3C6" w:rsidR="00097466" w:rsidRDefault="00AA576A">
      <w:pPr>
        <w:numPr>
          <w:ilvl w:val="0"/>
          <w:numId w:val="10"/>
        </w:numPr>
        <w:pBdr>
          <w:top w:val="nil"/>
          <w:left w:val="nil"/>
          <w:bottom w:val="nil"/>
          <w:right w:val="nil"/>
          <w:between w:val="nil"/>
        </w:pBdr>
        <w:spacing w:before="0" w:after="0"/>
        <w:rPr>
          <w:color w:val="000000"/>
        </w:rPr>
      </w:pPr>
      <w:r w:rsidRPr="00AA576A">
        <w:rPr>
          <w:color w:val="000000"/>
        </w:rPr>
        <w:t>Integrar las capas transcriptómica y proteómica sérica mediante enfoques supervisados y no supervisados de factorización multi-</w:t>
      </w:r>
      <w:proofErr w:type="spellStart"/>
      <w:r w:rsidRPr="00AA576A">
        <w:rPr>
          <w:color w:val="000000"/>
        </w:rPr>
        <w:t>ómica</w:t>
      </w:r>
      <w:proofErr w:type="spellEnd"/>
      <w:r w:rsidRPr="00AA576A">
        <w:rPr>
          <w:color w:val="000000"/>
        </w:rPr>
        <w:t xml:space="preserve"> (DIABLO y MOFA2), con el objetivo de identificar factores latentes compartidos biológicamente interpretables y su asociación con los fenotipos clínicos de actividad y remisión del LES (SLEDAI</w:t>
      </w:r>
      <w:r w:rsidRPr="00AA576A">
        <w:rPr>
          <w:rFonts w:ascii="Cambria Math" w:hAnsi="Cambria Math" w:cs="Cambria Math"/>
          <w:color w:val="000000"/>
        </w:rPr>
        <w:t>‑</w:t>
      </w:r>
      <w:r w:rsidRPr="00AA576A">
        <w:rPr>
          <w:color w:val="000000"/>
        </w:rPr>
        <w:t>2K, SLE</w:t>
      </w:r>
      <w:r w:rsidRPr="00AA576A">
        <w:rPr>
          <w:rFonts w:ascii="Cambria Math" w:hAnsi="Cambria Math" w:cs="Cambria Math"/>
          <w:color w:val="000000"/>
        </w:rPr>
        <w:t>‑</w:t>
      </w:r>
      <w:r w:rsidRPr="00AA576A">
        <w:rPr>
          <w:color w:val="000000"/>
        </w:rPr>
        <w:t>DAS, LLDAS, DORIS)</w:t>
      </w:r>
      <w:r>
        <w:rPr>
          <w:color w:val="000000"/>
        </w:rPr>
        <w:t>.</w:t>
      </w:r>
    </w:p>
    <w:p w14:paraId="6E59E78D" w14:textId="77777777" w:rsidR="00097466" w:rsidRPr="00EF50BF" w:rsidRDefault="00000000">
      <w:pPr>
        <w:numPr>
          <w:ilvl w:val="0"/>
          <w:numId w:val="10"/>
        </w:numPr>
        <w:pBdr>
          <w:top w:val="nil"/>
          <w:left w:val="nil"/>
          <w:bottom w:val="nil"/>
          <w:right w:val="nil"/>
          <w:between w:val="nil"/>
        </w:pBdr>
        <w:spacing w:before="0"/>
        <w:rPr>
          <w:color w:val="000000"/>
        </w:rPr>
      </w:pPr>
      <w:r w:rsidRPr="00EF50BF">
        <w:rPr>
          <w:color w:val="000000"/>
        </w:rPr>
        <w:t>Construir y validar un modelo predictivo de actividad clínica basado en firmas multi-</w:t>
      </w:r>
      <w:proofErr w:type="spellStart"/>
      <w:r w:rsidRPr="00EF50BF">
        <w:rPr>
          <w:color w:val="000000"/>
        </w:rPr>
        <w:t>ómicas</w:t>
      </w:r>
      <w:proofErr w:type="spellEnd"/>
      <w:r w:rsidRPr="00EF50BF">
        <w:rPr>
          <w:color w:val="000000"/>
        </w:rPr>
        <w:t xml:space="preserve">, evaluado mediante validación cruzada y regularización LASSO, con estimación </w:t>
      </w:r>
      <w:r w:rsidRPr="00EF50BF">
        <w:rPr>
          <w:color w:val="000000"/>
        </w:rPr>
        <w:lastRenderedPageBreak/>
        <w:t>del rendimiento diagnóstico mediante curvas ROC y comparación del AUC frente a biomarcadores individuales (IFN-α sérico, C3, C4).</w:t>
      </w:r>
    </w:p>
    <w:p w14:paraId="0A150815" w14:textId="77777777" w:rsidR="00097466" w:rsidRDefault="00000000">
      <w:pPr>
        <w:pStyle w:val="Ttulo2"/>
        <w:numPr>
          <w:ilvl w:val="1"/>
          <w:numId w:val="16"/>
        </w:numPr>
      </w:pPr>
      <w:bookmarkStart w:id="43" w:name="_Toc229237666"/>
      <w:bookmarkStart w:id="44" w:name="_Toc230792305"/>
      <w:r>
        <w:t>Impacto en sostenibilidad, ético-social y de diversidad</w:t>
      </w:r>
      <w:bookmarkEnd w:id="43"/>
      <w:bookmarkEnd w:id="44"/>
    </w:p>
    <w:p w14:paraId="6012592C" w14:textId="0625D82B" w:rsidR="00EF50BF" w:rsidRDefault="00EF50BF" w:rsidP="00EF50BF">
      <w:r>
        <w:t>Este proyecto tiene implicaciones en las tres dimensiones de la competencia transversal UOC «Compromiso ético y global»: sostenibilidad, comportamiento ético y responsabilidad social, y diversidad y derechos humanos.</w:t>
      </w:r>
    </w:p>
    <w:p w14:paraId="35AF17DC" w14:textId="57365678" w:rsidR="00EF50BF" w:rsidRDefault="00EF50BF" w:rsidP="00EF50BF">
      <w:r>
        <w:t xml:space="preserve">En términos de sostenibilidad, el TFM reutiliza datos </w:t>
      </w:r>
      <w:proofErr w:type="spellStart"/>
      <w:r>
        <w:t>ómicos</w:t>
      </w:r>
      <w:proofErr w:type="spellEnd"/>
      <w:r>
        <w:t xml:space="preserve"> ya generados (expresión génica y panel proteómico sérico), evitando nueva producción experimental con elevado coste energético asociado a secuenciación e inmunoensayos. La metodología es escalable a otras cohortes de enfermedades autoinmunes, ampliando el impacto más allá del LES y alineando el proyecto con los ODS 9 (Industria, innovación e infraestructura) y 12 (Producción y consumo responsables).</w:t>
      </w:r>
    </w:p>
    <w:p w14:paraId="59159FDC" w14:textId="5AA00B1D" w:rsidR="00EF50BF" w:rsidRDefault="00EF50BF" w:rsidP="00EF50BF">
      <w:r>
        <w:t>Desde la perspectiva del comportamiento ético y la responsabilidad social, el desarrollo de biomarcadores moleculares objetivos contribuye a reducir la subjetividad de los índices clínicos, optimiza la selección de terapias biológicas al identificar subgrupos moleculares específicos y mejora la eficiencia en el uso de recursos sanitarios públicos. Al centrarse en una enfermedad crónica incapacitante que afecta mayoritariamente a mujeres jóvenes, el proyecto tiene un impacto directo en la reducción de desigualdades sanitarias.</w:t>
      </w:r>
    </w:p>
    <w:p w14:paraId="51710BAA" w14:textId="48D7495A" w:rsidR="00EF50BF" w:rsidRDefault="00EF50BF" w:rsidP="00EF50BF">
      <w:r>
        <w:t>En cuanto a la protección de datos, toda la información clínica, transcriptómica y proteómica se ha manejado de forma anonimizada, conforme al RGPD (Reglamento UE 2016/679) y a la Ley Orgánica 3/2018, en el marco de protocolos aprobados por el Comité de Ética de Investigación y con el correspondiente consentimiento informado de los participantes.</w:t>
      </w:r>
    </w:p>
    <w:p w14:paraId="49A8DAC8" w14:textId="78D96A92" w:rsidR="00EF50BF" w:rsidRPr="00EF50BF" w:rsidRDefault="00EF50BF" w:rsidP="00EF50BF">
      <w:r>
        <w:t>En relación con la diversidad y los derechos humanos, la elevada prevalencia femenina del LES (alrededor del 90% de los casos en mujeres de 15–44 años) limita la posibilidad de alcanzar una cohorte equilibrada por género sin comprometer la representatividad clínica. No obstante, la cohorte incorpora diversidad geográfica, generacional y clínica, y el código y los resultados se publican con licencia abierta para minimizar barreras económicas de acceso al conocimiento, en coherencia con los ODS 5 (Igualdad de género) y 10 (Reducción de las desigualdades).</w:t>
      </w:r>
    </w:p>
    <w:p w14:paraId="784D9FD7" w14:textId="71C94C97" w:rsidR="00097466" w:rsidRDefault="00000000">
      <w:pPr>
        <w:pStyle w:val="Ttulo2"/>
        <w:numPr>
          <w:ilvl w:val="1"/>
          <w:numId w:val="16"/>
        </w:numPr>
      </w:pPr>
      <w:bookmarkStart w:id="45" w:name="_heading=h.d07c9yeagt5t" w:colFirst="0" w:colLast="0"/>
      <w:bookmarkStart w:id="46" w:name="_Toc229237667"/>
      <w:bookmarkStart w:id="47" w:name="_Toc230792306"/>
      <w:bookmarkEnd w:id="45"/>
      <w:r>
        <w:t>Enfoque y método seguido</w:t>
      </w:r>
      <w:bookmarkEnd w:id="46"/>
      <w:bookmarkEnd w:id="47"/>
    </w:p>
    <w:p w14:paraId="78869915" w14:textId="6B07E0E7" w:rsidR="00DA1C00" w:rsidRDefault="00DA1C00" w:rsidP="00DA1C00">
      <w:r>
        <w:t xml:space="preserve">El presente trabajo adopta un diseño observacional transversal sobre una cohorte propia de 252 pacientes con LES y 24 controles sanos, reutilizando datos de expresión génica de 72 genes estimulados por interferón (ISGs) cuantificados mediante </w:t>
      </w:r>
      <w:proofErr w:type="spellStart"/>
      <w:r>
        <w:t>NanoString</w:t>
      </w:r>
      <w:proofErr w:type="spellEnd"/>
      <w:r>
        <w:t xml:space="preserve"> </w:t>
      </w:r>
      <w:proofErr w:type="spellStart"/>
      <w:r>
        <w:t>nCounter</w:t>
      </w:r>
      <w:proofErr w:type="spellEnd"/>
      <w:r>
        <w:t xml:space="preserve"> y un panel proteómico sérico multicomponente previamente generados, sin necesidad de nueva producción experimental. Esta reutilización reduce el coste y el impacto ambiental asociados a la experimentación y permite concentrar el esfuerzo en la integración y la modelización estadística, que constituyen el núcleo metodológico del trabajo.</w:t>
      </w:r>
    </w:p>
    <w:p w14:paraId="5EABB0A4" w14:textId="77777777" w:rsidR="00DA1C00" w:rsidRDefault="00DA1C00" w:rsidP="00DA1C00"/>
    <w:p w14:paraId="6C1F1DDA" w14:textId="3DB32F6E" w:rsidR="00DA1C00" w:rsidRDefault="00DA1C00" w:rsidP="00DA1C00">
      <w:r>
        <w:t xml:space="preserve">La plataforma </w:t>
      </w:r>
      <w:proofErr w:type="spellStart"/>
      <w:r>
        <w:t>NanoString</w:t>
      </w:r>
      <w:proofErr w:type="spellEnd"/>
      <w:r>
        <w:t xml:space="preserve"> </w:t>
      </w:r>
      <w:proofErr w:type="spellStart"/>
      <w:r>
        <w:t>nCounter</w:t>
      </w:r>
      <w:proofErr w:type="spellEnd"/>
      <w:r>
        <w:t xml:space="preserve"> se seleccionó por su capacidad para cuantificar de forma directa y multiplexada transcritos de ARNm sin amplificación, minimizando sesgos técnicos, ofreciendo alta reproducibilidad y menor sensibilidad a la calidad del ARN, e incorporando controles internos y genes </w:t>
      </w:r>
      <w:proofErr w:type="spellStart"/>
      <w:r>
        <w:t>housekeeping</w:t>
      </w:r>
      <w:proofErr w:type="spellEnd"/>
      <w:r>
        <w:t xml:space="preserve"> que permiten una normalización robusta en dos etapas. Resulta especialmente adecuada para paneles focalizados de genes candidatos, como los ISGs de la vía IFN</w:t>
      </w:r>
      <w:r>
        <w:rPr>
          <w:rFonts w:ascii="Cambria Math" w:hAnsi="Cambria Math" w:cs="Cambria Math"/>
        </w:rPr>
        <w:t>‑</w:t>
      </w:r>
      <w:r>
        <w:t>I, donde no se requiere cobertura transcriptómica global.</w:t>
      </w:r>
    </w:p>
    <w:p w14:paraId="37ECDA2C" w14:textId="372EEAB2" w:rsidR="003970CE" w:rsidRDefault="00DA1C00" w:rsidP="003970CE">
      <w:r>
        <w:t xml:space="preserve">Para integrar las capas transcriptómica y proteómica sérica se consideraron tres estrategias metodológicas principales (Tabla 1): (i) análisis </w:t>
      </w:r>
      <w:proofErr w:type="spellStart"/>
      <w:r>
        <w:t>unicapa</w:t>
      </w:r>
      <w:proofErr w:type="spellEnd"/>
      <w:r>
        <w:t xml:space="preserve"> secuencial, tratando por separado cada nivel </w:t>
      </w:r>
      <w:proofErr w:type="spellStart"/>
      <w:r>
        <w:t>ómico</w:t>
      </w:r>
      <w:proofErr w:type="spellEnd"/>
      <w:r>
        <w:t>; (</w:t>
      </w:r>
      <w:proofErr w:type="spellStart"/>
      <w:r>
        <w:t>ii</w:t>
      </w:r>
      <w:proofErr w:type="spellEnd"/>
      <w:r>
        <w:t>) correlaciones bivariadas múltiples (Spearman) entre variables transcriptómicas, proteómicas y clínicas; y (</w:t>
      </w:r>
      <w:proofErr w:type="spellStart"/>
      <w:r>
        <w:t>iii</w:t>
      </w:r>
      <w:proofErr w:type="spellEnd"/>
      <w:r>
        <w:t>) integración multi</w:t>
      </w:r>
      <w:r>
        <w:rPr>
          <w:rFonts w:ascii="Cambria Math" w:hAnsi="Cambria Math" w:cs="Cambria Math"/>
        </w:rPr>
        <w:t>‑</w:t>
      </w:r>
      <w:proofErr w:type="spellStart"/>
      <w:r>
        <w:t>ómica</w:t>
      </w:r>
      <w:proofErr w:type="spellEnd"/>
      <w:r>
        <w:t xml:space="preserve"> formal mediante factorización conjunta (MOFA2) e integración supervisada (DIABLO), complementadas con modelos predictivos penalizados (LASSO). </w:t>
      </w:r>
    </w:p>
    <w:tbl>
      <w:tblPr>
        <w:tblStyle w:val="a1"/>
        <w:tblW w:w="8494"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01"/>
        <w:gridCol w:w="2089"/>
        <w:gridCol w:w="2245"/>
        <w:gridCol w:w="1859"/>
      </w:tblGrid>
      <w:tr w:rsidR="003970CE" w14:paraId="0518F0EA" w14:textId="77777777" w:rsidTr="00986375">
        <w:trPr>
          <w:trHeight w:val="57"/>
          <w:tblHeader/>
        </w:trPr>
        <w:tc>
          <w:tcPr>
            <w:tcW w:w="2301" w:type="dxa"/>
            <w:shd w:val="clear" w:color="auto" w:fill="F2F2F2"/>
            <w:tcMar>
              <w:top w:w="120" w:type="dxa"/>
              <w:left w:w="120" w:type="dxa"/>
              <w:bottom w:w="120" w:type="dxa"/>
              <w:right w:w="120" w:type="dxa"/>
            </w:tcMar>
            <w:vAlign w:val="center"/>
          </w:tcPr>
          <w:p w14:paraId="4D0929DB" w14:textId="77777777" w:rsidR="003970CE" w:rsidRDefault="003970CE" w:rsidP="00986375">
            <w:pPr>
              <w:spacing w:before="0" w:after="0" w:line="240" w:lineRule="auto"/>
              <w:jc w:val="center"/>
              <w:rPr>
                <w:b/>
                <w:bCs/>
                <w:sz w:val="20"/>
                <w:szCs w:val="20"/>
              </w:rPr>
            </w:pPr>
            <w:r>
              <w:rPr>
                <w:b/>
                <w:bCs/>
                <w:sz w:val="20"/>
                <w:szCs w:val="20"/>
              </w:rPr>
              <w:t>Estrategia</w:t>
            </w:r>
          </w:p>
        </w:tc>
        <w:tc>
          <w:tcPr>
            <w:tcW w:w="2089" w:type="dxa"/>
            <w:shd w:val="clear" w:color="auto" w:fill="F2F2F2"/>
            <w:tcMar>
              <w:top w:w="120" w:type="dxa"/>
              <w:left w:w="120" w:type="dxa"/>
              <w:bottom w:w="120" w:type="dxa"/>
              <w:right w:w="120" w:type="dxa"/>
            </w:tcMar>
            <w:vAlign w:val="center"/>
          </w:tcPr>
          <w:p w14:paraId="739791AB" w14:textId="77777777" w:rsidR="003970CE" w:rsidRDefault="003970CE" w:rsidP="00986375">
            <w:pPr>
              <w:spacing w:before="0" w:after="0" w:line="240" w:lineRule="auto"/>
              <w:jc w:val="center"/>
              <w:rPr>
                <w:b/>
                <w:bCs/>
                <w:sz w:val="20"/>
                <w:szCs w:val="20"/>
              </w:rPr>
            </w:pPr>
            <w:r>
              <w:rPr>
                <w:b/>
                <w:bCs/>
                <w:sz w:val="20"/>
                <w:szCs w:val="20"/>
              </w:rPr>
              <w:t>Ventajas</w:t>
            </w:r>
          </w:p>
        </w:tc>
        <w:tc>
          <w:tcPr>
            <w:tcW w:w="2245" w:type="dxa"/>
            <w:shd w:val="clear" w:color="auto" w:fill="F2F2F2"/>
            <w:tcMar>
              <w:top w:w="120" w:type="dxa"/>
              <w:left w:w="120" w:type="dxa"/>
              <w:bottom w:w="120" w:type="dxa"/>
              <w:right w:w="120" w:type="dxa"/>
            </w:tcMar>
            <w:vAlign w:val="center"/>
          </w:tcPr>
          <w:p w14:paraId="18BC4888" w14:textId="77777777" w:rsidR="003970CE" w:rsidRDefault="003970CE" w:rsidP="00986375">
            <w:pPr>
              <w:spacing w:before="0" w:after="0" w:line="240" w:lineRule="auto"/>
              <w:jc w:val="center"/>
              <w:rPr>
                <w:b/>
                <w:bCs/>
                <w:sz w:val="20"/>
                <w:szCs w:val="20"/>
              </w:rPr>
            </w:pPr>
            <w:r>
              <w:rPr>
                <w:b/>
                <w:bCs/>
                <w:sz w:val="20"/>
                <w:szCs w:val="20"/>
              </w:rPr>
              <w:t>Limitaciones</w:t>
            </w:r>
          </w:p>
        </w:tc>
        <w:tc>
          <w:tcPr>
            <w:tcW w:w="1859" w:type="dxa"/>
            <w:shd w:val="clear" w:color="auto" w:fill="F2F2F2"/>
            <w:tcMar>
              <w:top w:w="120" w:type="dxa"/>
              <w:left w:w="120" w:type="dxa"/>
              <w:bottom w:w="120" w:type="dxa"/>
              <w:right w:w="120" w:type="dxa"/>
            </w:tcMar>
            <w:vAlign w:val="center"/>
          </w:tcPr>
          <w:p w14:paraId="0A37432E" w14:textId="77777777" w:rsidR="003970CE" w:rsidRDefault="003970CE" w:rsidP="00986375">
            <w:pPr>
              <w:spacing w:before="0" w:after="0" w:line="240" w:lineRule="auto"/>
              <w:jc w:val="center"/>
              <w:rPr>
                <w:b/>
                <w:bCs/>
                <w:sz w:val="20"/>
                <w:szCs w:val="20"/>
              </w:rPr>
            </w:pPr>
            <w:r>
              <w:rPr>
                <w:b/>
                <w:bCs/>
                <w:sz w:val="20"/>
                <w:szCs w:val="20"/>
              </w:rPr>
              <w:t>Papel en el análisis</w:t>
            </w:r>
          </w:p>
        </w:tc>
      </w:tr>
      <w:tr w:rsidR="003970CE" w14:paraId="28E8A74B" w14:textId="77777777" w:rsidTr="00986375">
        <w:trPr>
          <w:trHeight w:val="57"/>
        </w:trPr>
        <w:tc>
          <w:tcPr>
            <w:tcW w:w="2301" w:type="dxa"/>
            <w:tcMar>
              <w:top w:w="120" w:type="dxa"/>
              <w:left w:w="120" w:type="dxa"/>
              <w:bottom w:w="120" w:type="dxa"/>
              <w:right w:w="120" w:type="dxa"/>
            </w:tcMar>
            <w:vAlign w:val="center"/>
          </w:tcPr>
          <w:p w14:paraId="28DEF323" w14:textId="77777777" w:rsidR="003970CE" w:rsidRDefault="003970CE" w:rsidP="00986375">
            <w:pPr>
              <w:spacing w:before="0" w:after="0" w:line="240" w:lineRule="auto"/>
              <w:jc w:val="center"/>
              <w:rPr>
                <w:sz w:val="20"/>
                <w:szCs w:val="20"/>
              </w:rPr>
            </w:pPr>
            <w:r>
              <w:rPr>
                <w:sz w:val="20"/>
                <w:szCs w:val="20"/>
              </w:rPr>
              <w:t xml:space="preserve">Análisis </w:t>
            </w:r>
            <w:proofErr w:type="spellStart"/>
            <w:r>
              <w:rPr>
                <w:sz w:val="20"/>
                <w:szCs w:val="20"/>
              </w:rPr>
              <w:t>unicapa</w:t>
            </w:r>
            <w:proofErr w:type="spellEnd"/>
            <w:r>
              <w:rPr>
                <w:sz w:val="20"/>
                <w:szCs w:val="20"/>
              </w:rPr>
              <w:t xml:space="preserve"> secuencial</w:t>
            </w:r>
          </w:p>
        </w:tc>
        <w:tc>
          <w:tcPr>
            <w:tcW w:w="2089" w:type="dxa"/>
            <w:tcMar>
              <w:top w:w="120" w:type="dxa"/>
              <w:left w:w="120" w:type="dxa"/>
              <w:bottom w:w="120" w:type="dxa"/>
              <w:right w:w="120" w:type="dxa"/>
            </w:tcMar>
            <w:vAlign w:val="center"/>
          </w:tcPr>
          <w:p w14:paraId="0C224D0D" w14:textId="77777777" w:rsidR="003970CE" w:rsidRDefault="003970CE" w:rsidP="00986375">
            <w:pPr>
              <w:spacing w:before="0" w:after="0" w:line="240" w:lineRule="auto"/>
              <w:jc w:val="center"/>
              <w:rPr>
                <w:sz w:val="20"/>
                <w:szCs w:val="20"/>
              </w:rPr>
            </w:pPr>
            <w:r>
              <w:rPr>
                <w:sz w:val="20"/>
                <w:szCs w:val="20"/>
              </w:rPr>
              <w:t>Simplicidad operativa</w:t>
            </w:r>
          </w:p>
        </w:tc>
        <w:tc>
          <w:tcPr>
            <w:tcW w:w="2245" w:type="dxa"/>
            <w:tcMar>
              <w:top w:w="120" w:type="dxa"/>
              <w:left w:w="120" w:type="dxa"/>
              <w:bottom w:w="120" w:type="dxa"/>
              <w:right w:w="120" w:type="dxa"/>
            </w:tcMar>
            <w:vAlign w:val="center"/>
          </w:tcPr>
          <w:p w14:paraId="1AF29C34" w14:textId="77777777" w:rsidR="003970CE" w:rsidRDefault="003970CE" w:rsidP="00986375">
            <w:pPr>
              <w:spacing w:before="0" w:after="0" w:line="240" w:lineRule="auto"/>
              <w:jc w:val="center"/>
              <w:rPr>
                <w:sz w:val="20"/>
                <w:szCs w:val="20"/>
              </w:rPr>
            </w:pPr>
            <w:r>
              <w:rPr>
                <w:sz w:val="20"/>
                <w:szCs w:val="20"/>
              </w:rPr>
              <w:t>Pierde coordinación entre capas</w:t>
            </w:r>
          </w:p>
        </w:tc>
        <w:tc>
          <w:tcPr>
            <w:tcW w:w="1859" w:type="dxa"/>
            <w:tcMar>
              <w:top w:w="120" w:type="dxa"/>
              <w:left w:w="120" w:type="dxa"/>
              <w:bottom w:w="120" w:type="dxa"/>
              <w:right w:w="120" w:type="dxa"/>
            </w:tcMar>
            <w:vAlign w:val="center"/>
          </w:tcPr>
          <w:p w14:paraId="685F3E5F" w14:textId="77777777" w:rsidR="003970CE" w:rsidRDefault="003970CE" w:rsidP="00986375">
            <w:pPr>
              <w:spacing w:before="0" w:after="0" w:line="240" w:lineRule="auto"/>
              <w:jc w:val="center"/>
              <w:rPr>
                <w:sz w:val="20"/>
                <w:szCs w:val="20"/>
              </w:rPr>
            </w:pPr>
            <w:r>
              <w:rPr>
                <w:sz w:val="20"/>
                <w:szCs w:val="20"/>
              </w:rPr>
              <w:t>Descartada</w:t>
            </w:r>
          </w:p>
        </w:tc>
      </w:tr>
      <w:tr w:rsidR="003970CE" w14:paraId="7B2CDBD5" w14:textId="77777777" w:rsidTr="00986375">
        <w:trPr>
          <w:trHeight w:val="57"/>
        </w:trPr>
        <w:tc>
          <w:tcPr>
            <w:tcW w:w="2301" w:type="dxa"/>
            <w:tcMar>
              <w:top w:w="120" w:type="dxa"/>
              <w:left w:w="120" w:type="dxa"/>
              <w:bottom w:w="120" w:type="dxa"/>
              <w:right w:w="120" w:type="dxa"/>
            </w:tcMar>
            <w:vAlign w:val="center"/>
          </w:tcPr>
          <w:p w14:paraId="0066A77D" w14:textId="77777777" w:rsidR="003970CE" w:rsidRDefault="003970CE" w:rsidP="00986375">
            <w:pPr>
              <w:spacing w:before="0" w:after="0" w:line="240" w:lineRule="auto"/>
              <w:jc w:val="center"/>
              <w:rPr>
                <w:sz w:val="20"/>
                <w:szCs w:val="20"/>
              </w:rPr>
            </w:pPr>
            <w:r>
              <w:rPr>
                <w:sz w:val="20"/>
                <w:szCs w:val="20"/>
              </w:rPr>
              <w:t>Correlaciones bivariadas múltiples (Spearman)</w:t>
            </w:r>
          </w:p>
        </w:tc>
        <w:tc>
          <w:tcPr>
            <w:tcW w:w="2089" w:type="dxa"/>
            <w:tcMar>
              <w:top w:w="120" w:type="dxa"/>
              <w:left w:w="120" w:type="dxa"/>
              <w:bottom w:w="120" w:type="dxa"/>
              <w:right w:w="120" w:type="dxa"/>
            </w:tcMar>
            <w:vAlign w:val="center"/>
          </w:tcPr>
          <w:p w14:paraId="7D342592" w14:textId="77777777" w:rsidR="003970CE" w:rsidRDefault="003970CE" w:rsidP="00986375">
            <w:pPr>
              <w:spacing w:before="0" w:after="0" w:line="240" w:lineRule="auto"/>
              <w:jc w:val="center"/>
              <w:rPr>
                <w:sz w:val="20"/>
                <w:szCs w:val="20"/>
              </w:rPr>
            </w:pPr>
            <w:r>
              <w:rPr>
                <w:sz w:val="20"/>
                <w:szCs w:val="20"/>
              </w:rPr>
              <w:t>Detecta relaciones simples</w:t>
            </w:r>
          </w:p>
        </w:tc>
        <w:tc>
          <w:tcPr>
            <w:tcW w:w="2245" w:type="dxa"/>
            <w:tcMar>
              <w:top w:w="120" w:type="dxa"/>
              <w:left w:w="120" w:type="dxa"/>
              <w:bottom w:w="120" w:type="dxa"/>
              <w:right w:w="120" w:type="dxa"/>
            </w:tcMar>
            <w:vAlign w:val="center"/>
          </w:tcPr>
          <w:p w14:paraId="549256F6" w14:textId="77777777" w:rsidR="003970CE" w:rsidRDefault="003970CE" w:rsidP="00986375">
            <w:pPr>
              <w:spacing w:before="0" w:after="0" w:line="240" w:lineRule="auto"/>
              <w:jc w:val="center"/>
              <w:rPr>
                <w:sz w:val="20"/>
                <w:szCs w:val="20"/>
              </w:rPr>
            </w:pPr>
            <w:r>
              <w:rPr>
                <w:sz w:val="20"/>
                <w:szCs w:val="20"/>
              </w:rPr>
              <w:t>No identifica estructura latente compartida</w:t>
            </w:r>
          </w:p>
        </w:tc>
        <w:tc>
          <w:tcPr>
            <w:tcW w:w="1859" w:type="dxa"/>
            <w:tcMar>
              <w:top w:w="120" w:type="dxa"/>
              <w:left w:w="120" w:type="dxa"/>
              <w:bottom w:w="120" w:type="dxa"/>
              <w:right w:w="120" w:type="dxa"/>
            </w:tcMar>
            <w:vAlign w:val="center"/>
          </w:tcPr>
          <w:p w14:paraId="0D1F0C70" w14:textId="77777777" w:rsidR="003970CE" w:rsidRDefault="003970CE" w:rsidP="00986375">
            <w:pPr>
              <w:spacing w:before="0" w:after="0" w:line="240" w:lineRule="auto"/>
              <w:jc w:val="center"/>
              <w:rPr>
                <w:sz w:val="20"/>
                <w:szCs w:val="20"/>
              </w:rPr>
            </w:pPr>
            <w:r>
              <w:rPr>
                <w:sz w:val="20"/>
                <w:szCs w:val="20"/>
              </w:rPr>
              <w:t>Complementaria</w:t>
            </w:r>
          </w:p>
        </w:tc>
      </w:tr>
      <w:tr w:rsidR="003970CE" w14:paraId="4D7C82CD" w14:textId="77777777" w:rsidTr="00986375">
        <w:trPr>
          <w:trHeight w:val="57"/>
        </w:trPr>
        <w:tc>
          <w:tcPr>
            <w:tcW w:w="2301" w:type="dxa"/>
            <w:tcMar>
              <w:top w:w="120" w:type="dxa"/>
              <w:left w:w="120" w:type="dxa"/>
              <w:bottom w:w="120" w:type="dxa"/>
              <w:right w:w="120" w:type="dxa"/>
            </w:tcMar>
            <w:vAlign w:val="center"/>
          </w:tcPr>
          <w:p w14:paraId="02FA6E99" w14:textId="77777777" w:rsidR="003970CE" w:rsidRPr="004C5DA9" w:rsidRDefault="003970CE" w:rsidP="00986375">
            <w:pPr>
              <w:spacing w:before="0" w:after="0" w:line="240" w:lineRule="auto"/>
              <w:jc w:val="center"/>
              <w:rPr>
                <w:sz w:val="20"/>
                <w:szCs w:val="20"/>
              </w:rPr>
            </w:pPr>
            <w:r w:rsidRPr="004C5DA9">
              <w:rPr>
                <w:sz w:val="20"/>
                <w:szCs w:val="20"/>
              </w:rPr>
              <w:t>MOFA2 (factorización bayesiana)</w:t>
            </w:r>
          </w:p>
        </w:tc>
        <w:tc>
          <w:tcPr>
            <w:tcW w:w="2089" w:type="dxa"/>
            <w:tcMar>
              <w:top w:w="120" w:type="dxa"/>
              <w:left w:w="120" w:type="dxa"/>
              <w:bottom w:w="120" w:type="dxa"/>
              <w:right w:w="120" w:type="dxa"/>
            </w:tcMar>
            <w:vAlign w:val="center"/>
          </w:tcPr>
          <w:p w14:paraId="5C718C91" w14:textId="77777777" w:rsidR="003970CE" w:rsidRPr="004C5DA9" w:rsidRDefault="003970CE" w:rsidP="00986375">
            <w:pPr>
              <w:spacing w:before="0" w:after="0" w:line="240" w:lineRule="auto"/>
              <w:jc w:val="center"/>
              <w:rPr>
                <w:sz w:val="20"/>
                <w:szCs w:val="20"/>
              </w:rPr>
            </w:pPr>
            <w:r w:rsidRPr="004C5DA9">
              <w:rPr>
                <w:sz w:val="20"/>
                <w:szCs w:val="20"/>
              </w:rPr>
              <w:t>Captura variación compartida sin presuponer fenotipos; gestión nativa de datos faltantes</w:t>
            </w:r>
          </w:p>
        </w:tc>
        <w:tc>
          <w:tcPr>
            <w:tcW w:w="2245" w:type="dxa"/>
            <w:tcMar>
              <w:top w:w="120" w:type="dxa"/>
              <w:left w:w="120" w:type="dxa"/>
              <w:bottom w:w="120" w:type="dxa"/>
              <w:right w:w="120" w:type="dxa"/>
            </w:tcMar>
            <w:vAlign w:val="center"/>
          </w:tcPr>
          <w:p w14:paraId="0B2A7E3C" w14:textId="77777777" w:rsidR="003970CE" w:rsidRPr="004C5DA9" w:rsidRDefault="003970CE" w:rsidP="00986375">
            <w:pPr>
              <w:spacing w:before="0" w:after="0" w:line="240" w:lineRule="auto"/>
              <w:jc w:val="center"/>
              <w:rPr>
                <w:sz w:val="20"/>
                <w:szCs w:val="20"/>
              </w:rPr>
            </w:pPr>
            <w:r w:rsidRPr="004C5DA9">
              <w:rPr>
                <w:sz w:val="20"/>
                <w:szCs w:val="20"/>
              </w:rPr>
              <w:t>No maximiza discriminación fenotípica directa</w:t>
            </w:r>
          </w:p>
        </w:tc>
        <w:tc>
          <w:tcPr>
            <w:tcW w:w="1859" w:type="dxa"/>
            <w:tcMar>
              <w:top w:w="120" w:type="dxa"/>
              <w:left w:w="120" w:type="dxa"/>
              <w:bottom w:w="120" w:type="dxa"/>
              <w:right w:w="120" w:type="dxa"/>
            </w:tcMar>
            <w:vAlign w:val="center"/>
          </w:tcPr>
          <w:p w14:paraId="783968F5" w14:textId="77777777" w:rsidR="003970CE" w:rsidRPr="004C5DA9" w:rsidRDefault="003970CE" w:rsidP="00986375">
            <w:pPr>
              <w:spacing w:before="0" w:after="0" w:line="240" w:lineRule="auto"/>
              <w:jc w:val="center"/>
              <w:rPr>
                <w:sz w:val="20"/>
                <w:szCs w:val="20"/>
              </w:rPr>
            </w:pPr>
            <w:r w:rsidRPr="004C5DA9">
              <w:rPr>
                <w:sz w:val="20"/>
                <w:szCs w:val="20"/>
              </w:rPr>
              <w:t>Exploración no supervisada (Paso 1)</w:t>
            </w:r>
          </w:p>
        </w:tc>
      </w:tr>
      <w:tr w:rsidR="003970CE" w14:paraId="0BDC07F4" w14:textId="77777777" w:rsidTr="00986375">
        <w:trPr>
          <w:trHeight w:val="57"/>
        </w:trPr>
        <w:tc>
          <w:tcPr>
            <w:tcW w:w="2301" w:type="dxa"/>
            <w:tcMar>
              <w:top w:w="120" w:type="dxa"/>
              <w:left w:w="120" w:type="dxa"/>
              <w:bottom w:w="120" w:type="dxa"/>
              <w:right w:w="120" w:type="dxa"/>
            </w:tcMar>
            <w:vAlign w:val="center"/>
          </w:tcPr>
          <w:p w14:paraId="3CB2DFCB" w14:textId="77777777" w:rsidR="003970CE" w:rsidRDefault="003970CE" w:rsidP="00986375">
            <w:pPr>
              <w:spacing w:before="0" w:after="0" w:line="240" w:lineRule="auto"/>
              <w:jc w:val="center"/>
              <w:rPr>
                <w:sz w:val="20"/>
                <w:szCs w:val="20"/>
              </w:rPr>
            </w:pPr>
            <w:r w:rsidRPr="004C5DA9">
              <w:rPr>
                <w:sz w:val="20"/>
                <w:szCs w:val="20"/>
              </w:rPr>
              <w:t>DIABLO (</w:t>
            </w:r>
            <w:proofErr w:type="spellStart"/>
            <w:r w:rsidRPr="004C5DA9">
              <w:rPr>
                <w:sz w:val="20"/>
                <w:szCs w:val="20"/>
              </w:rPr>
              <w:t>mixOmics</w:t>
            </w:r>
            <w:proofErr w:type="spellEnd"/>
            <w:r w:rsidRPr="004C5DA9">
              <w:rPr>
                <w:sz w:val="20"/>
                <w:szCs w:val="20"/>
              </w:rPr>
              <w:t>)</w:t>
            </w:r>
          </w:p>
        </w:tc>
        <w:tc>
          <w:tcPr>
            <w:tcW w:w="2089" w:type="dxa"/>
            <w:tcMar>
              <w:top w:w="120" w:type="dxa"/>
              <w:left w:w="120" w:type="dxa"/>
              <w:bottom w:w="120" w:type="dxa"/>
              <w:right w:w="120" w:type="dxa"/>
            </w:tcMar>
            <w:vAlign w:val="center"/>
          </w:tcPr>
          <w:p w14:paraId="3540491C" w14:textId="77777777" w:rsidR="003970CE" w:rsidRDefault="003970CE" w:rsidP="00986375">
            <w:pPr>
              <w:spacing w:before="0" w:after="0" w:line="240" w:lineRule="auto"/>
              <w:jc w:val="center"/>
              <w:rPr>
                <w:sz w:val="20"/>
                <w:szCs w:val="20"/>
              </w:rPr>
            </w:pPr>
            <w:r w:rsidRPr="004C5DA9">
              <w:rPr>
                <w:sz w:val="20"/>
                <w:szCs w:val="20"/>
              </w:rPr>
              <w:t>Maximiza covarianza inter-capa condicionada al fenotipo; selección de variables</w:t>
            </w:r>
          </w:p>
        </w:tc>
        <w:tc>
          <w:tcPr>
            <w:tcW w:w="2245" w:type="dxa"/>
            <w:tcMar>
              <w:top w:w="120" w:type="dxa"/>
              <w:left w:w="120" w:type="dxa"/>
              <w:bottom w:w="120" w:type="dxa"/>
              <w:right w:w="120" w:type="dxa"/>
            </w:tcMar>
            <w:vAlign w:val="center"/>
          </w:tcPr>
          <w:p w14:paraId="7E419341" w14:textId="77777777" w:rsidR="003970CE" w:rsidRDefault="003970CE" w:rsidP="00986375">
            <w:pPr>
              <w:spacing w:before="0" w:after="0" w:line="240" w:lineRule="auto"/>
              <w:jc w:val="center"/>
              <w:rPr>
                <w:sz w:val="20"/>
                <w:szCs w:val="20"/>
              </w:rPr>
            </w:pPr>
            <w:r w:rsidRPr="004C5DA9">
              <w:rPr>
                <w:sz w:val="20"/>
                <w:szCs w:val="20"/>
              </w:rPr>
              <w:t>Requiere imputación previa; depende de la calidad del etiquetado</w:t>
            </w:r>
          </w:p>
        </w:tc>
        <w:tc>
          <w:tcPr>
            <w:tcW w:w="1859" w:type="dxa"/>
            <w:tcMar>
              <w:top w:w="120" w:type="dxa"/>
              <w:left w:w="120" w:type="dxa"/>
              <w:bottom w:w="120" w:type="dxa"/>
              <w:right w:w="120" w:type="dxa"/>
            </w:tcMar>
            <w:vAlign w:val="center"/>
          </w:tcPr>
          <w:p w14:paraId="34BB2DE2" w14:textId="77777777" w:rsidR="003970CE" w:rsidRDefault="003970CE" w:rsidP="00986375">
            <w:pPr>
              <w:keepNext/>
              <w:spacing w:before="0" w:after="0" w:line="240" w:lineRule="auto"/>
              <w:jc w:val="center"/>
              <w:rPr>
                <w:sz w:val="20"/>
                <w:szCs w:val="20"/>
              </w:rPr>
            </w:pPr>
            <w:r w:rsidRPr="004C5DA9">
              <w:rPr>
                <w:sz w:val="20"/>
                <w:szCs w:val="20"/>
              </w:rPr>
              <w:t>Integración supervisada (Paso 2)</w:t>
            </w:r>
          </w:p>
        </w:tc>
      </w:tr>
    </w:tbl>
    <w:p w14:paraId="7E2976EA" w14:textId="6FBF1A0E" w:rsidR="003970CE" w:rsidRDefault="003970CE" w:rsidP="003970CE">
      <w:pPr>
        <w:pStyle w:val="Sinespaciado"/>
      </w:pPr>
      <w:bookmarkStart w:id="48" w:name="_Toc229235972"/>
      <w:bookmarkStart w:id="49" w:name="_Toc230792238"/>
      <w:r>
        <w:t xml:space="preserve">Tabla </w:t>
      </w:r>
      <w:fldSimple w:instr=" SEQ Tabla \* ARABIC ">
        <w:r>
          <w:rPr>
            <w:noProof/>
          </w:rPr>
          <w:t>1</w:t>
        </w:r>
      </w:fldSimple>
      <w:r>
        <w:t>.</w:t>
      </w:r>
      <w:r w:rsidRPr="00F50B42">
        <w:t>Evaluación de estrategias para la integración de datos transcriptómicos y proteómicos.</w:t>
      </w:r>
      <w:bookmarkEnd w:id="48"/>
      <w:bookmarkEnd w:id="49"/>
    </w:p>
    <w:p w14:paraId="5435FAAC" w14:textId="77777777" w:rsidR="00DA1C00" w:rsidRDefault="00DA1C00" w:rsidP="00DA1C00">
      <w:r>
        <w:t xml:space="preserve">El análisis </w:t>
      </w:r>
      <w:proofErr w:type="spellStart"/>
      <w:r>
        <w:t>unicapa</w:t>
      </w:r>
      <w:proofErr w:type="spellEnd"/>
      <w:r>
        <w:t>, aunque simple, no capta la variación coordinada entre capas ni resuelve la paradoja dimensional; las correlaciones bivariadas se mantienen como herramienta exploratoria, pero no permiten modelizar estructuras latentes compartidas ni predictores robustos.</w:t>
      </w:r>
    </w:p>
    <w:p w14:paraId="3C728F8A" w14:textId="62237C95" w:rsidR="00DA1C00" w:rsidRDefault="00DA1C00" w:rsidP="00DA1C00">
      <w:r>
        <w:t>Por ello, la estrategia principal elegida es la integración multi</w:t>
      </w:r>
      <w:r>
        <w:rPr>
          <w:rFonts w:ascii="Cambria Math" w:hAnsi="Cambria Math" w:cs="Cambria Math"/>
        </w:rPr>
        <w:t>‑</w:t>
      </w:r>
      <w:proofErr w:type="spellStart"/>
      <w:r>
        <w:t>ómica</w:t>
      </w:r>
      <w:proofErr w:type="spellEnd"/>
      <w:r>
        <w:t xml:space="preserve"> formal combinando enfoques no supervisados y supervisados. En primer lugar, se aplica MOFA2 para identificar factores latentes compartidos entre los 72 ISGs y el panel proteómico sérico, gestionando de forma nativa los datos faltantes y relacionando dichos factores con los índices de actividad y remisión clínica (SLEDAI</w:t>
      </w:r>
      <w:r>
        <w:rPr>
          <w:rFonts w:ascii="Cambria Math" w:hAnsi="Cambria Math" w:cs="Cambria Math"/>
        </w:rPr>
        <w:t>‑</w:t>
      </w:r>
      <w:r>
        <w:t>2K, SLE</w:t>
      </w:r>
      <w:r>
        <w:rPr>
          <w:rFonts w:ascii="Cambria Math" w:hAnsi="Cambria Math" w:cs="Cambria Math"/>
        </w:rPr>
        <w:t>‑</w:t>
      </w:r>
      <w:r>
        <w:t xml:space="preserve">DAS, LLDAS, DORIS). En segundo lugar, se emplea DIABLO </w:t>
      </w:r>
      <w:r>
        <w:lastRenderedPageBreak/>
        <w:t>(</w:t>
      </w:r>
      <w:proofErr w:type="spellStart"/>
      <w:r>
        <w:t>mixOmics</w:t>
      </w:r>
      <w:proofErr w:type="spellEnd"/>
      <w:r>
        <w:t>) para maximizar la covarianza entre capas condicionada a desenlaces clínicos específicos, seleccionando firmas multi</w:t>
      </w:r>
      <w:r>
        <w:rPr>
          <w:rFonts w:ascii="Cambria Math" w:hAnsi="Cambria Math" w:cs="Cambria Math"/>
        </w:rPr>
        <w:t>‑</w:t>
      </w:r>
      <w:proofErr w:type="spellStart"/>
      <w:r>
        <w:t>ómicas</w:t>
      </w:r>
      <w:proofErr w:type="spellEnd"/>
      <w:r>
        <w:t xml:space="preserve"> parsimoniosas y biológicamente interpretables. Finalmente, sobre las variables seleccionadas y/o los factores latentes obtenidos, se construye un modelo predictivo de actividad clínica mediante regresión penalizada LASSO con validación cruzada y evaluación mediante curvas ROC y AUC, comparando el rendimiento de las firmas multi</w:t>
      </w:r>
      <w:r>
        <w:rPr>
          <w:rFonts w:ascii="Cambria Math" w:hAnsi="Cambria Math" w:cs="Cambria Math"/>
        </w:rPr>
        <w:t>‑</w:t>
      </w:r>
      <w:proofErr w:type="spellStart"/>
      <w:r>
        <w:t>ómicas</w:t>
      </w:r>
      <w:proofErr w:type="spellEnd"/>
      <w:r>
        <w:t xml:space="preserve"> frente a biomarcadores individuales clásicos (IFN</w:t>
      </w:r>
      <w:r>
        <w:rPr>
          <w:rFonts w:ascii="Cambria Math" w:hAnsi="Cambria Math" w:cs="Cambria Math"/>
        </w:rPr>
        <w:t>‑</w:t>
      </w:r>
      <w:r>
        <w:t>α sérico, C3, C4).</w:t>
      </w:r>
    </w:p>
    <w:p w14:paraId="2CAD8316" w14:textId="30F475EA" w:rsidR="003970CE" w:rsidRDefault="00DA1C00" w:rsidP="003970CE">
      <w:r>
        <w:t xml:space="preserve">En conjunto, la estrategia se basa en la adaptación de un pipeline analítico consolidado en la literatura (MOFA2, DIABLO, LASSO) a una cohorte propia de LES, lo que maximiza el aprovechamiento de datos existentes, aborda las limitaciones de los análisis </w:t>
      </w:r>
      <w:proofErr w:type="spellStart"/>
      <w:r>
        <w:t>unicapa</w:t>
      </w:r>
      <w:proofErr w:type="spellEnd"/>
      <w:r>
        <w:t xml:space="preserve"> y de las correlaciones bivariadas y favorece la obtención de resultados con potencial traslacional, tanto en forma de firmas multi</w:t>
      </w:r>
      <w:r>
        <w:rPr>
          <w:rFonts w:ascii="Cambria Math" w:hAnsi="Cambria Math" w:cs="Cambria Math"/>
        </w:rPr>
        <w:t>‑</w:t>
      </w:r>
      <w:proofErr w:type="spellStart"/>
      <w:r>
        <w:t>ómicas</w:t>
      </w:r>
      <w:proofErr w:type="spellEnd"/>
      <w:r>
        <w:t xml:space="preserve"> </w:t>
      </w:r>
      <w:proofErr w:type="spellStart"/>
      <w:r>
        <w:t>candidateables</w:t>
      </w:r>
      <w:proofErr w:type="spellEnd"/>
      <w:r>
        <w:t xml:space="preserve"> a biomarcadores como de modelos predictivos comparables con la práctica clínica estándar.</w:t>
      </w:r>
    </w:p>
    <w:p w14:paraId="51F064AD" w14:textId="485CD6E9" w:rsidR="003970CE" w:rsidRDefault="003970CE" w:rsidP="003970CE">
      <w:r>
        <w:t>El análisis se estructura en cinco bloques secuenciales e interdependientes:</w:t>
      </w:r>
    </w:p>
    <w:p w14:paraId="2934BB9F" w14:textId="77777777" w:rsidR="003970CE" w:rsidRDefault="003970CE" w:rsidP="003970CE">
      <w:pPr>
        <w:pStyle w:val="Prrafodelista"/>
        <w:numPr>
          <w:ilvl w:val="0"/>
          <w:numId w:val="40"/>
        </w:numPr>
      </w:pPr>
      <w:r>
        <w:t xml:space="preserve">Preprocesamiento y control de calidad de los datos </w:t>
      </w:r>
      <w:proofErr w:type="spellStart"/>
      <w:r>
        <w:t>NanoString</w:t>
      </w:r>
      <w:proofErr w:type="spellEnd"/>
      <w:r>
        <w:t xml:space="preserve"> </w:t>
      </w:r>
      <w:proofErr w:type="spellStart"/>
      <w:r>
        <w:t>nCounter</w:t>
      </w:r>
      <w:proofErr w:type="spellEnd"/>
      <w:r>
        <w:t>: evaluación de controles internos, corrección del ruido de fondo (</w:t>
      </w:r>
      <w:proofErr w:type="spellStart"/>
      <w:r>
        <w:t>background</w:t>
      </w:r>
      <w:proofErr w:type="spellEnd"/>
      <w:r>
        <w:t xml:space="preserve"> </w:t>
      </w:r>
      <w:proofErr w:type="spellStart"/>
      <w:r>
        <w:t>thresholding</w:t>
      </w:r>
      <w:proofErr w:type="spellEnd"/>
      <w:r>
        <w:t>) y normalización técnica y biológica en dos etapas.</w:t>
      </w:r>
    </w:p>
    <w:p w14:paraId="4A3C3A3B" w14:textId="77777777" w:rsidR="003970CE" w:rsidRDefault="003970CE" w:rsidP="003970CE">
      <w:pPr>
        <w:pStyle w:val="Prrafodelista"/>
        <w:numPr>
          <w:ilvl w:val="0"/>
          <w:numId w:val="40"/>
        </w:numPr>
      </w:pPr>
      <w:r>
        <w:t>Cálculo del IFN</w:t>
      </w:r>
      <w:r w:rsidRPr="003970CE">
        <w:rPr>
          <w:rFonts w:ascii="Cambria Math" w:hAnsi="Cambria Math" w:cs="Cambria Math"/>
        </w:rPr>
        <w:t>‑</w:t>
      </w:r>
      <w:r>
        <w:t>score y clasificación IFN</w:t>
      </w:r>
      <w:r w:rsidRPr="003970CE">
        <w:rPr>
          <w:rFonts w:ascii="Cambria Math" w:hAnsi="Cambria Math" w:cs="Cambria Math"/>
        </w:rPr>
        <w:t>‑</w:t>
      </w:r>
      <w:proofErr w:type="spellStart"/>
      <w:r>
        <w:t>high</w:t>
      </w:r>
      <w:proofErr w:type="spellEnd"/>
      <w:r>
        <w:t>/IFN</w:t>
      </w:r>
      <w:r w:rsidRPr="003970CE">
        <w:rPr>
          <w:rFonts w:ascii="Cambria Math" w:hAnsi="Cambria Math" w:cs="Cambria Math"/>
        </w:rPr>
        <w:t>‑</w:t>
      </w:r>
      <w:r>
        <w:t>low: cálculo de la expresión relativa de los 72 ISGs respecto a controles sanos, obtención del IFN</w:t>
      </w:r>
      <w:r w:rsidRPr="003970CE">
        <w:rPr>
          <w:rFonts w:ascii="Cambria Math" w:hAnsi="Cambria Math" w:cs="Cambria Math"/>
        </w:rPr>
        <w:t>‑</w:t>
      </w:r>
      <w:r>
        <w:t>score principal y de validación (4 genes clásicos) y definición del punto de corte.</w:t>
      </w:r>
    </w:p>
    <w:p w14:paraId="4B5D816F" w14:textId="02CE4340" w:rsidR="003970CE" w:rsidRDefault="003970CE" w:rsidP="003970CE">
      <w:pPr>
        <w:pStyle w:val="Prrafodelista"/>
        <w:numPr>
          <w:ilvl w:val="0"/>
          <w:numId w:val="40"/>
        </w:numPr>
      </w:pPr>
      <w:r>
        <w:t>Análisis descriptivo y de asociación clínica: caracterización transcriptómica de los subgrupos IFN</w:t>
      </w:r>
      <w:r w:rsidRPr="003970CE">
        <w:rPr>
          <w:rFonts w:ascii="Cambria Math" w:hAnsi="Cambria Math" w:cs="Cambria Math"/>
        </w:rPr>
        <w:t>‑</w:t>
      </w:r>
      <w:proofErr w:type="spellStart"/>
      <w:r>
        <w:t>high</w:t>
      </w:r>
      <w:proofErr w:type="spellEnd"/>
      <w:r>
        <w:t>/IFN</w:t>
      </w:r>
      <w:r w:rsidRPr="003970CE">
        <w:rPr>
          <w:rFonts w:ascii="Cambria Math" w:hAnsi="Cambria Math" w:cs="Cambria Math"/>
        </w:rPr>
        <w:t>‑</w:t>
      </w:r>
      <w:r>
        <w:t>low (</w:t>
      </w:r>
      <w:proofErr w:type="spellStart"/>
      <w:r>
        <w:t>clustering</w:t>
      </w:r>
      <w:proofErr w:type="spellEnd"/>
      <w:r>
        <w:t xml:space="preserve"> jerárquico, expresión diferencial) y evaluación de su asociación con SLEDAI</w:t>
      </w:r>
      <w:r w:rsidRPr="003970CE">
        <w:rPr>
          <w:rFonts w:ascii="Cambria Math" w:hAnsi="Cambria Math" w:cs="Cambria Math"/>
        </w:rPr>
        <w:t>‑</w:t>
      </w:r>
      <w:r>
        <w:t>2K, SLE</w:t>
      </w:r>
      <w:r w:rsidRPr="003970CE">
        <w:rPr>
          <w:rFonts w:ascii="Cambria Math" w:hAnsi="Cambria Math" w:cs="Cambria Math"/>
        </w:rPr>
        <w:t>‑</w:t>
      </w:r>
      <w:r>
        <w:t>DAS, LLDAS y DORIS mediante correlaciones de Spearman y regresión logística.</w:t>
      </w:r>
    </w:p>
    <w:p w14:paraId="414B69F3" w14:textId="7F894BC0" w:rsidR="003970CE" w:rsidRDefault="003970CE" w:rsidP="003970CE">
      <w:pPr>
        <w:pStyle w:val="Prrafodelista"/>
        <w:numPr>
          <w:ilvl w:val="0"/>
          <w:numId w:val="40"/>
        </w:numPr>
      </w:pPr>
      <w:r>
        <w:t>Integración multi</w:t>
      </w:r>
      <w:r w:rsidRPr="003970CE">
        <w:rPr>
          <w:rFonts w:ascii="Cambria Math" w:hAnsi="Cambria Math" w:cs="Cambria Math"/>
        </w:rPr>
        <w:t>‑</w:t>
      </w:r>
      <w:proofErr w:type="spellStart"/>
      <w:r>
        <w:t>ómica</w:t>
      </w:r>
      <w:proofErr w:type="spellEnd"/>
      <w:r>
        <w:t xml:space="preserve"> mediante </w:t>
      </w:r>
      <w:r w:rsidR="003357F2">
        <w:t>MOFA2 (Multi</w:t>
      </w:r>
      <w:r w:rsidR="003357F2" w:rsidRPr="003970CE">
        <w:rPr>
          <w:rFonts w:ascii="Cambria Math" w:hAnsi="Cambria Math" w:cs="Cambria Math"/>
        </w:rPr>
        <w:t>‑</w:t>
      </w:r>
      <w:proofErr w:type="spellStart"/>
      <w:r w:rsidR="003357F2">
        <w:t>Omics</w:t>
      </w:r>
      <w:proofErr w:type="spellEnd"/>
      <w:r w:rsidR="003357F2">
        <w:t xml:space="preserve"> Factor </w:t>
      </w:r>
      <w:proofErr w:type="spellStart"/>
      <w:r w:rsidR="003357F2">
        <w:t>Analysis</w:t>
      </w:r>
      <w:proofErr w:type="spellEnd"/>
      <w:r w:rsidR="003357F2">
        <w:t xml:space="preserve">) y </w:t>
      </w:r>
      <w:r>
        <w:t xml:space="preserve">DIABLO (integración supervisada, paquete </w:t>
      </w:r>
      <w:proofErr w:type="spellStart"/>
      <w:r>
        <w:t>mixOmics</w:t>
      </w:r>
      <w:proofErr w:type="spellEnd"/>
      <w:r>
        <w:t>), con el objetivo de identificar factores latentes compartidos entre las capas transcriptómica y proteómica sérica.</w:t>
      </w:r>
    </w:p>
    <w:p w14:paraId="62DFD471" w14:textId="32BA10AF" w:rsidR="003970CE" w:rsidRDefault="003970CE" w:rsidP="003970CE">
      <w:pPr>
        <w:pStyle w:val="Prrafodelista"/>
        <w:numPr>
          <w:ilvl w:val="0"/>
          <w:numId w:val="40"/>
        </w:numPr>
      </w:pPr>
      <w:r>
        <w:t>Modelo predictivo de actividad clínica mediante regularización LASSO con validación cruzada, evaluado por curvas ROC y comparación del AUC frente a biomarcadores individuales (IFN</w:t>
      </w:r>
      <w:r w:rsidRPr="003970CE">
        <w:rPr>
          <w:rFonts w:ascii="Cambria Math" w:hAnsi="Cambria Math" w:cs="Cambria Math"/>
        </w:rPr>
        <w:t>‑</w:t>
      </w:r>
      <w:r>
        <w:t>α sérico, C3, C4).</w:t>
      </w:r>
    </w:p>
    <w:p w14:paraId="1B1C12B5" w14:textId="0EA411EA" w:rsidR="003970CE" w:rsidRPr="003970CE" w:rsidRDefault="003970CE" w:rsidP="003970CE">
      <w:r>
        <w:t xml:space="preserve">Todo el análisis se implementa en R (versión 4.4.2), empleando los paquetes </w:t>
      </w:r>
      <w:proofErr w:type="spellStart"/>
      <w:r>
        <w:t>mixOmics</w:t>
      </w:r>
      <w:proofErr w:type="spellEnd"/>
      <w:r>
        <w:t xml:space="preserve">, MOFA2, </w:t>
      </w:r>
      <w:proofErr w:type="spellStart"/>
      <w:r>
        <w:t>BiocManager</w:t>
      </w:r>
      <w:proofErr w:type="spellEnd"/>
      <w:r>
        <w:t xml:space="preserve">, ggplot2, </w:t>
      </w:r>
      <w:proofErr w:type="spellStart"/>
      <w:r>
        <w:t>glmnet</w:t>
      </w:r>
      <w:proofErr w:type="spellEnd"/>
      <w:r>
        <w:t xml:space="preserve"> y </w:t>
      </w:r>
      <w:proofErr w:type="spellStart"/>
      <w:r>
        <w:t>limma</w:t>
      </w:r>
      <w:proofErr w:type="spellEnd"/>
      <w:r>
        <w:t xml:space="preserve"> del ecosistema </w:t>
      </w:r>
      <w:proofErr w:type="spellStart"/>
      <w:r>
        <w:t>Bioconductor</w:t>
      </w:r>
      <w:proofErr w:type="spellEnd"/>
      <w:r>
        <w:t>, con el código íntegramente documentado y reproducible.</w:t>
      </w:r>
    </w:p>
    <w:p w14:paraId="245A0520" w14:textId="77777777" w:rsidR="00097466" w:rsidRDefault="00000000">
      <w:pPr>
        <w:pStyle w:val="Ttulo2"/>
        <w:numPr>
          <w:ilvl w:val="1"/>
          <w:numId w:val="16"/>
        </w:numPr>
      </w:pPr>
      <w:bookmarkStart w:id="50" w:name="_heading=h.pnippzk9fvt" w:colFirst="0" w:colLast="0"/>
      <w:bookmarkStart w:id="51" w:name="_Toc229237668"/>
      <w:bookmarkStart w:id="52" w:name="_Toc230792307"/>
      <w:bookmarkEnd w:id="50"/>
      <w:r>
        <w:t>Planificación del Trabajo</w:t>
      </w:r>
      <w:bookmarkEnd w:id="51"/>
      <w:bookmarkEnd w:id="52"/>
    </w:p>
    <w:p w14:paraId="2C835A71" w14:textId="64F79CCE" w:rsidR="00097466" w:rsidRDefault="00000000">
      <w:pPr>
        <w:spacing w:before="200"/>
      </w:pPr>
      <w:bookmarkStart w:id="53" w:name="_heading=h.fc96ix7nb2uj" w:colFirst="0" w:colLast="0"/>
      <w:bookmarkEnd w:id="53"/>
      <w:r>
        <w:t>El proyecto se desarrolla en un período de 18 semanas (18 de febrero al 30 de junio de 2026), estructurado en 5 entregas PEC alineadas</w:t>
      </w:r>
      <w:r w:rsidR="003357F2">
        <w:t xml:space="preserve"> tal y como se muestra en la Tabla 2</w:t>
      </w:r>
      <w:r>
        <w:t xml:space="preserve">. </w:t>
      </w:r>
    </w:p>
    <w:tbl>
      <w:tblPr>
        <w:tblStyle w:val="a2"/>
        <w:tblW w:w="8495" w:type="dxa"/>
        <w:jc w:val="center"/>
        <w:tblInd w:w="0" w:type="dxa"/>
        <w:tblLayout w:type="fixed"/>
        <w:tblLook w:val="0400" w:firstRow="0" w:lastRow="0" w:firstColumn="0" w:lastColumn="0" w:noHBand="0" w:noVBand="1"/>
      </w:tblPr>
      <w:tblGrid>
        <w:gridCol w:w="2122"/>
        <w:gridCol w:w="1275"/>
        <w:gridCol w:w="4395"/>
        <w:gridCol w:w="703"/>
      </w:tblGrid>
      <w:tr w:rsidR="00097466" w14:paraId="149205E8" w14:textId="77777777">
        <w:trPr>
          <w:trHeight w:val="165"/>
          <w:jc w:val="center"/>
        </w:trPr>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60" w:type="dxa"/>
              <w:bottom w:w="60" w:type="dxa"/>
              <w:right w:w="60" w:type="dxa"/>
            </w:tcMar>
            <w:vAlign w:val="center"/>
          </w:tcPr>
          <w:p w14:paraId="46317545" w14:textId="77777777" w:rsidR="00097466" w:rsidRDefault="00000000">
            <w:pPr>
              <w:spacing w:before="0" w:after="0" w:line="240" w:lineRule="auto"/>
              <w:jc w:val="left"/>
              <w:rPr>
                <w:sz w:val="20"/>
                <w:szCs w:val="20"/>
              </w:rPr>
            </w:pPr>
            <w:r>
              <w:rPr>
                <w:b/>
                <w:bCs/>
                <w:color w:val="000000"/>
                <w:sz w:val="20"/>
                <w:szCs w:val="20"/>
              </w:rPr>
              <w:t>Hito</w:t>
            </w:r>
          </w:p>
        </w:tc>
        <w:tc>
          <w:tcPr>
            <w:tcW w:w="12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60" w:type="dxa"/>
              <w:bottom w:w="60" w:type="dxa"/>
              <w:right w:w="60" w:type="dxa"/>
            </w:tcMar>
            <w:vAlign w:val="center"/>
          </w:tcPr>
          <w:p w14:paraId="726CB832" w14:textId="77777777" w:rsidR="00097466" w:rsidRDefault="00000000">
            <w:pPr>
              <w:spacing w:before="0" w:after="0" w:line="240" w:lineRule="auto"/>
              <w:jc w:val="center"/>
              <w:rPr>
                <w:sz w:val="20"/>
                <w:szCs w:val="20"/>
              </w:rPr>
            </w:pPr>
            <w:r>
              <w:rPr>
                <w:b/>
                <w:bCs/>
                <w:color w:val="000000"/>
                <w:sz w:val="20"/>
                <w:szCs w:val="20"/>
              </w:rPr>
              <w:t>Fecha crítica</w:t>
            </w:r>
          </w:p>
        </w:tc>
        <w:tc>
          <w:tcPr>
            <w:tcW w:w="4395" w:type="dxa"/>
            <w:tcBorders>
              <w:top w:val="single" w:sz="4" w:space="0" w:color="BFBFBF"/>
              <w:left w:val="single" w:sz="4" w:space="0" w:color="BFBFBF"/>
              <w:bottom w:val="single" w:sz="4" w:space="0" w:color="BFBFBF"/>
              <w:right w:val="single" w:sz="4" w:space="0" w:color="BFBFBF"/>
            </w:tcBorders>
            <w:shd w:val="clear" w:color="auto" w:fill="F2F2F2"/>
            <w:tcMar>
              <w:top w:w="60" w:type="dxa"/>
              <w:left w:w="60" w:type="dxa"/>
              <w:bottom w:w="60" w:type="dxa"/>
              <w:right w:w="60" w:type="dxa"/>
            </w:tcMar>
            <w:vAlign w:val="center"/>
          </w:tcPr>
          <w:p w14:paraId="4FE35817" w14:textId="77777777" w:rsidR="00097466" w:rsidRDefault="00000000">
            <w:pPr>
              <w:spacing w:before="0" w:after="0" w:line="240" w:lineRule="auto"/>
              <w:jc w:val="left"/>
              <w:rPr>
                <w:sz w:val="20"/>
                <w:szCs w:val="20"/>
              </w:rPr>
            </w:pPr>
            <w:r>
              <w:rPr>
                <w:b/>
                <w:bCs/>
                <w:color w:val="000000"/>
                <w:sz w:val="20"/>
                <w:szCs w:val="20"/>
              </w:rPr>
              <w:t>Producto entregable</w:t>
            </w:r>
          </w:p>
        </w:tc>
        <w:tc>
          <w:tcPr>
            <w:tcW w:w="7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60" w:type="dxa"/>
              <w:bottom w:w="60" w:type="dxa"/>
              <w:right w:w="60" w:type="dxa"/>
            </w:tcMar>
            <w:vAlign w:val="center"/>
          </w:tcPr>
          <w:p w14:paraId="5FB742FE" w14:textId="77777777" w:rsidR="00097466" w:rsidRDefault="00000000">
            <w:pPr>
              <w:spacing w:before="0" w:after="0" w:line="240" w:lineRule="auto"/>
              <w:jc w:val="left"/>
              <w:rPr>
                <w:sz w:val="20"/>
                <w:szCs w:val="20"/>
              </w:rPr>
            </w:pPr>
            <w:r>
              <w:rPr>
                <w:b/>
                <w:bCs/>
                <w:color w:val="000000"/>
                <w:sz w:val="20"/>
                <w:szCs w:val="20"/>
              </w:rPr>
              <w:t>PEC</w:t>
            </w:r>
          </w:p>
        </w:tc>
      </w:tr>
      <w:tr w:rsidR="00097466" w14:paraId="00CF4EA9" w14:textId="77777777">
        <w:trPr>
          <w:trHeight w:val="180"/>
          <w:jc w:val="center"/>
        </w:trPr>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60" w:type="dxa"/>
              <w:bottom w:w="60" w:type="dxa"/>
              <w:right w:w="60" w:type="dxa"/>
            </w:tcMar>
            <w:vAlign w:val="center"/>
          </w:tcPr>
          <w:p w14:paraId="40F963E2" w14:textId="77777777" w:rsidR="00097466" w:rsidRDefault="00000000">
            <w:pPr>
              <w:spacing w:before="0" w:after="0" w:line="240" w:lineRule="auto"/>
              <w:jc w:val="left"/>
              <w:rPr>
                <w:sz w:val="20"/>
                <w:szCs w:val="20"/>
              </w:rPr>
            </w:pPr>
            <w:r>
              <w:rPr>
                <w:color w:val="000000"/>
                <w:sz w:val="20"/>
                <w:szCs w:val="20"/>
              </w:rPr>
              <w:t>Inicio proyecto</w:t>
            </w:r>
          </w:p>
        </w:tc>
        <w:tc>
          <w:tcPr>
            <w:tcW w:w="127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3A799D55" w14:textId="77777777" w:rsidR="00097466" w:rsidRDefault="00000000">
            <w:pPr>
              <w:spacing w:before="0" w:after="0" w:line="240" w:lineRule="auto"/>
              <w:jc w:val="center"/>
              <w:rPr>
                <w:sz w:val="20"/>
                <w:szCs w:val="20"/>
              </w:rPr>
            </w:pPr>
            <w:r>
              <w:rPr>
                <w:color w:val="000000"/>
                <w:sz w:val="20"/>
                <w:szCs w:val="20"/>
              </w:rPr>
              <w:t>18/02/26</w:t>
            </w:r>
          </w:p>
        </w:tc>
        <w:tc>
          <w:tcPr>
            <w:tcW w:w="439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6695A39D" w14:textId="77777777" w:rsidR="00097466" w:rsidRDefault="00000000">
            <w:pPr>
              <w:spacing w:before="0" w:after="0" w:line="240" w:lineRule="auto"/>
              <w:jc w:val="left"/>
              <w:rPr>
                <w:sz w:val="20"/>
                <w:szCs w:val="20"/>
              </w:rPr>
            </w:pPr>
            <w:r>
              <w:rPr>
                <w:sz w:val="20"/>
                <w:szCs w:val="20"/>
              </w:rPr>
              <w:t>-</w:t>
            </w:r>
          </w:p>
        </w:tc>
        <w:tc>
          <w:tcPr>
            <w:tcW w:w="703"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15B2A0CB" w14:textId="77777777" w:rsidR="00097466" w:rsidRDefault="00000000">
            <w:pPr>
              <w:spacing w:before="0" w:after="0" w:line="240" w:lineRule="auto"/>
              <w:jc w:val="left"/>
              <w:rPr>
                <w:sz w:val="20"/>
                <w:szCs w:val="20"/>
              </w:rPr>
            </w:pPr>
            <w:r>
              <w:rPr>
                <w:sz w:val="20"/>
                <w:szCs w:val="20"/>
              </w:rPr>
              <w:t>-</w:t>
            </w:r>
          </w:p>
        </w:tc>
      </w:tr>
      <w:tr w:rsidR="00097466" w14:paraId="22E91DA8" w14:textId="77777777">
        <w:trPr>
          <w:trHeight w:val="165"/>
          <w:jc w:val="center"/>
        </w:trPr>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60" w:type="dxa"/>
              <w:bottom w:w="60" w:type="dxa"/>
              <w:right w:w="60" w:type="dxa"/>
            </w:tcMar>
            <w:vAlign w:val="center"/>
          </w:tcPr>
          <w:p w14:paraId="2C0964BD" w14:textId="77777777" w:rsidR="00097466" w:rsidRDefault="00000000">
            <w:pPr>
              <w:spacing w:before="0" w:after="0" w:line="240" w:lineRule="auto"/>
              <w:jc w:val="left"/>
              <w:rPr>
                <w:sz w:val="20"/>
                <w:szCs w:val="20"/>
              </w:rPr>
            </w:pPr>
            <w:r>
              <w:rPr>
                <w:color w:val="000000"/>
                <w:sz w:val="20"/>
                <w:szCs w:val="20"/>
              </w:rPr>
              <w:lastRenderedPageBreak/>
              <w:t>PEC1 - Plan de trabajo</w:t>
            </w:r>
          </w:p>
        </w:tc>
        <w:tc>
          <w:tcPr>
            <w:tcW w:w="127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7F6A7B1A" w14:textId="77777777" w:rsidR="00097466" w:rsidRDefault="00000000">
            <w:pPr>
              <w:spacing w:before="0" w:after="0" w:line="240" w:lineRule="auto"/>
              <w:jc w:val="center"/>
              <w:rPr>
                <w:sz w:val="20"/>
                <w:szCs w:val="20"/>
              </w:rPr>
            </w:pPr>
            <w:r>
              <w:rPr>
                <w:color w:val="000000"/>
                <w:sz w:val="20"/>
                <w:szCs w:val="20"/>
              </w:rPr>
              <w:t>04/03/26</w:t>
            </w:r>
          </w:p>
        </w:tc>
        <w:tc>
          <w:tcPr>
            <w:tcW w:w="439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330194FC" w14:textId="77777777" w:rsidR="00097466" w:rsidRDefault="00000000">
            <w:pPr>
              <w:spacing w:before="0" w:after="0" w:line="240" w:lineRule="auto"/>
              <w:jc w:val="left"/>
              <w:rPr>
                <w:sz w:val="20"/>
                <w:szCs w:val="20"/>
              </w:rPr>
            </w:pPr>
            <w:r>
              <w:rPr>
                <w:color w:val="000000"/>
                <w:sz w:val="20"/>
                <w:szCs w:val="20"/>
              </w:rPr>
              <w:t>Definición objetivos, hipótesis, cronograma</w:t>
            </w:r>
          </w:p>
        </w:tc>
        <w:tc>
          <w:tcPr>
            <w:tcW w:w="703"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5EBD656E" w14:textId="77777777" w:rsidR="00097466" w:rsidRDefault="00000000">
            <w:pPr>
              <w:spacing w:before="0" w:after="0" w:line="240" w:lineRule="auto"/>
              <w:jc w:val="left"/>
              <w:rPr>
                <w:sz w:val="20"/>
                <w:szCs w:val="20"/>
              </w:rPr>
            </w:pPr>
            <w:r>
              <w:rPr>
                <w:color w:val="000000"/>
                <w:sz w:val="20"/>
                <w:szCs w:val="20"/>
              </w:rPr>
              <w:t>PEC1</w:t>
            </w:r>
          </w:p>
        </w:tc>
      </w:tr>
      <w:tr w:rsidR="00097466" w14:paraId="3E418341" w14:textId="77777777">
        <w:trPr>
          <w:trHeight w:val="165"/>
          <w:jc w:val="center"/>
        </w:trPr>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60" w:type="dxa"/>
              <w:bottom w:w="60" w:type="dxa"/>
              <w:right w:w="60" w:type="dxa"/>
            </w:tcMar>
            <w:vAlign w:val="center"/>
          </w:tcPr>
          <w:p w14:paraId="642370B3" w14:textId="77777777" w:rsidR="00097466" w:rsidRDefault="00000000">
            <w:pPr>
              <w:spacing w:before="0" w:after="0" w:line="240" w:lineRule="auto"/>
              <w:jc w:val="left"/>
              <w:rPr>
                <w:sz w:val="20"/>
                <w:szCs w:val="20"/>
              </w:rPr>
            </w:pPr>
            <w:r>
              <w:rPr>
                <w:color w:val="000000"/>
                <w:sz w:val="20"/>
                <w:szCs w:val="20"/>
              </w:rPr>
              <w:t>PEC2 - Estado del arte</w:t>
            </w:r>
          </w:p>
        </w:tc>
        <w:tc>
          <w:tcPr>
            <w:tcW w:w="127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3EA7657C" w14:textId="77777777" w:rsidR="00097466" w:rsidRDefault="00000000">
            <w:pPr>
              <w:spacing w:before="0" w:after="0" w:line="240" w:lineRule="auto"/>
              <w:jc w:val="center"/>
              <w:rPr>
                <w:sz w:val="20"/>
                <w:szCs w:val="20"/>
              </w:rPr>
            </w:pPr>
            <w:r>
              <w:rPr>
                <w:color w:val="000000"/>
                <w:sz w:val="20"/>
                <w:szCs w:val="20"/>
              </w:rPr>
              <w:t>08/04/26</w:t>
            </w:r>
          </w:p>
        </w:tc>
        <w:tc>
          <w:tcPr>
            <w:tcW w:w="439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36ED1373" w14:textId="77777777" w:rsidR="00097466" w:rsidRDefault="00000000">
            <w:pPr>
              <w:spacing w:before="0" w:after="0" w:line="240" w:lineRule="auto"/>
              <w:jc w:val="left"/>
              <w:rPr>
                <w:sz w:val="20"/>
                <w:szCs w:val="20"/>
              </w:rPr>
            </w:pPr>
            <w:r>
              <w:rPr>
                <w:color w:val="000000"/>
                <w:sz w:val="20"/>
                <w:szCs w:val="20"/>
              </w:rPr>
              <w:t>Revisión bibliográfica completa</w:t>
            </w:r>
          </w:p>
        </w:tc>
        <w:tc>
          <w:tcPr>
            <w:tcW w:w="703"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400FEE9B" w14:textId="77777777" w:rsidR="00097466" w:rsidRDefault="00000000">
            <w:pPr>
              <w:spacing w:before="0" w:after="0" w:line="240" w:lineRule="auto"/>
              <w:jc w:val="left"/>
              <w:rPr>
                <w:sz w:val="20"/>
                <w:szCs w:val="20"/>
              </w:rPr>
            </w:pPr>
            <w:r>
              <w:rPr>
                <w:color w:val="000000"/>
                <w:sz w:val="20"/>
                <w:szCs w:val="20"/>
              </w:rPr>
              <w:t>PEC2</w:t>
            </w:r>
          </w:p>
        </w:tc>
      </w:tr>
      <w:tr w:rsidR="00097466" w14:paraId="16D720AF" w14:textId="77777777">
        <w:trPr>
          <w:trHeight w:val="165"/>
          <w:jc w:val="center"/>
        </w:trPr>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60" w:type="dxa"/>
              <w:bottom w:w="60" w:type="dxa"/>
              <w:right w:w="60" w:type="dxa"/>
            </w:tcMar>
            <w:vAlign w:val="center"/>
          </w:tcPr>
          <w:p w14:paraId="7255315F" w14:textId="77777777" w:rsidR="00097466" w:rsidRDefault="00000000">
            <w:pPr>
              <w:spacing w:before="0" w:after="0" w:line="240" w:lineRule="auto"/>
              <w:jc w:val="left"/>
              <w:rPr>
                <w:sz w:val="20"/>
                <w:szCs w:val="20"/>
              </w:rPr>
            </w:pPr>
            <w:r>
              <w:rPr>
                <w:color w:val="000000"/>
                <w:sz w:val="20"/>
                <w:szCs w:val="20"/>
              </w:rPr>
              <w:t>PEC3 - Implementación</w:t>
            </w:r>
          </w:p>
        </w:tc>
        <w:tc>
          <w:tcPr>
            <w:tcW w:w="127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495404C5" w14:textId="77777777" w:rsidR="00097466" w:rsidRDefault="00000000">
            <w:pPr>
              <w:spacing w:before="0" w:after="0" w:line="240" w:lineRule="auto"/>
              <w:jc w:val="center"/>
              <w:rPr>
                <w:sz w:val="20"/>
                <w:szCs w:val="20"/>
              </w:rPr>
            </w:pPr>
            <w:r>
              <w:rPr>
                <w:color w:val="000000"/>
                <w:sz w:val="20"/>
                <w:szCs w:val="20"/>
              </w:rPr>
              <w:t>06/05/26</w:t>
            </w:r>
          </w:p>
        </w:tc>
        <w:tc>
          <w:tcPr>
            <w:tcW w:w="439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3747CBC3" w14:textId="37195D66" w:rsidR="00097466" w:rsidRDefault="00000000">
            <w:pPr>
              <w:spacing w:before="0" w:after="0" w:line="240" w:lineRule="auto"/>
              <w:jc w:val="left"/>
              <w:rPr>
                <w:sz w:val="20"/>
                <w:szCs w:val="20"/>
              </w:rPr>
            </w:pPr>
            <w:r>
              <w:rPr>
                <w:color w:val="000000"/>
                <w:sz w:val="20"/>
                <w:szCs w:val="20"/>
              </w:rPr>
              <w:t xml:space="preserve">Expresión génica + Asociación de la firma de interferón tipo I con índices de actividad y biomarcadores séricos + integración </w:t>
            </w:r>
            <w:proofErr w:type="spellStart"/>
            <w:r>
              <w:rPr>
                <w:color w:val="000000"/>
                <w:sz w:val="20"/>
                <w:szCs w:val="20"/>
              </w:rPr>
              <w:t>multiómica</w:t>
            </w:r>
            <w:proofErr w:type="spellEnd"/>
            <w:r w:rsidR="00DA1C00">
              <w:rPr>
                <w:color w:val="000000"/>
                <w:sz w:val="20"/>
                <w:szCs w:val="20"/>
              </w:rPr>
              <w:t xml:space="preserve"> + penalización LASSO</w:t>
            </w:r>
          </w:p>
        </w:tc>
        <w:tc>
          <w:tcPr>
            <w:tcW w:w="703"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5860DBA5" w14:textId="77777777" w:rsidR="00097466" w:rsidRDefault="00000000">
            <w:pPr>
              <w:spacing w:before="0" w:after="0" w:line="240" w:lineRule="auto"/>
              <w:jc w:val="left"/>
              <w:rPr>
                <w:sz w:val="20"/>
                <w:szCs w:val="20"/>
              </w:rPr>
            </w:pPr>
            <w:r>
              <w:rPr>
                <w:color w:val="000000"/>
                <w:sz w:val="20"/>
                <w:szCs w:val="20"/>
              </w:rPr>
              <w:t>PEC3</w:t>
            </w:r>
          </w:p>
        </w:tc>
      </w:tr>
      <w:tr w:rsidR="00097466" w14:paraId="00D2B6C9" w14:textId="77777777">
        <w:trPr>
          <w:trHeight w:val="165"/>
          <w:jc w:val="center"/>
        </w:trPr>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60" w:type="dxa"/>
              <w:bottom w:w="60" w:type="dxa"/>
              <w:right w:w="60" w:type="dxa"/>
            </w:tcMar>
            <w:vAlign w:val="center"/>
          </w:tcPr>
          <w:p w14:paraId="560DA7F3" w14:textId="77777777" w:rsidR="00097466" w:rsidRDefault="00000000">
            <w:pPr>
              <w:spacing w:before="0" w:after="0" w:line="240" w:lineRule="auto"/>
              <w:jc w:val="left"/>
              <w:rPr>
                <w:sz w:val="20"/>
                <w:szCs w:val="20"/>
              </w:rPr>
            </w:pPr>
            <w:r>
              <w:rPr>
                <w:color w:val="000000"/>
                <w:sz w:val="20"/>
                <w:szCs w:val="20"/>
              </w:rPr>
              <w:t>PEC4 - Memoria</w:t>
            </w:r>
          </w:p>
        </w:tc>
        <w:tc>
          <w:tcPr>
            <w:tcW w:w="127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64F0EEF7" w14:textId="77777777" w:rsidR="00097466" w:rsidRDefault="00000000">
            <w:pPr>
              <w:spacing w:before="0" w:after="0" w:line="240" w:lineRule="auto"/>
              <w:jc w:val="center"/>
              <w:rPr>
                <w:sz w:val="20"/>
                <w:szCs w:val="20"/>
              </w:rPr>
            </w:pPr>
            <w:r>
              <w:rPr>
                <w:color w:val="000000"/>
                <w:sz w:val="20"/>
                <w:szCs w:val="20"/>
              </w:rPr>
              <w:t>03/06/26</w:t>
            </w:r>
          </w:p>
        </w:tc>
        <w:tc>
          <w:tcPr>
            <w:tcW w:w="439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0A0C63D5" w14:textId="77777777" w:rsidR="00097466" w:rsidRDefault="00000000">
            <w:pPr>
              <w:spacing w:before="0" w:after="0" w:line="240" w:lineRule="auto"/>
              <w:jc w:val="left"/>
              <w:rPr>
                <w:sz w:val="20"/>
                <w:szCs w:val="20"/>
              </w:rPr>
            </w:pPr>
            <w:r>
              <w:rPr>
                <w:color w:val="000000"/>
                <w:sz w:val="20"/>
                <w:szCs w:val="20"/>
              </w:rPr>
              <w:t>Memoria final</w:t>
            </w:r>
          </w:p>
        </w:tc>
        <w:tc>
          <w:tcPr>
            <w:tcW w:w="703"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185E9DA6" w14:textId="77777777" w:rsidR="00097466" w:rsidRDefault="00000000">
            <w:pPr>
              <w:spacing w:before="0" w:after="0" w:line="240" w:lineRule="auto"/>
              <w:jc w:val="left"/>
              <w:rPr>
                <w:sz w:val="20"/>
                <w:szCs w:val="20"/>
              </w:rPr>
            </w:pPr>
            <w:r>
              <w:rPr>
                <w:color w:val="000000"/>
                <w:sz w:val="20"/>
                <w:szCs w:val="20"/>
              </w:rPr>
              <w:t>PEC4</w:t>
            </w:r>
          </w:p>
        </w:tc>
      </w:tr>
      <w:tr w:rsidR="00097466" w14:paraId="654098FF" w14:textId="77777777">
        <w:trPr>
          <w:trHeight w:val="165"/>
          <w:jc w:val="center"/>
        </w:trPr>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60" w:type="dxa"/>
              <w:bottom w:w="60" w:type="dxa"/>
              <w:right w:w="60" w:type="dxa"/>
            </w:tcMar>
            <w:vAlign w:val="center"/>
          </w:tcPr>
          <w:p w14:paraId="2EBAE974" w14:textId="77777777" w:rsidR="00097466" w:rsidRDefault="00000000">
            <w:pPr>
              <w:spacing w:before="0" w:after="0" w:line="240" w:lineRule="auto"/>
              <w:jc w:val="left"/>
              <w:rPr>
                <w:sz w:val="20"/>
                <w:szCs w:val="20"/>
              </w:rPr>
            </w:pPr>
            <w:r>
              <w:rPr>
                <w:color w:val="000000"/>
                <w:sz w:val="20"/>
                <w:szCs w:val="20"/>
              </w:rPr>
              <w:t>PEC5 - Presentación</w:t>
            </w:r>
          </w:p>
        </w:tc>
        <w:tc>
          <w:tcPr>
            <w:tcW w:w="127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539AD5F7" w14:textId="77777777" w:rsidR="00097466" w:rsidRDefault="00000000">
            <w:pPr>
              <w:spacing w:before="0" w:after="0" w:line="240" w:lineRule="auto"/>
              <w:jc w:val="center"/>
              <w:rPr>
                <w:sz w:val="20"/>
                <w:szCs w:val="20"/>
              </w:rPr>
            </w:pPr>
            <w:r>
              <w:rPr>
                <w:color w:val="000000"/>
                <w:sz w:val="20"/>
                <w:szCs w:val="20"/>
              </w:rPr>
              <w:t>10/06/26</w:t>
            </w:r>
          </w:p>
        </w:tc>
        <w:tc>
          <w:tcPr>
            <w:tcW w:w="439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760F4D5D" w14:textId="77777777" w:rsidR="00097466" w:rsidRDefault="00000000">
            <w:pPr>
              <w:spacing w:before="0" w:after="0" w:line="240" w:lineRule="auto"/>
              <w:jc w:val="left"/>
              <w:rPr>
                <w:sz w:val="20"/>
                <w:szCs w:val="20"/>
              </w:rPr>
            </w:pPr>
            <w:r>
              <w:rPr>
                <w:color w:val="000000"/>
                <w:sz w:val="20"/>
                <w:szCs w:val="20"/>
              </w:rPr>
              <w:t>Presentación + vídeo defensa</w:t>
            </w:r>
          </w:p>
        </w:tc>
        <w:tc>
          <w:tcPr>
            <w:tcW w:w="703"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4417EF35" w14:textId="77777777" w:rsidR="00097466" w:rsidRDefault="00000000">
            <w:pPr>
              <w:spacing w:before="0" w:after="0" w:line="240" w:lineRule="auto"/>
              <w:jc w:val="left"/>
              <w:rPr>
                <w:sz w:val="20"/>
                <w:szCs w:val="20"/>
              </w:rPr>
            </w:pPr>
            <w:r>
              <w:rPr>
                <w:color w:val="000000"/>
                <w:sz w:val="20"/>
                <w:szCs w:val="20"/>
              </w:rPr>
              <w:t>PEC5</w:t>
            </w:r>
          </w:p>
        </w:tc>
      </w:tr>
      <w:tr w:rsidR="00097466" w14:paraId="4DB4957A" w14:textId="77777777">
        <w:trPr>
          <w:trHeight w:val="165"/>
          <w:jc w:val="center"/>
        </w:trPr>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60" w:type="dxa"/>
              <w:bottom w:w="60" w:type="dxa"/>
              <w:right w:w="60" w:type="dxa"/>
            </w:tcMar>
            <w:vAlign w:val="center"/>
          </w:tcPr>
          <w:p w14:paraId="7A3A592E" w14:textId="77777777" w:rsidR="00097466" w:rsidRDefault="00000000">
            <w:pPr>
              <w:spacing w:before="0" w:after="0" w:line="240" w:lineRule="auto"/>
              <w:jc w:val="left"/>
              <w:rPr>
                <w:sz w:val="20"/>
                <w:szCs w:val="20"/>
              </w:rPr>
            </w:pPr>
            <w:r>
              <w:rPr>
                <w:color w:val="000000"/>
                <w:sz w:val="20"/>
                <w:szCs w:val="20"/>
              </w:rPr>
              <w:t>Defensa final</w:t>
            </w:r>
          </w:p>
        </w:tc>
        <w:tc>
          <w:tcPr>
            <w:tcW w:w="127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2B7C4527" w14:textId="77777777" w:rsidR="00097466" w:rsidRDefault="00000000">
            <w:pPr>
              <w:spacing w:before="0" w:after="0" w:line="240" w:lineRule="auto"/>
              <w:jc w:val="center"/>
              <w:rPr>
                <w:sz w:val="20"/>
                <w:szCs w:val="20"/>
              </w:rPr>
            </w:pPr>
            <w:r>
              <w:rPr>
                <w:color w:val="000000"/>
                <w:sz w:val="20"/>
                <w:szCs w:val="20"/>
              </w:rPr>
              <w:t>26/06/26</w:t>
            </w:r>
          </w:p>
        </w:tc>
        <w:tc>
          <w:tcPr>
            <w:tcW w:w="439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5975C45B" w14:textId="77777777" w:rsidR="00097466" w:rsidRDefault="00000000">
            <w:pPr>
              <w:spacing w:before="0" w:after="0" w:line="240" w:lineRule="auto"/>
              <w:jc w:val="left"/>
              <w:rPr>
                <w:sz w:val="20"/>
                <w:szCs w:val="20"/>
              </w:rPr>
            </w:pPr>
            <w:r>
              <w:rPr>
                <w:color w:val="000000"/>
                <w:sz w:val="20"/>
                <w:szCs w:val="20"/>
              </w:rPr>
              <w:t>Exposición oral</w:t>
            </w:r>
          </w:p>
        </w:tc>
        <w:tc>
          <w:tcPr>
            <w:tcW w:w="703"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15FAB313" w14:textId="77777777" w:rsidR="00097466" w:rsidRDefault="00000000">
            <w:pPr>
              <w:spacing w:before="0" w:after="0" w:line="240" w:lineRule="auto"/>
              <w:jc w:val="left"/>
              <w:rPr>
                <w:sz w:val="20"/>
                <w:szCs w:val="20"/>
              </w:rPr>
            </w:pPr>
            <w:r>
              <w:rPr>
                <w:color w:val="000000"/>
                <w:sz w:val="20"/>
                <w:szCs w:val="20"/>
              </w:rPr>
              <w:t>PEC5b</w:t>
            </w:r>
          </w:p>
        </w:tc>
      </w:tr>
      <w:tr w:rsidR="00097466" w14:paraId="21E0F330" w14:textId="77777777">
        <w:trPr>
          <w:trHeight w:val="165"/>
          <w:jc w:val="center"/>
        </w:trPr>
        <w:tc>
          <w:tcPr>
            <w:tcW w:w="21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60" w:type="dxa"/>
              <w:bottom w:w="60" w:type="dxa"/>
              <w:right w:w="60" w:type="dxa"/>
            </w:tcMar>
            <w:vAlign w:val="center"/>
          </w:tcPr>
          <w:p w14:paraId="23D73E4B" w14:textId="77777777" w:rsidR="00097466" w:rsidRDefault="00000000">
            <w:pPr>
              <w:spacing w:before="0" w:after="0" w:line="240" w:lineRule="auto"/>
              <w:jc w:val="left"/>
              <w:rPr>
                <w:sz w:val="20"/>
                <w:szCs w:val="20"/>
              </w:rPr>
            </w:pPr>
            <w:r>
              <w:rPr>
                <w:color w:val="000000"/>
                <w:sz w:val="20"/>
                <w:szCs w:val="20"/>
              </w:rPr>
              <w:t>Fin proyecto</w:t>
            </w:r>
          </w:p>
        </w:tc>
        <w:tc>
          <w:tcPr>
            <w:tcW w:w="127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137D75FA" w14:textId="77777777" w:rsidR="00097466" w:rsidRDefault="00000000">
            <w:pPr>
              <w:spacing w:before="0" w:after="0" w:line="240" w:lineRule="auto"/>
              <w:jc w:val="center"/>
              <w:rPr>
                <w:sz w:val="20"/>
                <w:szCs w:val="20"/>
              </w:rPr>
            </w:pPr>
            <w:r>
              <w:rPr>
                <w:color w:val="000000"/>
                <w:sz w:val="20"/>
                <w:szCs w:val="20"/>
              </w:rPr>
              <w:t>30/06/26</w:t>
            </w:r>
          </w:p>
        </w:tc>
        <w:tc>
          <w:tcPr>
            <w:tcW w:w="4395"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4F23AA2C" w14:textId="77777777" w:rsidR="00097466" w:rsidRDefault="00000000">
            <w:pPr>
              <w:spacing w:before="0" w:after="0" w:line="240" w:lineRule="auto"/>
              <w:jc w:val="left"/>
              <w:rPr>
                <w:sz w:val="20"/>
                <w:szCs w:val="20"/>
              </w:rPr>
            </w:pPr>
            <w:r>
              <w:rPr>
                <w:sz w:val="20"/>
                <w:szCs w:val="20"/>
              </w:rPr>
              <w:t>-</w:t>
            </w:r>
          </w:p>
        </w:tc>
        <w:tc>
          <w:tcPr>
            <w:tcW w:w="703" w:type="dxa"/>
            <w:tcBorders>
              <w:top w:val="single" w:sz="4" w:space="0" w:color="BFBFBF"/>
              <w:left w:val="single" w:sz="4" w:space="0" w:color="BFBFBF"/>
              <w:bottom w:val="single" w:sz="4" w:space="0" w:color="BFBFBF"/>
              <w:right w:val="single" w:sz="4" w:space="0" w:color="BFBFBF"/>
            </w:tcBorders>
            <w:tcMar>
              <w:top w:w="60" w:type="dxa"/>
              <w:left w:w="60" w:type="dxa"/>
              <w:bottom w:w="60" w:type="dxa"/>
              <w:right w:w="60" w:type="dxa"/>
            </w:tcMar>
            <w:vAlign w:val="center"/>
          </w:tcPr>
          <w:p w14:paraId="26443639" w14:textId="77777777" w:rsidR="00097466" w:rsidRDefault="00000000" w:rsidP="00720356">
            <w:pPr>
              <w:keepNext/>
              <w:spacing w:before="0" w:after="0" w:line="240" w:lineRule="auto"/>
              <w:jc w:val="left"/>
              <w:rPr>
                <w:sz w:val="20"/>
                <w:szCs w:val="20"/>
              </w:rPr>
            </w:pPr>
            <w:r>
              <w:rPr>
                <w:sz w:val="20"/>
                <w:szCs w:val="20"/>
              </w:rPr>
              <w:t>-</w:t>
            </w:r>
          </w:p>
        </w:tc>
      </w:tr>
    </w:tbl>
    <w:p w14:paraId="46450CB1" w14:textId="3B036134" w:rsidR="00720356" w:rsidRPr="00720356" w:rsidRDefault="00720356" w:rsidP="00720356">
      <w:pPr>
        <w:pStyle w:val="Sinespaciado"/>
        <w:keepNext/>
      </w:pPr>
      <w:bookmarkStart w:id="54" w:name="_Toc229235973"/>
      <w:bookmarkStart w:id="55" w:name="_Toc230792239"/>
      <w:r>
        <w:t xml:space="preserve">Tabla </w:t>
      </w:r>
      <w:fldSimple w:instr=" SEQ Tabla \* ARABIC ">
        <w:r w:rsidR="00716AEA">
          <w:rPr>
            <w:noProof/>
          </w:rPr>
          <w:t>2</w:t>
        </w:r>
      </w:fldSimple>
      <w:r>
        <w:t xml:space="preserve">. </w:t>
      </w:r>
      <w:r w:rsidRPr="00F104D4">
        <w:t>Hitos principales del proyecto y fechas críticas</w:t>
      </w:r>
      <w:bookmarkEnd w:id="54"/>
      <w:bookmarkEnd w:id="55"/>
    </w:p>
    <w:p w14:paraId="62721D35" w14:textId="77777777" w:rsidR="00097466" w:rsidRDefault="00000000">
      <w:pPr>
        <w:rPr>
          <w:b/>
          <w:bCs/>
        </w:rPr>
      </w:pPr>
      <w:r>
        <w:rPr>
          <w:b/>
          <w:bCs/>
        </w:rPr>
        <w:t>Bloque PEC1</w:t>
      </w:r>
      <w:r>
        <w:t xml:space="preserve"> - </w:t>
      </w:r>
      <w:r>
        <w:rPr>
          <w:b/>
          <w:bCs/>
        </w:rPr>
        <w:t>Definición y plan de trabajo (18 feb - 4 mar 2026)</w:t>
      </w:r>
    </w:p>
    <w:p w14:paraId="4ED76EC4" w14:textId="77777777" w:rsidR="00097466" w:rsidRDefault="00000000">
      <w:pPr>
        <w:numPr>
          <w:ilvl w:val="0"/>
          <w:numId w:val="12"/>
        </w:numPr>
        <w:pBdr>
          <w:top w:val="nil"/>
          <w:left w:val="nil"/>
          <w:bottom w:val="nil"/>
          <w:right w:val="nil"/>
          <w:between w:val="nil"/>
        </w:pBdr>
        <w:spacing w:after="0"/>
        <w:rPr>
          <w:color w:val="000000"/>
        </w:rPr>
      </w:pPr>
      <w:r>
        <w:rPr>
          <w:color w:val="000000"/>
        </w:rPr>
        <w:t xml:space="preserve">Tarea 1.1. Revisión de los materiales del aula y definición de las </w:t>
      </w:r>
      <w:r>
        <w:rPr>
          <w:b/>
          <w:bCs/>
          <w:color w:val="000000"/>
        </w:rPr>
        <w:t>hipótesis de trabajo</w:t>
      </w:r>
      <w:r>
        <w:rPr>
          <w:color w:val="000000"/>
        </w:rPr>
        <w:t>.</w:t>
      </w:r>
    </w:p>
    <w:p w14:paraId="39C1405A" w14:textId="77777777" w:rsidR="00097466" w:rsidRDefault="00000000">
      <w:pPr>
        <w:numPr>
          <w:ilvl w:val="0"/>
          <w:numId w:val="12"/>
        </w:numPr>
        <w:pBdr>
          <w:top w:val="nil"/>
          <w:left w:val="nil"/>
          <w:bottom w:val="nil"/>
          <w:right w:val="nil"/>
          <w:between w:val="nil"/>
        </w:pBdr>
        <w:spacing w:before="0"/>
        <w:rPr>
          <w:color w:val="000000"/>
        </w:rPr>
      </w:pPr>
      <w:r>
        <w:rPr>
          <w:color w:val="000000"/>
        </w:rPr>
        <w:t xml:space="preserve">Tarea 1.2. </w:t>
      </w:r>
      <w:r>
        <w:rPr>
          <w:b/>
          <w:bCs/>
          <w:color w:val="000000"/>
        </w:rPr>
        <w:t>Redacción del Plan de Trabajo</w:t>
      </w:r>
      <w:r>
        <w:rPr>
          <w:color w:val="000000"/>
        </w:rPr>
        <w:t>, incluyendo objetivos, cronograma y análisis de riesgos. (Entrega PEC1: 4 marzo)</w:t>
      </w:r>
    </w:p>
    <w:p w14:paraId="45CE8CCB" w14:textId="77777777" w:rsidR="00097466" w:rsidRDefault="00000000">
      <w:pPr>
        <w:rPr>
          <w:b/>
          <w:bCs/>
        </w:rPr>
      </w:pPr>
      <w:r>
        <w:rPr>
          <w:b/>
          <w:bCs/>
        </w:rPr>
        <w:t>Bloque PEC2 - Estado del arte (5 mar - 8 abr 2026)</w:t>
      </w:r>
    </w:p>
    <w:p w14:paraId="1FFC2842" w14:textId="77777777" w:rsidR="00097466" w:rsidRDefault="00000000">
      <w:pPr>
        <w:numPr>
          <w:ilvl w:val="0"/>
          <w:numId w:val="13"/>
        </w:numPr>
        <w:pBdr>
          <w:top w:val="nil"/>
          <w:left w:val="nil"/>
          <w:bottom w:val="nil"/>
          <w:right w:val="nil"/>
          <w:between w:val="nil"/>
        </w:pBdr>
        <w:spacing w:after="0"/>
        <w:rPr>
          <w:color w:val="000000"/>
        </w:rPr>
      </w:pPr>
      <w:r>
        <w:rPr>
          <w:color w:val="000000"/>
        </w:rPr>
        <w:t xml:space="preserve">Tarea 2.1. </w:t>
      </w:r>
      <w:r>
        <w:rPr>
          <w:b/>
          <w:bCs/>
          <w:color w:val="000000"/>
        </w:rPr>
        <w:t>Revisión bibliográfica</w:t>
      </w:r>
      <w:r>
        <w:rPr>
          <w:color w:val="000000"/>
        </w:rPr>
        <w:t xml:space="preserve"> sistemática sobre LES, firma de interferón tipo I, ISGs, biomarcadores séricos y métodos de integración multi-</w:t>
      </w:r>
      <w:proofErr w:type="spellStart"/>
      <w:r>
        <w:rPr>
          <w:color w:val="000000"/>
        </w:rPr>
        <w:t>ómica</w:t>
      </w:r>
      <w:proofErr w:type="spellEnd"/>
      <w:r>
        <w:rPr>
          <w:color w:val="000000"/>
        </w:rPr>
        <w:t xml:space="preserve"> (MOFA, DIABLO).</w:t>
      </w:r>
    </w:p>
    <w:p w14:paraId="27A11DA8" w14:textId="77777777" w:rsidR="00097466" w:rsidRDefault="00000000">
      <w:pPr>
        <w:numPr>
          <w:ilvl w:val="0"/>
          <w:numId w:val="13"/>
        </w:numPr>
        <w:pBdr>
          <w:top w:val="nil"/>
          <w:left w:val="nil"/>
          <w:bottom w:val="nil"/>
          <w:right w:val="nil"/>
          <w:between w:val="nil"/>
        </w:pBdr>
        <w:spacing w:before="0"/>
        <w:rPr>
          <w:color w:val="000000"/>
        </w:rPr>
      </w:pPr>
      <w:r>
        <w:rPr>
          <w:color w:val="000000"/>
        </w:rPr>
        <w:t xml:space="preserve">Tarea 2.2. </w:t>
      </w:r>
      <w:r>
        <w:rPr>
          <w:b/>
          <w:bCs/>
          <w:color w:val="000000"/>
        </w:rPr>
        <w:t>Redacción</w:t>
      </w:r>
      <w:r>
        <w:rPr>
          <w:color w:val="000000"/>
        </w:rPr>
        <w:t xml:space="preserve"> </w:t>
      </w:r>
      <w:r>
        <w:rPr>
          <w:b/>
          <w:bCs/>
          <w:color w:val="000000"/>
        </w:rPr>
        <w:t>del capítulo Estado del arte</w:t>
      </w:r>
      <w:r>
        <w:rPr>
          <w:color w:val="000000"/>
        </w:rPr>
        <w:t>. (Entrega PEC2: 8 abril)</w:t>
      </w:r>
    </w:p>
    <w:p w14:paraId="6AFB79EA" w14:textId="77777777" w:rsidR="00097466" w:rsidRDefault="00000000">
      <w:pPr>
        <w:rPr>
          <w:b/>
          <w:bCs/>
        </w:rPr>
      </w:pPr>
      <w:r>
        <w:rPr>
          <w:b/>
          <w:bCs/>
        </w:rPr>
        <w:t xml:space="preserve">Bloque PEC3 - Implementación analítica (9 abr - 6 </w:t>
      </w:r>
      <w:proofErr w:type="spellStart"/>
      <w:r>
        <w:rPr>
          <w:b/>
          <w:bCs/>
        </w:rPr>
        <w:t>may</w:t>
      </w:r>
      <w:proofErr w:type="spellEnd"/>
      <w:r>
        <w:rPr>
          <w:b/>
          <w:bCs/>
        </w:rPr>
        <w:t xml:space="preserve"> 2026)</w:t>
      </w:r>
    </w:p>
    <w:p w14:paraId="4C80F593" w14:textId="77777777" w:rsidR="00097466" w:rsidRDefault="00000000">
      <w:pPr>
        <w:numPr>
          <w:ilvl w:val="0"/>
          <w:numId w:val="2"/>
        </w:numPr>
        <w:pBdr>
          <w:top w:val="nil"/>
          <w:left w:val="nil"/>
          <w:bottom w:val="nil"/>
          <w:right w:val="nil"/>
          <w:between w:val="nil"/>
        </w:pBdr>
        <w:spacing w:after="0"/>
        <w:rPr>
          <w:color w:val="000000"/>
        </w:rPr>
      </w:pPr>
      <w:r>
        <w:rPr>
          <w:color w:val="000000"/>
        </w:rPr>
        <w:t xml:space="preserve">Tarea 3.1. Comprensión y </w:t>
      </w:r>
      <w:r>
        <w:rPr>
          <w:b/>
          <w:bCs/>
          <w:color w:val="000000"/>
        </w:rPr>
        <w:t xml:space="preserve">documentación del </w:t>
      </w:r>
      <w:proofErr w:type="spellStart"/>
      <w:r>
        <w:rPr>
          <w:b/>
          <w:bCs/>
          <w:color w:val="000000"/>
        </w:rPr>
        <w:t>datase</w:t>
      </w:r>
      <w:r>
        <w:rPr>
          <w:color w:val="000000"/>
        </w:rPr>
        <w:t>t</w:t>
      </w:r>
      <w:proofErr w:type="spellEnd"/>
      <w:r>
        <w:rPr>
          <w:color w:val="000000"/>
        </w:rPr>
        <w:t xml:space="preserve">: exploración de los 72 ISGs cuantificados por </w:t>
      </w:r>
      <w:proofErr w:type="spellStart"/>
      <w:r>
        <w:rPr>
          <w:color w:val="000000"/>
        </w:rPr>
        <w:t>NanoString</w:t>
      </w:r>
      <w:proofErr w:type="spellEnd"/>
      <w:r>
        <w:rPr>
          <w:color w:val="000000"/>
        </w:rPr>
        <w:t xml:space="preserve"> </w:t>
      </w:r>
      <w:proofErr w:type="spellStart"/>
      <w:r>
        <w:rPr>
          <w:color w:val="000000"/>
        </w:rPr>
        <w:t>nCounter</w:t>
      </w:r>
      <w:proofErr w:type="spellEnd"/>
      <w:r>
        <w:rPr>
          <w:color w:val="000000"/>
        </w:rPr>
        <w:t>, variables clínicas (SLEDAI-2K, SLE-DAS, LLDAS, DORIS) y panel proteómico sérico. Documentación de las características demográficas y clínicas de la cohorte. Cálculo de los cinco índices clínicos validados en los 252 pacientes con LES: SLEDAI-2K, SLICC-SDI, SLE-DAS, LLDAS y DORIS, siguiendo las fórmulas y criterios publicados.</w:t>
      </w:r>
    </w:p>
    <w:p w14:paraId="0A59F414" w14:textId="77777777" w:rsidR="00097466" w:rsidRDefault="00000000">
      <w:pPr>
        <w:numPr>
          <w:ilvl w:val="0"/>
          <w:numId w:val="14"/>
        </w:numPr>
        <w:pBdr>
          <w:top w:val="nil"/>
          <w:left w:val="nil"/>
          <w:bottom w:val="nil"/>
          <w:right w:val="nil"/>
          <w:between w:val="nil"/>
        </w:pBdr>
        <w:spacing w:before="0" w:after="0"/>
        <w:rPr>
          <w:color w:val="000000"/>
        </w:rPr>
      </w:pPr>
      <w:r>
        <w:rPr>
          <w:color w:val="000000"/>
        </w:rPr>
        <w:t xml:space="preserve">Tarea 3.2. </w:t>
      </w:r>
      <w:r>
        <w:rPr>
          <w:b/>
          <w:bCs/>
          <w:color w:val="000000"/>
        </w:rPr>
        <w:t>Preprocesamiento y control de calidad</w:t>
      </w:r>
      <w:r>
        <w:rPr>
          <w:color w:val="000000"/>
        </w:rPr>
        <w:t xml:space="preserve">: evaluación de controles internos </w:t>
      </w:r>
      <w:proofErr w:type="spellStart"/>
      <w:r>
        <w:rPr>
          <w:color w:val="000000"/>
        </w:rPr>
        <w:t>NanoString</w:t>
      </w:r>
      <w:proofErr w:type="spellEnd"/>
      <w:r>
        <w:rPr>
          <w:color w:val="000000"/>
        </w:rPr>
        <w:t xml:space="preserve"> (positivos, negativos y </w:t>
      </w:r>
      <w:proofErr w:type="spellStart"/>
      <w:r>
        <w:rPr>
          <w:color w:val="000000"/>
        </w:rPr>
        <w:t>housekeeping</w:t>
      </w:r>
      <w:proofErr w:type="spellEnd"/>
      <w:r>
        <w:rPr>
          <w:color w:val="000000"/>
        </w:rPr>
        <w:t>), corrección de ruido de fondo (</w:t>
      </w:r>
      <w:proofErr w:type="spellStart"/>
      <w:r>
        <w:rPr>
          <w:color w:val="000000"/>
        </w:rPr>
        <w:t>background</w:t>
      </w:r>
      <w:proofErr w:type="spellEnd"/>
      <w:r>
        <w:rPr>
          <w:color w:val="000000"/>
        </w:rPr>
        <w:t xml:space="preserve"> </w:t>
      </w:r>
      <w:proofErr w:type="spellStart"/>
      <w:r>
        <w:rPr>
          <w:color w:val="000000"/>
        </w:rPr>
        <w:t>thresholding</w:t>
      </w:r>
      <w:proofErr w:type="spellEnd"/>
      <w:r>
        <w:rPr>
          <w:color w:val="000000"/>
        </w:rPr>
        <w:t>) y normalización en dos etapas (técnica y biológica).</w:t>
      </w:r>
    </w:p>
    <w:p w14:paraId="37F5576B" w14:textId="77777777" w:rsidR="00097466" w:rsidRDefault="00000000">
      <w:pPr>
        <w:numPr>
          <w:ilvl w:val="0"/>
          <w:numId w:val="14"/>
        </w:numPr>
        <w:pBdr>
          <w:top w:val="nil"/>
          <w:left w:val="nil"/>
          <w:bottom w:val="nil"/>
          <w:right w:val="nil"/>
          <w:between w:val="nil"/>
        </w:pBdr>
        <w:spacing w:before="0" w:after="0"/>
        <w:rPr>
          <w:color w:val="000000"/>
        </w:rPr>
      </w:pPr>
      <w:r>
        <w:rPr>
          <w:color w:val="000000"/>
        </w:rPr>
        <w:t xml:space="preserve">Tarea 3.3. </w:t>
      </w:r>
      <w:r>
        <w:rPr>
          <w:b/>
          <w:bCs/>
          <w:color w:val="000000"/>
        </w:rPr>
        <w:t>Cálculo del</w:t>
      </w:r>
      <w:r>
        <w:rPr>
          <w:color w:val="000000"/>
        </w:rPr>
        <w:t xml:space="preserve"> </w:t>
      </w:r>
      <w:r>
        <w:rPr>
          <w:b/>
          <w:bCs/>
          <w:color w:val="000000"/>
        </w:rPr>
        <w:t>IFN-score y clasificación IFN-</w:t>
      </w:r>
      <w:proofErr w:type="spellStart"/>
      <w:r>
        <w:rPr>
          <w:b/>
          <w:bCs/>
          <w:color w:val="000000"/>
        </w:rPr>
        <w:t>high</w:t>
      </w:r>
      <w:proofErr w:type="spellEnd"/>
      <w:r>
        <w:rPr>
          <w:b/>
          <w:bCs/>
          <w:color w:val="000000"/>
        </w:rPr>
        <w:t>/IFN-low</w:t>
      </w:r>
      <w:r>
        <w:rPr>
          <w:color w:val="000000"/>
        </w:rPr>
        <w:t>, incluyendo análisis de sensibilidad con criterios alternativos de punto de corte y validación mediante el score de 4 genes clásicos.</w:t>
      </w:r>
    </w:p>
    <w:p w14:paraId="5A276788" w14:textId="3BE61461" w:rsidR="00097466" w:rsidRDefault="00000000">
      <w:pPr>
        <w:numPr>
          <w:ilvl w:val="0"/>
          <w:numId w:val="14"/>
        </w:numPr>
        <w:pBdr>
          <w:top w:val="nil"/>
          <w:left w:val="nil"/>
          <w:bottom w:val="nil"/>
          <w:right w:val="nil"/>
          <w:between w:val="nil"/>
        </w:pBdr>
        <w:spacing w:before="0" w:after="0"/>
        <w:rPr>
          <w:color w:val="000000"/>
        </w:rPr>
      </w:pPr>
      <w:r>
        <w:rPr>
          <w:color w:val="000000"/>
        </w:rPr>
        <w:t xml:space="preserve">Tarea 3.4. </w:t>
      </w:r>
      <w:r>
        <w:rPr>
          <w:b/>
          <w:bCs/>
          <w:color w:val="000000"/>
        </w:rPr>
        <w:t>Caracterización transcriptómica de los subgrupos IFN-</w:t>
      </w:r>
      <w:proofErr w:type="spellStart"/>
      <w:r>
        <w:rPr>
          <w:b/>
          <w:bCs/>
          <w:color w:val="000000"/>
        </w:rPr>
        <w:t>high</w:t>
      </w:r>
      <w:proofErr w:type="spellEnd"/>
      <w:r>
        <w:rPr>
          <w:b/>
          <w:bCs/>
          <w:color w:val="000000"/>
        </w:rPr>
        <w:t>/IFN-low</w:t>
      </w:r>
      <w:r>
        <w:rPr>
          <w:color w:val="000000"/>
        </w:rPr>
        <w:t xml:space="preserve">: expresión génica diferencial (Wilcoxon-Mann-Whitney, FDR </w:t>
      </w:r>
      <w:proofErr w:type="spellStart"/>
      <w:r>
        <w:rPr>
          <w:color w:val="000000"/>
        </w:rPr>
        <w:t>Benjamini-Hochberg</w:t>
      </w:r>
      <w:proofErr w:type="spellEnd"/>
      <w:r>
        <w:rPr>
          <w:color w:val="000000"/>
        </w:rPr>
        <w:t xml:space="preserve">) y </w:t>
      </w:r>
      <w:proofErr w:type="spellStart"/>
      <w:r>
        <w:rPr>
          <w:color w:val="000000"/>
        </w:rPr>
        <w:t>clustering</w:t>
      </w:r>
      <w:proofErr w:type="spellEnd"/>
      <w:r>
        <w:rPr>
          <w:color w:val="000000"/>
        </w:rPr>
        <w:t xml:space="preserve"> jerárquico con </w:t>
      </w:r>
      <w:proofErr w:type="spellStart"/>
      <w:r>
        <w:rPr>
          <w:color w:val="000000"/>
        </w:rPr>
        <w:t>heatmap</w:t>
      </w:r>
      <w:proofErr w:type="spellEnd"/>
      <w:r>
        <w:rPr>
          <w:color w:val="000000"/>
        </w:rPr>
        <w:t>.</w:t>
      </w:r>
    </w:p>
    <w:p w14:paraId="34BBA712" w14:textId="77777777" w:rsidR="00097466" w:rsidRDefault="00000000">
      <w:pPr>
        <w:numPr>
          <w:ilvl w:val="0"/>
          <w:numId w:val="14"/>
        </w:numPr>
        <w:pBdr>
          <w:top w:val="nil"/>
          <w:left w:val="nil"/>
          <w:bottom w:val="nil"/>
          <w:right w:val="nil"/>
          <w:between w:val="nil"/>
        </w:pBdr>
        <w:spacing w:before="0" w:after="0"/>
        <w:rPr>
          <w:color w:val="000000"/>
        </w:rPr>
      </w:pPr>
      <w:r>
        <w:rPr>
          <w:color w:val="000000"/>
        </w:rPr>
        <w:t xml:space="preserve">Tarea 3.5. </w:t>
      </w:r>
      <w:r>
        <w:rPr>
          <w:b/>
          <w:bCs/>
          <w:color w:val="000000"/>
        </w:rPr>
        <w:t>Análisis de asociación clínica</w:t>
      </w:r>
      <w:r>
        <w:rPr>
          <w:color w:val="000000"/>
        </w:rPr>
        <w:t xml:space="preserve">: comparación de variables clínicas entre subgrupos (Mann-Whitney, Chi-cuadrado/Fisher), correlaciones de Spearman con </w:t>
      </w:r>
      <w:r>
        <w:rPr>
          <w:color w:val="000000"/>
        </w:rPr>
        <w:lastRenderedPageBreak/>
        <w:t xml:space="preserve">SLEDAI-2K y SLE-DAS, y modelos de regresión logística </w:t>
      </w:r>
      <w:proofErr w:type="spellStart"/>
      <w:r>
        <w:rPr>
          <w:color w:val="000000"/>
        </w:rPr>
        <w:t>uni</w:t>
      </w:r>
      <w:proofErr w:type="spellEnd"/>
      <w:r>
        <w:rPr>
          <w:color w:val="000000"/>
        </w:rPr>
        <w:t>- y multivariable para LLDAS y DORIS. Evaluación del rendimiento diagnóstico mediante curvas ROC.</w:t>
      </w:r>
    </w:p>
    <w:p w14:paraId="1E052F23" w14:textId="04A7AF0B" w:rsidR="00097466" w:rsidRDefault="00000000" w:rsidP="003970CE">
      <w:pPr>
        <w:numPr>
          <w:ilvl w:val="0"/>
          <w:numId w:val="14"/>
        </w:numPr>
        <w:pBdr>
          <w:top w:val="nil"/>
          <w:left w:val="nil"/>
          <w:bottom w:val="nil"/>
          <w:right w:val="nil"/>
          <w:between w:val="nil"/>
        </w:pBdr>
        <w:spacing w:before="0" w:after="0"/>
        <w:rPr>
          <w:color w:val="000000"/>
        </w:rPr>
      </w:pPr>
      <w:r>
        <w:rPr>
          <w:color w:val="000000"/>
        </w:rPr>
        <w:t xml:space="preserve">Tarea 3.6. </w:t>
      </w:r>
      <w:r>
        <w:rPr>
          <w:b/>
          <w:bCs/>
          <w:color w:val="000000"/>
        </w:rPr>
        <w:t>Integración multi-</w:t>
      </w:r>
      <w:proofErr w:type="spellStart"/>
      <w:r>
        <w:rPr>
          <w:b/>
          <w:bCs/>
          <w:color w:val="000000"/>
        </w:rPr>
        <w:t>ómica</w:t>
      </w:r>
      <w:proofErr w:type="spellEnd"/>
      <w:r>
        <w:rPr>
          <w:b/>
          <w:bCs/>
          <w:color w:val="000000"/>
        </w:rPr>
        <w:t xml:space="preserve"> </w:t>
      </w:r>
      <w:r>
        <w:rPr>
          <w:color w:val="000000"/>
        </w:rPr>
        <w:t>mediante DIABLO (supervisada)</w:t>
      </w:r>
      <w:r w:rsidR="00663F4A">
        <w:rPr>
          <w:color w:val="000000"/>
        </w:rPr>
        <w:t xml:space="preserve"> y MOFA</w:t>
      </w:r>
      <w:r w:rsidR="003357F2">
        <w:rPr>
          <w:color w:val="000000"/>
        </w:rPr>
        <w:t>2</w:t>
      </w:r>
      <w:r w:rsidR="00663F4A">
        <w:rPr>
          <w:color w:val="000000"/>
        </w:rPr>
        <w:t xml:space="preserve"> (no supervisada)</w:t>
      </w:r>
      <w:r>
        <w:rPr>
          <w:color w:val="000000"/>
        </w:rPr>
        <w:t>, e identificación de factores latentes compartidos entre capas. (Entrega PEC3: 6 mayo)</w:t>
      </w:r>
    </w:p>
    <w:p w14:paraId="60124051" w14:textId="5D24DAF7" w:rsidR="00DA1C00" w:rsidRPr="00DA1C00" w:rsidRDefault="003970CE" w:rsidP="00DA1C00">
      <w:pPr>
        <w:numPr>
          <w:ilvl w:val="0"/>
          <w:numId w:val="14"/>
        </w:numPr>
        <w:pBdr>
          <w:top w:val="nil"/>
          <w:left w:val="nil"/>
          <w:bottom w:val="nil"/>
          <w:right w:val="nil"/>
          <w:between w:val="nil"/>
        </w:pBdr>
        <w:spacing w:before="0"/>
        <w:rPr>
          <w:color w:val="000000"/>
        </w:rPr>
      </w:pPr>
      <w:r>
        <w:rPr>
          <w:color w:val="000000"/>
        </w:rPr>
        <w:t xml:space="preserve">Tarea 3.7. </w:t>
      </w:r>
      <w:r w:rsidR="00DA1C00" w:rsidRPr="00DA1C00">
        <w:rPr>
          <w:b/>
          <w:bCs/>
          <w:color w:val="000000"/>
        </w:rPr>
        <w:t>Construcción</w:t>
      </w:r>
      <w:r w:rsidR="00DA1C00" w:rsidRPr="00DA1C00">
        <w:rPr>
          <w:color w:val="000000"/>
        </w:rPr>
        <w:t xml:space="preserve"> y evaluación del </w:t>
      </w:r>
      <w:r w:rsidR="00DA1C00" w:rsidRPr="00DA1C00">
        <w:rPr>
          <w:b/>
          <w:bCs/>
          <w:color w:val="000000"/>
        </w:rPr>
        <w:t>modelo predictivo</w:t>
      </w:r>
      <w:r w:rsidR="00DA1C00" w:rsidRPr="00DA1C00">
        <w:rPr>
          <w:color w:val="000000"/>
        </w:rPr>
        <w:t xml:space="preserve"> de actividad clínica mediante </w:t>
      </w:r>
      <w:r w:rsidR="00DA1C00" w:rsidRPr="00DA1C00">
        <w:rPr>
          <w:b/>
          <w:bCs/>
          <w:color w:val="000000"/>
        </w:rPr>
        <w:t>regresión penalizada LASSO</w:t>
      </w:r>
      <w:r w:rsidR="00DA1C00" w:rsidRPr="00DA1C00">
        <w:rPr>
          <w:color w:val="000000"/>
        </w:rPr>
        <w:t>: selección de variables transcriptómicas y proteómicas relevantes, ajuste del modelo con validación cruzada, y comparación del rendimiento (curvas ROC, AUC) frente a biomarcadores individuales clásicos (IFN-α sérico, C3, C4)</w:t>
      </w:r>
    </w:p>
    <w:p w14:paraId="47EE2423" w14:textId="77777777" w:rsidR="00097466" w:rsidRDefault="00000000">
      <w:pPr>
        <w:rPr>
          <w:b/>
          <w:bCs/>
        </w:rPr>
      </w:pPr>
      <w:r>
        <w:rPr>
          <w:b/>
          <w:bCs/>
        </w:rPr>
        <w:t xml:space="preserve">Bloque PEC4/5 - Cierre del proyecto (7 </w:t>
      </w:r>
      <w:proofErr w:type="spellStart"/>
      <w:r>
        <w:rPr>
          <w:b/>
          <w:bCs/>
        </w:rPr>
        <w:t>may</w:t>
      </w:r>
      <w:proofErr w:type="spellEnd"/>
      <w:r>
        <w:rPr>
          <w:b/>
          <w:bCs/>
        </w:rPr>
        <w:t xml:space="preserve"> - 30 jun 2026)</w:t>
      </w:r>
    </w:p>
    <w:p w14:paraId="15ED2510" w14:textId="77777777" w:rsidR="00097466" w:rsidRDefault="00000000">
      <w:pPr>
        <w:numPr>
          <w:ilvl w:val="0"/>
          <w:numId w:val="15"/>
        </w:numPr>
        <w:pBdr>
          <w:top w:val="nil"/>
          <w:left w:val="nil"/>
          <w:bottom w:val="nil"/>
          <w:right w:val="nil"/>
          <w:between w:val="nil"/>
        </w:pBdr>
        <w:spacing w:after="0"/>
        <w:rPr>
          <w:color w:val="000000"/>
        </w:rPr>
      </w:pPr>
      <w:r>
        <w:rPr>
          <w:color w:val="000000"/>
        </w:rPr>
        <w:t>Tarea 4.1. Redacción completa de la memoria: todos los capítulos (introducción, estado del arte, materiales y métodos, resultados, discusión y conclusiones). (Entrega PEC4: 3 junio)</w:t>
      </w:r>
    </w:p>
    <w:p w14:paraId="45B3A231" w14:textId="77777777" w:rsidR="00097466" w:rsidRDefault="00000000">
      <w:pPr>
        <w:numPr>
          <w:ilvl w:val="0"/>
          <w:numId w:val="15"/>
        </w:numPr>
        <w:pBdr>
          <w:top w:val="nil"/>
          <w:left w:val="nil"/>
          <w:bottom w:val="nil"/>
          <w:right w:val="nil"/>
          <w:between w:val="nil"/>
        </w:pBdr>
        <w:spacing w:before="0" w:after="0"/>
        <w:rPr>
          <w:color w:val="000000"/>
        </w:rPr>
      </w:pPr>
      <w:r>
        <w:rPr>
          <w:color w:val="000000"/>
        </w:rPr>
        <w:t>Tarea 4.2. Preparación de la presentación en diapositivas y grabación del vídeo de exposición oral. (Entrega PEC5: 10 junio)</w:t>
      </w:r>
    </w:p>
    <w:p w14:paraId="1762014D" w14:textId="77777777" w:rsidR="00097466" w:rsidRDefault="00000000">
      <w:pPr>
        <w:numPr>
          <w:ilvl w:val="0"/>
          <w:numId w:val="15"/>
        </w:numPr>
        <w:pBdr>
          <w:top w:val="nil"/>
          <w:left w:val="nil"/>
          <w:bottom w:val="nil"/>
          <w:right w:val="nil"/>
          <w:between w:val="nil"/>
        </w:pBdr>
        <w:spacing w:before="0"/>
        <w:rPr>
          <w:color w:val="000000"/>
        </w:rPr>
      </w:pPr>
      <w:r>
        <w:rPr>
          <w:color w:val="000000"/>
        </w:rPr>
        <w:t>Tarea 4.3. Defensa final oral. (26 junio)</w:t>
      </w:r>
    </w:p>
    <w:p w14:paraId="7DAC3A99" w14:textId="0E8AB55D" w:rsidR="00720356" w:rsidRDefault="001763B0" w:rsidP="00720356">
      <w:pPr>
        <w:keepNext/>
        <w:spacing w:before="0" w:after="0"/>
      </w:pPr>
      <w:r>
        <w:rPr>
          <w:noProof/>
        </w:rPr>
        <w:drawing>
          <wp:inline distT="0" distB="0" distL="0" distR="0" wp14:anchorId="7A5C629C" wp14:editId="6CB3BCCB">
            <wp:extent cx="5400675" cy="2193925"/>
            <wp:effectExtent l="0" t="0" r="0" b="3175"/>
            <wp:docPr id="782341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41250" name="Imagen 78234125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675" cy="2193925"/>
                    </a:xfrm>
                    <a:prstGeom prst="rect">
                      <a:avLst/>
                    </a:prstGeom>
                  </pic:spPr>
                </pic:pic>
              </a:graphicData>
            </a:graphic>
          </wp:inline>
        </w:drawing>
      </w:r>
    </w:p>
    <w:p w14:paraId="25D8B619" w14:textId="6FA4DD3B" w:rsidR="00097466" w:rsidRDefault="00720356" w:rsidP="00C67F76">
      <w:pPr>
        <w:pStyle w:val="Descripcin"/>
      </w:pPr>
      <w:bookmarkStart w:id="56" w:name="_Toc230792274"/>
      <w:r>
        <w:t xml:space="preserve">Ilustración </w:t>
      </w:r>
      <w:fldSimple w:instr=" SEQ Ilustración \* ARABIC ">
        <w:r w:rsidR="00E76F9C">
          <w:rPr>
            <w:noProof/>
          </w:rPr>
          <w:t>1</w:t>
        </w:r>
      </w:fldSimple>
      <w:r>
        <w:t xml:space="preserve">. </w:t>
      </w:r>
      <w:r w:rsidRPr="00CE700F">
        <w:t>Diagrama de Gantt del proyecto</w:t>
      </w:r>
      <w:bookmarkEnd w:id="56"/>
    </w:p>
    <w:p w14:paraId="653859D2" w14:textId="73CDC5E6" w:rsidR="00097466" w:rsidRDefault="00000000">
      <w:r>
        <w:t>Se han identificado los siguientes riesgos potenciales</w:t>
      </w:r>
      <w:r w:rsidR="003357F2">
        <w:t xml:space="preserve"> (Tabla 3)</w:t>
      </w:r>
      <w:r>
        <w:t>:</w:t>
      </w:r>
    </w:p>
    <w:tbl>
      <w:tblPr>
        <w:tblStyle w:val="a3"/>
        <w:tblW w:w="8489" w:type="dxa"/>
        <w:tblInd w:w="0" w:type="dxa"/>
        <w:tblLayout w:type="fixed"/>
        <w:tblLook w:val="0400" w:firstRow="0" w:lastRow="0" w:firstColumn="0" w:lastColumn="0" w:noHBand="0" w:noVBand="1"/>
      </w:tblPr>
      <w:tblGrid>
        <w:gridCol w:w="2329"/>
        <w:gridCol w:w="1300"/>
        <w:gridCol w:w="923"/>
        <w:gridCol w:w="3937"/>
      </w:tblGrid>
      <w:tr w:rsidR="00097466" w14:paraId="22769678" w14:textId="77777777">
        <w:trPr>
          <w:trHeight w:val="113"/>
          <w:tblHeader/>
        </w:trPr>
        <w:tc>
          <w:tcPr>
            <w:tcW w:w="2329"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3DDAB2AB" w14:textId="77777777" w:rsidR="00097466" w:rsidRDefault="00000000">
            <w:pPr>
              <w:spacing w:before="0" w:after="0" w:line="240" w:lineRule="auto"/>
              <w:jc w:val="left"/>
              <w:rPr>
                <w:b/>
                <w:bCs/>
                <w:sz w:val="20"/>
                <w:szCs w:val="20"/>
              </w:rPr>
            </w:pPr>
            <w:r>
              <w:rPr>
                <w:b/>
                <w:bCs/>
                <w:sz w:val="20"/>
                <w:szCs w:val="20"/>
              </w:rPr>
              <w:t>Riesgo</w:t>
            </w:r>
          </w:p>
        </w:tc>
        <w:tc>
          <w:tcPr>
            <w:tcW w:w="13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0A051ABF" w14:textId="77777777" w:rsidR="00097466" w:rsidRDefault="00000000">
            <w:pPr>
              <w:spacing w:before="0" w:after="0" w:line="240" w:lineRule="auto"/>
              <w:jc w:val="left"/>
              <w:rPr>
                <w:b/>
                <w:bCs/>
                <w:sz w:val="20"/>
                <w:szCs w:val="20"/>
              </w:rPr>
            </w:pPr>
            <w:r>
              <w:rPr>
                <w:b/>
                <w:bCs/>
                <w:sz w:val="20"/>
                <w:szCs w:val="20"/>
              </w:rPr>
              <w:t>Probabilidad</w:t>
            </w:r>
          </w:p>
        </w:tc>
        <w:tc>
          <w:tcPr>
            <w:tcW w:w="923"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00DFD5F3" w14:textId="77777777" w:rsidR="00097466" w:rsidRDefault="00000000">
            <w:pPr>
              <w:spacing w:before="0" w:after="0" w:line="240" w:lineRule="auto"/>
              <w:jc w:val="left"/>
              <w:rPr>
                <w:b/>
                <w:bCs/>
                <w:sz w:val="20"/>
                <w:szCs w:val="20"/>
              </w:rPr>
            </w:pPr>
            <w:r>
              <w:rPr>
                <w:b/>
                <w:bCs/>
                <w:sz w:val="20"/>
                <w:szCs w:val="20"/>
              </w:rPr>
              <w:t>Impacto</w:t>
            </w:r>
          </w:p>
        </w:tc>
        <w:tc>
          <w:tcPr>
            <w:tcW w:w="3937"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61F8679" w14:textId="77777777" w:rsidR="00097466" w:rsidRDefault="00000000">
            <w:pPr>
              <w:spacing w:before="0" w:after="0" w:line="240" w:lineRule="auto"/>
              <w:jc w:val="left"/>
              <w:rPr>
                <w:b/>
                <w:bCs/>
                <w:sz w:val="20"/>
                <w:szCs w:val="20"/>
              </w:rPr>
            </w:pPr>
            <w:r>
              <w:rPr>
                <w:b/>
                <w:bCs/>
                <w:sz w:val="20"/>
                <w:szCs w:val="20"/>
              </w:rPr>
              <w:t>Acciones preventivas/correctoras</w:t>
            </w:r>
          </w:p>
        </w:tc>
      </w:tr>
      <w:tr w:rsidR="00097466" w14:paraId="5815E116" w14:textId="77777777">
        <w:trPr>
          <w:trHeight w:val="113"/>
        </w:trPr>
        <w:tc>
          <w:tcPr>
            <w:tcW w:w="232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7735A6" w14:textId="77777777" w:rsidR="00097466" w:rsidRDefault="00000000">
            <w:pPr>
              <w:spacing w:before="0" w:after="0" w:line="240" w:lineRule="auto"/>
              <w:jc w:val="left"/>
              <w:rPr>
                <w:sz w:val="20"/>
                <w:szCs w:val="20"/>
              </w:rPr>
            </w:pPr>
            <w:r>
              <w:rPr>
                <w:sz w:val="20"/>
                <w:szCs w:val="20"/>
              </w:rPr>
              <w:t>Problemas de calidad en los datos (valores faltantes, outliers extremos)</w:t>
            </w:r>
          </w:p>
        </w:tc>
        <w:tc>
          <w:tcPr>
            <w:tcW w:w="13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A51FE68" w14:textId="77777777" w:rsidR="00097466" w:rsidRDefault="00000000">
            <w:pPr>
              <w:spacing w:before="0" w:after="0" w:line="240" w:lineRule="auto"/>
              <w:jc w:val="center"/>
              <w:rPr>
                <w:sz w:val="20"/>
                <w:szCs w:val="20"/>
              </w:rPr>
            </w:pPr>
            <w:r>
              <w:rPr>
                <w:sz w:val="20"/>
                <w:szCs w:val="20"/>
              </w:rPr>
              <w:t>Media</w:t>
            </w:r>
          </w:p>
        </w:tc>
        <w:tc>
          <w:tcPr>
            <w:tcW w:w="9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6999687" w14:textId="77777777" w:rsidR="00097466" w:rsidRDefault="00000000">
            <w:pPr>
              <w:spacing w:before="0" w:after="0" w:line="240" w:lineRule="auto"/>
              <w:jc w:val="center"/>
              <w:rPr>
                <w:sz w:val="20"/>
                <w:szCs w:val="20"/>
              </w:rPr>
            </w:pPr>
            <w:r>
              <w:rPr>
                <w:sz w:val="20"/>
                <w:szCs w:val="20"/>
              </w:rPr>
              <w:t>Alto</w:t>
            </w:r>
          </w:p>
        </w:tc>
        <w:tc>
          <w:tcPr>
            <w:tcW w:w="393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307C1A" w14:textId="77777777" w:rsidR="00097466" w:rsidRDefault="00000000">
            <w:pPr>
              <w:spacing w:before="0" w:after="0" w:line="240" w:lineRule="auto"/>
              <w:jc w:val="left"/>
              <w:rPr>
                <w:sz w:val="20"/>
                <w:szCs w:val="20"/>
              </w:rPr>
            </w:pPr>
            <w:r>
              <w:rPr>
                <w:sz w:val="20"/>
                <w:szCs w:val="20"/>
              </w:rPr>
              <w:t>Aplicar métodos robustos de imputación; análisis de sensibilidad excluyendo observaciones atípicas</w:t>
            </w:r>
          </w:p>
        </w:tc>
      </w:tr>
      <w:tr w:rsidR="00097466" w14:paraId="6BAED15C" w14:textId="77777777">
        <w:trPr>
          <w:trHeight w:val="113"/>
        </w:trPr>
        <w:tc>
          <w:tcPr>
            <w:tcW w:w="232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68FB8E" w14:textId="77777777" w:rsidR="00097466" w:rsidRDefault="00000000">
            <w:pPr>
              <w:spacing w:before="0" w:after="0" w:line="240" w:lineRule="auto"/>
              <w:jc w:val="left"/>
              <w:rPr>
                <w:sz w:val="20"/>
                <w:szCs w:val="20"/>
              </w:rPr>
            </w:pPr>
            <w:r>
              <w:rPr>
                <w:sz w:val="20"/>
                <w:szCs w:val="20"/>
              </w:rPr>
              <w:t>Dificultad técnica en la implementación de DIABLO</w:t>
            </w:r>
          </w:p>
        </w:tc>
        <w:tc>
          <w:tcPr>
            <w:tcW w:w="13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876C60" w14:textId="77777777" w:rsidR="00097466" w:rsidRDefault="00000000">
            <w:pPr>
              <w:spacing w:before="0" w:after="0" w:line="240" w:lineRule="auto"/>
              <w:jc w:val="center"/>
              <w:rPr>
                <w:sz w:val="20"/>
                <w:szCs w:val="20"/>
              </w:rPr>
            </w:pPr>
            <w:r>
              <w:rPr>
                <w:sz w:val="20"/>
                <w:szCs w:val="20"/>
              </w:rPr>
              <w:t>Media</w:t>
            </w:r>
          </w:p>
        </w:tc>
        <w:tc>
          <w:tcPr>
            <w:tcW w:w="9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556708" w14:textId="77777777" w:rsidR="00097466" w:rsidRDefault="00000000">
            <w:pPr>
              <w:spacing w:before="0" w:after="0" w:line="240" w:lineRule="auto"/>
              <w:jc w:val="center"/>
              <w:rPr>
                <w:sz w:val="20"/>
                <w:szCs w:val="20"/>
              </w:rPr>
            </w:pPr>
            <w:r>
              <w:rPr>
                <w:sz w:val="20"/>
                <w:szCs w:val="20"/>
              </w:rPr>
              <w:t>Alto</w:t>
            </w:r>
          </w:p>
        </w:tc>
        <w:tc>
          <w:tcPr>
            <w:tcW w:w="393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D5E74AC" w14:textId="77777777" w:rsidR="00097466" w:rsidRDefault="00000000">
            <w:pPr>
              <w:spacing w:before="0" w:after="0" w:line="240" w:lineRule="auto"/>
              <w:jc w:val="left"/>
              <w:rPr>
                <w:sz w:val="20"/>
                <w:szCs w:val="20"/>
              </w:rPr>
            </w:pPr>
            <w:r>
              <w:rPr>
                <w:sz w:val="20"/>
                <w:szCs w:val="20"/>
              </w:rPr>
              <w:t>Uso de tutoriales oficiales y viñetas de los paquetes R; asesoramiento del tutor; alternativa: DIABLO únicamente o PLS clásico</w:t>
            </w:r>
          </w:p>
        </w:tc>
      </w:tr>
      <w:tr w:rsidR="00097466" w14:paraId="1F45E362" w14:textId="77777777">
        <w:trPr>
          <w:trHeight w:val="113"/>
        </w:trPr>
        <w:tc>
          <w:tcPr>
            <w:tcW w:w="232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CA29F53" w14:textId="77777777" w:rsidR="00097466" w:rsidRDefault="00000000">
            <w:pPr>
              <w:spacing w:before="0" w:after="0" w:line="240" w:lineRule="auto"/>
              <w:jc w:val="left"/>
              <w:rPr>
                <w:sz w:val="20"/>
                <w:szCs w:val="20"/>
              </w:rPr>
            </w:pPr>
            <w:r>
              <w:rPr>
                <w:sz w:val="20"/>
                <w:szCs w:val="20"/>
              </w:rPr>
              <w:lastRenderedPageBreak/>
              <w:t>Resultados no significativos o modelos con AUC moderada</w:t>
            </w:r>
          </w:p>
        </w:tc>
        <w:tc>
          <w:tcPr>
            <w:tcW w:w="13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C6F204" w14:textId="77777777" w:rsidR="00097466" w:rsidRDefault="00000000">
            <w:pPr>
              <w:spacing w:before="0" w:after="0" w:line="240" w:lineRule="auto"/>
              <w:jc w:val="center"/>
              <w:rPr>
                <w:sz w:val="20"/>
                <w:szCs w:val="20"/>
              </w:rPr>
            </w:pPr>
            <w:r>
              <w:rPr>
                <w:sz w:val="20"/>
                <w:szCs w:val="20"/>
              </w:rPr>
              <w:t>Media</w:t>
            </w:r>
          </w:p>
        </w:tc>
        <w:tc>
          <w:tcPr>
            <w:tcW w:w="9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3F6C80" w14:textId="77777777" w:rsidR="00097466" w:rsidRDefault="00000000">
            <w:pPr>
              <w:spacing w:before="0" w:after="0" w:line="240" w:lineRule="auto"/>
              <w:jc w:val="center"/>
              <w:rPr>
                <w:sz w:val="20"/>
                <w:szCs w:val="20"/>
              </w:rPr>
            </w:pPr>
            <w:r>
              <w:rPr>
                <w:sz w:val="20"/>
                <w:szCs w:val="20"/>
              </w:rPr>
              <w:t>Medio</w:t>
            </w:r>
          </w:p>
        </w:tc>
        <w:tc>
          <w:tcPr>
            <w:tcW w:w="393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325DD0" w14:textId="77777777" w:rsidR="00097466" w:rsidRDefault="00000000">
            <w:pPr>
              <w:spacing w:before="0" w:after="0" w:line="240" w:lineRule="auto"/>
              <w:jc w:val="left"/>
              <w:rPr>
                <w:sz w:val="20"/>
                <w:szCs w:val="20"/>
              </w:rPr>
            </w:pPr>
            <w:r>
              <w:rPr>
                <w:sz w:val="20"/>
                <w:szCs w:val="20"/>
              </w:rPr>
              <w:t>Incluso resultados negativos tienen valor científico si se interpretan adecuadamente; énfasis en el rigor metodológico sobre la magnitud del efecto</w:t>
            </w:r>
          </w:p>
        </w:tc>
      </w:tr>
      <w:tr w:rsidR="00097466" w14:paraId="356ADC2A" w14:textId="77777777">
        <w:trPr>
          <w:trHeight w:val="113"/>
        </w:trPr>
        <w:tc>
          <w:tcPr>
            <w:tcW w:w="232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730F2E1" w14:textId="77777777" w:rsidR="00097466" w:rsidRDefault="00000000">
            <w:pPr>
              <w:spacing w:before="0" w:after="0" w:line="240" w:lineRule="auto"/>
              <w:jc w:val="left"/>
              <w:rPr>
                <w:sz w:val="20"/>
                <w:szCs w:val="20"/>
              </w:rPr>
            </w:pPr>
            <w:r>
              <w:rPr>
                <w:sz w:val="20"/>
                <w:szCs w:val="20"/>
              </w:rPr>
              <w:t>Retrasos en la redacción</w:t>
            </w:r>
          </w:p>
        </w:tc>
        <w:tc>
          <w:tcPr>
            <w:tcW w:w="13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BE27822" w14:textId="77777777" w:rsidR="00097466" w:rsidRDefault="00000000">
            <w:pPr>
              <w:spacing w:before="0" w:after="0" w:line="240" w:lineRule="auto"/>
              <w:jc w:val="center"/>
              <w:rPr>
                <w:sz w:val="20"/>
                <w:szCs w:val="20"/>
              </w:rPr>
            </w:pPr>
            <w:r>
              <w:rPr>
                <w:sz w:val="20"/>
                <w:szCs w:val="20"/>
              </w:rPr>
              <w:t>Media</w:t>
            </w:r>
          </w:p>
        </w:tc>
        <w:tc>
          <w:tcPr>
            <w:tcW w:w="9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A277464" w14:textId="77777777" w:rsidR="00097466" w:rsidRDefault="00000000">
            <w:pPr>
              <w:spacing w:before="0" w:after="0" w:line="240" w:lineRule="auto"/>
              <w:jc w:val="center"/>
              <w:rPr>
                <w:sz w:val="20"/>
                <w:szCs w:val="20"/>
              </w:rPr>
            </w:pPr>
            <w:r>
              <w:rPr>
                <w:sz w:val="20"/>
                <w:szCs w:val="20"/>
              </w:rPr>
              <w:t>Medio</w:t>
            </w:r>
          </w:p>
        </w:tc>
        <w:tc>
          <w:tcPr>
            <w:tcW w:w="393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A8D11C" w14:textId="77777777" w:rsidR="00097466" w:rsidRDefault="00000000">
            <w:pPr>
              <w:spacing w:before="0" w:after="0" w:line="240" w:lineRule="auto"/>
              <w:jc w:val="left"/>
              <w:rPr>
                <w:sz w:val="20"/>
                <w:szCs w:val="20"/>
              </w:rPr>
            </w:pPr>
            <w:r>
              <w:rPr>
                <w:sz w:val="20"/>
                <w:szCs w:val="20"/>
              </w:rPr>
              <w:t>Redacción en paralelo al análisis desde la semana 8; hitos intermedios de redacción establecidos</w:t>
            </w:r>
          </w:p>
        </w:tc>
      </w:tr>
      <w:tr w:rsidR="00097466" w14:paraId="018211CE" w14:textId="77777777">
        <w:trPr>
          <w:trHeight w:val="113"/>
        </w:trPr>
        <w:tc>
          <w:tcPr>
            <w:tcW w:w="232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8D0B8D" w14:textId="77777777" w:rsidR="00097466" w:rsidRDefault="00000000">
            <w:pPr>
              <w:spacing w:before="0" w:after="0" w:line="240" w:lineRule="auto"/>
              <w:jc w:val="left"/>
              <w:rPr>
                <w:sz w:val="20"/>
                <w:szCs w:val="20"/>
              </w:rPr>
            </w:pPr>
            <w:r>
              <w:rPr>
                <w:sz w:val="20"/>
                <w:szCs w:val="20"/>
              </w:rPr>
              <w:t>Falta de tiempo para completar todos los bloques analíticos en PEC3</w:t>
            </w:r>
          </w:p>
        </w:tc>
        <w:tc>
          <w:tcPr>
            <w:tcW w:w="13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010753" w14:textId="77777777" w:rsidR="00097466" w:rsidRDefault="00000000">
            <w:pPr>
              <w:spacing w:before="0" w:after="0" w:line="240" w:lineRule="auto"/>
              <w:jc w:val="center"/>
              <w:rPr>
                <w:sz w:val="20"/>
                <w:szCs w:val="20"/>
              </w:rPr>
            </w:pPr>
            <w:r>
              <w:rPr>
                <w:sz w:val="20"/>
                <w:szCs w:val="20"/>
              </w:rPr>
              <w:t>Alta</w:t>
            </w:r>
          </w:p>
        </w:tc>
        <w:tc>
          <w:tcPr>
            <w:tcW w:w="9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82D298" w14:textId="77777777" w:rsidR="00097466" w:rsidRDefault="00000000">
            <w:pPr>
              <w:spacing w:before="0" w:after="0" w:line="240" w:lineRule="auto"/>
              <w:jc w:val="center"/>
              <w:rPr>
                <w:sz w:val="20"/>
                <w:szCs w:val="20"/>
              </w:rPr>
            </w:pPr>
            <w:r>
              <w:rPr>
                <w:sz w:val="20"/>
                <w:szCs w:val="20"/>
              </w:rPr>
              <w:t>Alto</w:t>
            </w:r>
          </w:p>
        </w:tc>
        <w:tc>
          <w:tcPr>
            <w:tcW w:w="393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8D5EA16" w14:textId="4DE1E6AC" w:rsidR="00097466" w:rsidRDefault="00000000">
            <w:pPr>
              <w:spacing w:before="0" w:after="0" w:line="240" w:lineRule="auto"/>
              <w:jc w:val="left"/>
              <w:rPr>
                <w:sz w:val="20"/>
                <w:szCs w:val="20"/>
              </w:rPr>
            </w:pPr>
            <w:r>
              <w:rPr>
                <w:sz w:val="20"/>
                <w:szCs w:val="20"/>
              </w:rPr>
              <w:t>Priorización de bloques: IFN-score</w:t>
            </w:r>
            <w:r w:rsidR="003357F2">
              <w:rPr>
                <w:sz w:val="20"/>
                <w:szCs w:val="20"/>
              </w:rPr>
              <w:t xml:space="preserve">, </w:t>
            </w:r>
            <w:r>
              <w:rPr>
                <w:sz w:val="20"/>
                <w:szCs w:val="20"/>
              </w:rPr>
              <w:t xml:space="preserve">análisis de asociación clínica </w:t>
            </w:r>
            <w:r w:rsidR="003357F2">
              <w:rPr>
                <w:sz w:val="20"/>
                <w:szCs w:val="20"/>
              </w:rPr>
              <w:t xml:space="preserve">y DIABLO </w:t>
            </w:r>
            <w:r>
              <w:rPr>
                <w:sz w:val="20"/>
                <w:szCs w:val="20"/>
              </w:rPr>
              <w:t xml:space="preserve">son prioritarios; </w:t>
            </w:r>
            <w:r w:rsidR="003357F2">
              <w:rPr>
                <w:sz w:val="20"/>
                <w:szCs w:val="20"/>
              </w:rPr>
              <w:t xml:space="preserve">MOFA2 y </w:t>
            </w:r>
            <w:r>
              <w:rPr>
                <w:sz w:val="20"/>
                <w:szCs w:val="20"/>
              </w:rPr>
              <w:t>LASSO se abordan si el tiempo lo permite</w:t>
            </w:r>
          </w:p>
        </w:tc>
      </w:tr>
      <w:tr w:rsidR="00097466" w14:paraId="1F1287C2" w14:textId="77777777">
        <w:trPr>
          <w:trHeight w:val="113"/>
        </w:trPr>
        <w:tc>
          <w:tcPr>
            <w:tcW w:w="2329"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F1CE12" w14:textId="77777777" w:rsidR="00097466" w:rsidRDefault="00000000">
            <w:pPr>
              <w:spacing w:before="0" w:after="0" w:line="240" w:lineRule="auto"/>
              <w:jc w:val="left"/>
              <w:rPr>
                <w:sz w:val="20"/>
                <w:szCs w:val="20"/>
              </w:rPr>
            </w:pPr>
            <w:r>
              <w:rPr>
                <w:sz w:val="20"/>
                <w:szCs w:val="20"/>
              </w:rPr>
              <w:t>Sobrecarga o imprevistos personales</w:t>
            </w:r>
          </w:p>
        </w:tc>
        <w:tc>
          <w:tcPr>
            <w:tcW w:w="13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7B7842" w14:textId="77777777" w:rsidR="00097466" w:rsidRDefault="00000000">
            <w:pPr>
              <w:spacing w:before="0" w:after="0" w:line="240" w:lineRule="auto"/>
              <w:jc w:val="center"/>
              <w:rPr>
                <w:sz w:val="20"/>
                <w:szCs w:val="20"/>
              </w:rPr>
            </w:pPr>
            <w:r>
              <w:rPr>
                <w:sz w:val="20"/>
                <w:szCs w:val="20"/>
              </w:rPr>
              <w:t>Baja</w:t>
            </w:r>
          </w:p>
        </w:tc>
        <w:tc>
          <w:tcPr>
            <w:tcW w:w="923"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3C15AC4" w14:textId="77777777" w:rsidR="00097466" w:rsidRDefault="00000000">
            <w:pPr>
              <w:spacing w:before="0" w:after="0" w:line="240" w:lineRule="auto"/>
              <w:jc w:val="center"/>
              <w:rPr>
                <w:sz w:val="20"/>
                <w:szCs w:val="20"/>
              </w:rPr>
            </w:pPr>
            <w:r>
              <w:rPr>
                <w:sz w:val="20"/>
                <w:szCs w:val="20"/>
              </w:rPr>
              <w:t>Medio</w:t>
            </w:r>
          </w:p>
        </w:tc>
        <w:tc>
          <w:tcPr>
            <w:tcW w:w="3937"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C3BC0F" w14:textId="77777777" w:rsidR="00097466" w:rsidRDefault="00000000" w:rsidP="00720356">
            <w:pPr>
              <w:keepNext/>
              <w:spacing w:before="0" w:after="0" w:line="240" w:lineRule="auto"/>
              <w:jc w:val="left"/>
              <w:rPr>
                <w:sz w:val="20"/>
                <w:szCs w:val="20"/>
              </w:rPr>
            </w:pPr>
            <w:r>
              <w:rPr>
                <w:sz w:val="20"/>
                <w:szCs w:val="20"/>
              </w:rPr>
              <w:t>Planificación con margen respecto a fechas de entrega; revisión del cronograma si es necesario</w:t>
            </w:r>
          </w:p>
        </w:tc>
      </w:tr>
    </w:tbl>
    <w:p w14:paraId="52E3698F" w14:textId="56A36725" w:rsidR="00720356" w:rsidRDefault="00720356" w:rsidP="00C67F76">
      <w:pPr>
        <w:pStyle w:val="Descripcin"/>
      </w:pPr>
      <w:bookmarkStart w:id="57" w:name="_Toc230792240"/>
      <w:r>
        <w:t xml:space="preserve">Tabla </w:t>
      </w:r>
      <w:fldSimple w:instr=" SEQ Tabla \* ARABIC ">
        <w:r w:rsidR="00716AEA">
          <w:rPr>
            <w:noProof/>
          </w:rPr>
          <w:t>3</w:t>
        </w:r>
      </w:fldSimple>
      <w:r>
        <w:t xml:space="preserve">. </w:t>
      </w:r>
      <w:r w:rsidRPr="00620889">
        <w:t>Evaluación de riesgos</w:t>
      </w:r>
      <w:bookmarkEnd w:id="57"/>
    </w:p>
    <w:p w14:paraId="7ACCDB8C" w14:textId="77777777" w:rsidR="00097466" w:rsidRDefault="00000000">
      <w:pPr>
        <w:pStyle w:val="Ttulo2"/>
        <w:numPr>
          <w:ilvl w:val="1"/>
          <w:numId w:val="16"/>
        </w:numPr>
      </w:pPr>
      <w:bookmarkStart w:id="58" w:name="_Toc229237669"/>
      <w:bookmarkStart w:id="59" w:name="_Toc230792308"/>
      <w:r>
        <w:t>Breve sumario de productos obtenidos</w:t>
      </w:r>
      <w:bookmarkEnd w:id="58"/>
      <w:bookmarkEnd w:id="59"/>
    </w:p>
    <w:p w14:paraId="2B4E059E" w14:textId="491BC0D3" w:rsidR="00DA1C00" w:rsidRDefault="00DA1C00" w:rsidP="00DA1C00">
      <w:r>
        <w:t>El presente TFM ha dado lugar a los siguientes productos:</w:t>
      </w:r>
    </w:p>
    <w:p w14:paraId="71BB2DEC" w14:textId="77777777" w:rsidR="00DA1C00" w:rsidRDefault="00DA1C00" w:rsidP="00DA1C00">
      <w:pPr>
        <w:pStyle w:val="Prrafodelista"/>
        <w:numPr>
          <w:ilvl w:val="0"/>
          <w:numId w:val="41"/>
        </w:numPr>
      </w:pPr>
      <w:r>
        <w:t xml:space="preserve">La presente </w:t>
      </w:r>
      <w:r w:rsidRPr="00DA1C00">
        <w:rPr>
          <w:b/>
          <w:bCs/>
        </w:rPr>
        <w:t>memoria final</w:t>
      </w:r>
      <w:r>
        <w:t>, en la que se describen el marco teórico, los objetivos, la metodología empleada, los resultados obtenidos y las conclusiones del trabajo.</w:t>
      </w:r>
    </w:p>
    <w:p w14:paraId="4F59EFCD" w14:textId="296A903C" w:rsidR="00DA1C00" w:rsidRDefault="00DA1C00" w:rsidP="00DA1C00">
      <w:pPr>
        <w:pStyle w:val="Prrafodelista"/>
        <w:numPr>
          <w:ilvl w:val="0"/>
          <w:numId w:val="41"/>
        </w:numPr>
      </w:pPr>
      <w:r>
        <w:t xml:space="preserve">Un conjunto de </w:t>
      </w:r>
      <w:r w:rsidRPr="00DA1C00">
        <w:rPr>
          <w:b/>
          <w:bCs/>
        </w:rPr>
        <w:t>pipelines bioinformáticos</w:t>
      </w:r>
      <w:r>
        <w:t xml:space="preserve"> </w:t>
      </w:r>
      <w:r w:rsidRPr="00DA1C00">
        <w:rPr>
          <w:b/>
          <w:bCs/>
        </w:rPr>
        <w:t>en formato HTML</w:t>
      </w:r>
      <w:r>
        <w:t xml:space="preserve">, generados a partir de documentos R </w:t>
      </w:r>
      <w:proofErr w:type="spellStart"/>
      <w:r>
        <w:t>Markdown</w:t>
      </w:r>
      <w:proofErr w:type="spellEnd"/>
      <w:r>
        <w:t>, correspondientes a los cinco bloques principales del análisis: preprocesamiento</w:t>
      </w:r>
      <w:r w:rsidR="003357F2">
        <w:t xml:space="preserve">; </w:t>
      </w:r>
      <w:r>
        <w:t>control de calidad, cálculo del IFN-score y estratificación IFN-</w:t>
      </w:r>
      <w:proofErr w:type="spellStart"/>
      <w:r>
        <w:t>high</w:t>
      </w:r>
      <w:proofErr w:type="spellEnd"/>
      <w:r>
        <w:t>/IFN-low</w:t>
      </w:r>
      <w:r w:rsidR="003357F2">
        <w:t xml:space="preserve">; </w:t>
      </w:r>
      <w:r>
        <w:t>análisis descriptivo y asociación clínica</w:t>
      </w:r>
      <w:r w:rsidR="003357F2">
        <w:t xml:space="preserve">; </w:t>
      </w:r>
      <w:r>
        <w:t>integración multi-</w:t>
      </w:r>
      <w:proofErr w:type="spellStart"/>
      <w:r>
        <w:t>ómica</w:t>
      </w:r>
      <w:proofErr w:type="spellEnd"/>
      <w:r>
        <w:t xml:space="preserve"> mediante MOFA2 y DIABLO</w:t>
      </w:r>
      <w:r w:rsidR="003357F2">
        <w:t>;</w:t>
      </w:r>
      <w:r>
        <w:t xml:space="preserve"> y modelización predictiva mediante LASSO.</w:t>
      </w:r>
    </w:p>
    <w:p w14:paraId="2777AB24" w14:textId="2FB8607A" w:rsidR="00DA1C00" w:rsidRPr="00DA1C00" w:rsidRDefault="00DA1C00" w:rsidP="00DA1C00">
      <w:pPr>
        <w:pStyle w:val="Prrafodelista"/>
        <w:numPr>
          <w:ilvl w:val="0"/>
          <w:numId w:val="41"/>
        </w:numPr>
      </w:pPr>
      <w:r>
        <w:t xml:space="preserve">Una </w:t>
      </w:r>
      <w:r w:rsidRPr="00DA1C00">
        <w:rPr>
          <w:b/>
          <w:bCs/>
        </w:rPr>
        <w:t>presentación en PowerPoint</w:t>
      </w:r>
      <w:r>
        <w:t xml:space="preserve"> para la defensa del TFM, en la que se sintetizan los objetivos, el diseño del estudio, la estrategia analítica, los principales resultados y las conclusiones.</w:t>
      </w:r>
    </w:p>
    <w:p w14:paraId="436A5742" w14:textId="77777777" w:rsidR="00097466" w:rsidRDefault="00000000">
      <w:pPr>
        <w:pStyle w:val="Ttulo2"/>
        <w:numPr>
          <w:ilvl w:val="1"/>
          <w:numId w:val="16"/>
        </w:numPr>
      </w:pPr>
      <w:bookmarkStart w:id="60" w:name="_heading=h.5bes52k98lx4" w:colFirst="0" w:colLast="0"/>
      <w:bookmarkStart w:id="61" w:name="_Toc229237670"/>
      <w:bookmarkStart w:id="62" w:name="_Toc230792309"/>
      <w:bookmarkEnd w:id="60"/>
      <w:r>
        <w:t>Declaración sobre el uso de inteligencia artificial generativa</w:t>
      </w:r>
      <w:bookmarkEnd w:id="61"/>
      <w:bookmarkEnd w:id="62"/>
    </w:p>
    <w:p w14:paraId="61A24D46" w14:textId="77777777" w:rsidR="00097466" w:rsidRDefault="00000000">
      <w:r>
        <w:t xml:space="preserve">Durante la redacción del presente Trabajo Final de Máster se ha empleado la herramienta de inteligencia artificial generativa </w:t>
      </w:r>
      <w:proofErr w:type="spellStart"/>
      <w:r>
        <w:t>Perplexity</w:t>
      </w:r>
      <w:proofErr w:type="spellEnd"/>
      <w:r>
        <w:t xml:space="preserve"> AI y Gemini con las siguientes finalidades: apoyo en la búsqueda bibliográfica inicial, asistencia en la corrección gramatical y mejora de la claridad expositiva de determinados párrafos de la memoria, y generación de tablas estructurales de contenido. En todos los casos, los contenidos generados han sido revisados, validados y adaptados críticamente por la autora, quien asume la responsabilidad intelectual íntegra del trabajo; ninguna referencia bibliográfica ha sido incluida sin verificación manual en PubMed y acceso al texto original. El diseño metodológico, la interpretación biológica y clínica de los </w:t>
      </w:r>
      <w:r>
        <w:lastRenderedPageBreak/>
        <w:t>resultados, el análisis crítico y las conclusiones del trabajo son de autoría exclusiva de la estudiante.</w:t>
      </w:r>
    </w:p>
    <w:p w14:paraId="2A7B6F84" w14:textId="77777777" w:rsidR="00097466" w:rsidRDefault="00000000">
      <w:pPr>
        <w:pStyle w:val="Ttulo1"/>
        <w:numPr>
          <w:ilvl w:val="0"/>
          <w:numId w:val="16"/>
        </w:numPr>
      </w:pPr>
      <w:bookmarkStart w:id="63" w:name="_Toc229237671"/>
      <w:bookmarkStart w:id="64" w:name="_Toc230792310"/>
      <w:r>
        <w:t>Estado del arte</w:t>
      </w:r>
      <w:bookmarkEnd w:id="63"/>
      <w:bookmarkEnd w:id="64"/>
    </w:p>
    <w:p w14:paraId="5C71E2CF" w14:textId="77777777" w:rsidR="00097466" w:rsidRDefault="00000000">
      <w:pPr>
        <w:pStyle w:val="Ttulo2"/>
        <w:numPr>
          <w:ilvl w:val="1"/>
          <w:numId w:val="17"/>
        </w:numPr>
      </w:pPr>
      <w:bookmarkStart w:id="65" w:name="_Toc229237672"/>
      <w:bookmarkStart w:id="66" w:name="_Toc230792311"/>
      <w:r>
        <w:t>El lupus eritematoso sistémico: epidemiología y heterogeneidad clínica</w:t>
      </w:r>
      <w:bookmarkEnd w:id="65"/>
      <w:bookmarkEnd w:id="66"/>
    </w:p>
    <w:p w14:paraId="18170075" w14:textId="62698A64" w:rsidR="00097466" w:rsidRDefault="00000000">
      <w:bookmarkStart w:id="67" w:name="_heading=h.e9mdu7zekrp7" w:colFirst="0" w:colLast="0"/>
      <w:bookmarkEnd w:id="67"/>
      <w:r>
        <w:t xml:space="preserve">El lupus eritematoso sistémico (LES) es una enfermedad autoinmune crónica de etiología multifactorial, caracterizada por la pérdida de tolerancia inmunológica frente a antígenos propios y la producción de autoanticuerpos dirigidos contra componentes nucleares </w:t>
      </w:r>
      <w:sdt>
        <w:sdtPr>
          <w:rPr>
            <w:color w:val="000000"/>
          </w:rPr>
          <w:tag w:val="MENDELEY_CITATION_v3_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"/>
          <w:id w:val="2078936063"/>
          <w:placeholder>
            <w:docPart w:val="DefaultPlaceholder_-1854013440"/>
          </w:placeholder>
        </w:sdtPr>
        <w:sdtContent>
          <w:r w:rsidR="00667B28" w:rsidRPr="00667B28">
            <w:rPr>
              <w:color w:val="000000"/>
            </w:rPr>
            <w:t>[1,2]</w:t>
          </w:r>
        </w:sdtContent>
      </w:sdt>
      <w:r>
        <w:t xml:space="preserve">. Su presentación clínica es notablemente heterogénea, pudiendo afectar a prácticamente cualquier órgano o sistema —articulaciones, piel, riñón, sistema nervioso central, sistema cardiovascular y aparato hematológico—, con un curso impredecible de brotes y remisiones. La prevalencia global del LES se estima entre 20 y 150 casos por 100 000 habitantes, con una marcada preponderancia femenina (9:1) y una mayor incidencia en determinados grupos étnicos </w:t>
      </w:r>
      <w:sdt>
        <w:sdtPr>
          <w:rPr>
            <w:color w:val="000000"/>
          </w:rPr>
          <w:tag w:val="MENDELEY_CITATION_v3_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"/>
          <w:id w:val="-845095899"/>
          <w:placeholder>
            <w:docPart w:val="DefaultPlaceholder_-1854013440"/>
          </w:placeholder>
        </w:sdtPr>
        <w:sdtContent>
          <w:r w:rsidR="00667B28" w:rsidRPr="00667B28">
            <w:rPr>
              <w:color w:val="000000"/>
            </w:rPr>
            <w:t>[2]</w:t>
          </w:r>
        </w:sdtContent>
      </w:sdt>
      <w:r>
        <w:t>. Esta heterogeneidad clínica e inmunológica constituye uno de los principales retos tanto para el diagnóstico como para la monitorización de la actividad de la enfermedad, lo que ha impulsado la búsqueda de biomarcadores moleculares que complementen la evaluación clínica convencional.</w:t>
      </w:r>
    </w:p>
    <w:p w14:paraId="45795980" w14:textId="77777777" w:rsidR="00097466" w:rsidRDefault="00000000">
      <w:pPr>
        <w:pStyle w:val="Ttulo2"/>
        <w:numPr>
          <w:ilvl w:val="1"/>
          <w:numId w:val="17"/>
        </w:numPr>
      </w:pPr>
      <w:bookmarkStart w:id="68" w:name="_Toc229237673"/>
      <w:bookmarkStart w:id="69" w:name="_Toc230792312"/>
      <w:r>
        <w:t>Índices clínicos: SLEDAI-2K, SLE-DAS, SLICC, LLDAS y DORIS</w:t>
      </w:r>
      <w:bookmarkEnd w:id="68"/>
      <w:bookmarkEnd w:id="69"/>
    </w:p>
    <w:p w14:paraId="5B6B6AE6" w14:textId="20474BA2" w:rsidR="00097466" w:rsidRDefault="00000000">
      <w:bookmarkStart w:id="70" w:name="_heading=h.398ilejx8t3u" w:colFirst="0" w:colLast="0"/>
      <w:bookmarkEnd w:id="70"/>
      <w:r>
        <w:t xml:space="preserve">La evaluación objetiva de la actividad del lupus eritematoso sistémico (LES) requiere instrumentos clínicos validados que operen en distintos niveles: cuantificación de la actividad, medición del daño acumulado y definición de objetivos terapéuticos. </w:t>
      </w:r>
      <w:r w:rsidR="000757B6">
        <w:t>La e</w:t>
      </w:r>
      <w:r w:rsidR="000757B6" w:rsidRPr="000757B6">
        <w:t>valuación de los scores de actividad, daño acumulado y remisión</w:t>
      </w:r>
      <w:r w:rsidR="000757B6">
        <w:t xml:space="preserve"> se resumen en la Tabla 4.</w:t>
      </w:r>
    </w:p>
    <w:p w14:paraId="42F0ECDF" w14:textId="7CDBB169" w:rsidR="00097466" w:rsidRDefault="00000000">
      <w:r>
        <w:t xml:space="preserve">El </w:t>
      </w:r>
      <w:r>
        <w:rPr>
          <w:b/>
          <w:bCs/>
        </w:rPr>
        <w:t>SLEDAI-2K</w:t>
      </w:r>
      <w:r>
        <w:t xml:space="preserve"> (</w:t>
      </w:r>
      <w:proofErr w:type="spellStart"/>
      <w:r>
        <w:rPr>
          <w:i/>
          <w:iCs/>
        </w:rPr>
        <w:t>Systemic</w:t>
      </w:r>
      <w:proofErr w:type="spellEnd"/>
      <w:r>
        <w:rPr>
          <w:i/>
          <w:iCs/>
        </w:rPr>
        <w:t xml:space="preserve"> Lupus </w:t>
      </w:r>
      <w:proofErr w:type="spellStart"/>
      <w:r>
        <w:rPr>
          <w:i/>
          <w:iCs/>
        </w:rPr>
        <w:t>Erythematosus</w:t>
      </w:r>
      <w:proofErr w:type="spellEnd"/>
      <w:r>
        <w:rPr>
          <w:i/>
          <w:iCs/>
        </w:rPr>
        <w:t xml:space="preserve"> </w:t>
      </w:r>
      <w:proofErr w:type="spellStart"/>
      <w:r>
        <w:rPr>
          <w:i/>
          <w:iCs/>
        </w:rPr>
        <w:t>Disease</w:t>
      </w:r>
      <w:proofErr w:type="spellEnd"/>
      <w:r>
        <w:rPr>
          <w:i/>
          <w:iCs/>
        </w:rPr>
        <w:t xml:space="preserve"> </w:t>
      </w:r>
      <w:proofErr w:type="spellStart"/>
      <w:r>
        <w:rPr>
          <w:i/>
          <w:iCs/>
        </w:rPr>
        <w:t>Activity</w:t>
      </w:r>
      <w:proofErr w:type="spellEnd"/>
      <w:r>
        <w:rPr>
          <w:i/>
          <w:iCs/>
        </w:rPr>
        <w:t xml:space="preserve"> </w:t>
      </w:r>
      <w:proofErr w:type="spellStart"/>
      <w:r>
        <w:rPr>
          <w:i/>
          <w:iCs/>
        </w:rPr>
        <w:t>Index</w:t>
      </w:r>
      <w:proofErr w:type="spellEnd"/>
      <w:r>
        <w:rPr>
          <w:i/>
          <w:iCs/>
        </w:rPr>
        <w:t xml:space="preserve"> 2000</w:t>
      </w:r>
      <w:r>
        <w:t>) es el índice más ampliamente utilizado tanto en la práctica clínica como en los ensayos terapéuticos</w:t>
      </w:r>
      <w:r w:rsidR="00CB3724" w:rsidRPr="00CB3724">
        <w:rPr>
          <w:color w:val="000000"/>
        </w:rPr>
        <w:t xml:space="preserve"> </w:t>
      </w:r>
      <w:sdt>
        <w:sdtPr>
          <w:rPr>
            <w:color w:val="000000"/>
          </w:rPr>
          <w:tag w:val="MENDELEY_CITATION_v3_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"/>
          <w:id w:val="2117405796"/>
          <w:placeholder>
            <w:docPart w:val="C2EF861B1657994E9174790AC9DCC272"/>
          </w:placeholder>
        </w:sdtPr>
        <w:sdtContent>
          <w:r w:rsidR="00667B28" w:rsidRPr="00667B28">
            <w:rPr>
              <w:color w:val="000000"/>
            </w:rPr>
            <w:t>[3]</w:t>
          </w:r>
        </w:sdtContent>
      </w:sdt>
      <w:r>
        <w:t>.</w:t>
      </w:r>
      <w:r w:rsidR="00CB3724" w:rsidRPr="00CB3724">
        <w:rPr>
          <w:color w:val="000000"/>
        </w:rPr>
        <w:t xml:space="preserve"> </w:t>
      </w:r>
      <w:r>
        <w:t>Su puntuación se obtiene sumando los pesos ponderados de 24 descriptores clínicos y de laboratorio presentes en el momento de la evaluación o en los 30 días previos, agrupados en cuatro dominios: sistema nervioso central, vascular, renal y otros órganos. Cada descriptor contribuye con un peso fijo según su gravedad clínica: los descriptores neurológicos graves (convulsiones, psicosis, síndrome cerebral orgánico) y la vasculitis puntúan 8; la artritis, la miositis, los cilindros urinarios y la hematuria puntúan 4; la erupción, la alopecia, las úlceras mucosas, la pleuritis y la pericarditis puntúan 2; y los marcadores serológicos (</w:t>
      </w:r>
      <w:proofErr w:type="spellStart"/>
      <w:r>
        <w:t>hipocomplementemia</w:t>
      </w:r>
      <w:proofErr w:type="spellEnd"/>
      <w:r>
        <w:t>, anti-</w:t>
      </w:r>
      <w:proofErr w:type="spellStart"/>
      <w:r>
        <w:t>dsDNA</w:t>
      </w:r>
      <w:proofErr w:type="spellEnd"/>
      <w:r>
        <w:t xml:space="preserve"> elevados) puntúan 2 y 4 respectivamente. La puntuación total oscila entre 0 y 105 puntos, siendo los umbrales habituales: actividad leve (1–5), moderada (6–10), alta (11–19) y muy alta (≥20)</w:t>
      </w:r>
      <w:r w:rsidR="006E189A">
        <w:t xml:space="preserve"> </w:t>
      </w:r>
      <w:sdt>
        <w:sdtPr>
          <w:rPr>
            <w:color w:val="000000"/>
          </w:rPr>
          <w:tag w:val="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"/>
          <w:id w:val="-29261200"/>
          <w:placeholder>
            <w:docPart w:val="DefaultPlaceholder_-1854013440"/>
          </w:placeholder>
        </w:sdtPr>
        <w:sdtContent>
          <w:r w:rsidR="00667B28" w:rsidRPr="00667B28">
            <w:rPr>
              <w:color w:val="000000"/>
            </w:rPr>
            <w:t>[4–6]</w:t>
          </w:r>
        </w:sdtContent>
      </w:sdt>
      <w:r>
        <w:t xml:space="preserve">. Sin embargo, presenta limitaciones en su sensibilidad al cambio, dado que emplea variables dicotómicas con ponderaciones fijas que dificultan la detección de variaciones clínicamente relevantes en la actividad de la enfermedad </w:t>
      </w:r>
      <w:sdt>
        <w:sdtPr>
          <w:rPr>
            <w:color w:val="000000"/>
          </w:rPr>
          <w:tag w:val="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"/>
          <w:id w:val="-434906724"/>
          <w:placeholder>
            <w:docPart w:val="DefaultPlaceholder_-1854013440"/>
          </w:placeholder>
        </w:sdtPr>
        <w:sdtContent>
          <w:r w:rsidR="00667B28" w:rsidRPr="00667B28">
            <w:rPr>
              <w:color w:val="000000"/>
            </w:rPr>
            <w:t>[7,8]</w:t>
          </w:r>
        </w:sdtContent>
      </w:sdt>
      <w:r>
        <w:t xml:space="preserve">. </w:t>
      </w:r>
    </w:p>
    <w:p w14:paraId="2FBBEF65" w14:textId="09469E93" w:rsidR="00097466" w:rsidRDefault="00000000">
      <w:bookmarkStart w:id="71" w:name="_heading=h.e6chi4oan5ls" w:colFirst="0" w:colLast="0"/>
      <w:bookmarkEnd w:id="71"/>
      <w:r>
        <w:lastRenderedPageBreak/>
        <w:t xml:space="preserve">Para superar estas limitaciones, Jesús et al. (2019) desarrollaron y validaron el </w:t>
      </w:r>
      <w:r>
        <w:rPr>
          <w:b/>
          <w:bCs/>
        </w:rPr>
        <w:t>SLE-DAS</w:t>
      </w:r>
      <w:r>
        <w:t xml:space="preserve"> (</w:t>
      </w:r>
      <w:r>
        <w:rPr>
          <w:i/>
          <w:iCs/>
        </w:rPr>
        <w:t xml:space="preserve">SLE </w:t>
      </w:r>
      <w:proofErr w:type="spellStart"/>
      <w:r>
        <w:rPr>
          <w:i/>
          <w:iCs/>
        </w:rPr>
        <w:t>Disease</w:t>
      </w:r>
      <w:proofErr w:type="spellEnd"/>
      <w:r>
        <w:rPr>
          <w:i/>
          <w:iCs/>
        </w:rPr>
        <w:t xml:space="preserve"> </w:t>
      </w:r>
      <w:proofErr w:type="spellStart"/>
      <w:r>
        <w:rPr>
          <w:i/>
          <w:iCs/>
        </w:rPr>
        <w:t>Activity</w:t>
      </w:r>
      <w:proofErr w:type="spellEnd"/>
      <w:r>
        <w:rPr>
          <w:i/>
          <w:iCs/>
        </w:rPr>
        <w:t xml:space="preserve"> Score</w:t>
      </w:r>
      <w:r>
        <w:t xml:space="preserve">), un instrumento continuo de 17 ítems que ha demostrado una mayor sensibilidad para detectar cambios clínicamente significativos (89,5 % vs 47,4 % del SLEDAI-2K para mejoras clínicas relevantes) y una mayor capacidad predictiva de daño acumulado </w:t>
      </w:r>
      <w:sdt>
        <w:sdtPr>
          <w:rPr>
            <w:color w:val="000000"/>
          </w:rPr>
          <w:tag w:val="MENDELEY_CITATION_v3_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"/>
          <w:id w:val="-386731464"/>
          <w:placeholder>
            <w:docPart w:val="DefaultPlaceholder_-1854013440"/>
          </w:placeholder>
        </w:sdtPr>
        <w:sdtContent>
          <w:r w:rsidR="00667B28" w:rsidRPr="00667B28">
            <w:rPr>
              <w:color w:val="000000"/>
            </w:rPr>
            <w:t>[7]</w:t>
          </w:r>
        </w:sdtContent>
      </w:sdt>
      <w:r>
        <w:t>. Su puntuación se obtiene mediante una fórmula de regresión lineal multivariante en la que cada ítem recibe una ponderación estadística derivada del PGA (</w:t>
      </w:r>
      <w:proofErr w:type="spellStart"/>
      <w:r>
        <w:rPr>
          <w:i/>
          <w:iCs/>
        </w:rPr>
        <w:t>Physician</w:t>
      </w:r>
      <w:proofErr w:type="spellEnd"/>
      <w:r>
        <w:rPr>
          <w:i/>
          <w:iCs/>
        </w:rPr>
        <w:t xml:space="preserve"> Global </w:t>
      </w:r>
      <w:proofErr w:type="spellStart"/>
      <w:r>
        <w:rPr>
          <w:i/>
          <w:iCs/>
        </w:rPr>
        <w:t>Assessment</w:t>
      </w:r>
      <w:proofErr w:type="spellEnd"/>
      <w:r>
        <w:t xml:space="preserve">) como variable dependiente. Los 17 ítems incluyen tanto variables dicotómicas (presencia/ausencia de afectación neuropsiquiátrica, vasculitis, </w:t>
      </w:r>
      <w:proofErr w:type="spellStart"/>
      <w:r>
        <w:t>serositis</w:t>
      </w:r>
      <w:proofErr w:type="spellEnd"/>
      <w:r>
        <w:t xml:space="preserve">, </w:t>
      </w:r>
      <w:proofErr w:type="spellStart"/>
      <w:r>
        <w:t>rash</w:t>
      </w:r>
      <w:proofErr w:type="spellEnd"/>
      <w:r>
        <w:t xml:space="preserve"> cutáneo localizado o generalizado, alopecia, úlceras mucosas, miositis, anemia hemolítica, </w:t>
      </w:r>
      <w:proofErr w:type="spellStart"/>
      <w:r>
        <w:t>hipocomplementemia</w:t>
      </w:r>
      <w:proofErr w:type="spellEnd"/>
      <w:r>
        <w:t xml:space="preserve"> y anti-</w:t>
      </w:r>
      <w:proofErr w:type="spellStart"/>
      <w:r>
        <w:t>dsDNA</w:t>
      </w:r>
      <w:proofErr w:type="spellEnd"/>
      <w:r>
        <w:t xml:space="preserve"> elevados) como variables continuas (recuento de articulaciones inflamadas, cociente proteína/creatinina en orina, y valores de plaquetas y leucocitos cuando se encuentran por debajo del límite normal), estas últimas modeladas mediante transformación logarítmica para reflejar adecuadamente su relación con la actividad clínica</w:t>
      </w:r>
      <w:r w:rsidR="006E189A">
        <w:rPr>
          <w:color w:val="000000"/>
        </w:rPr>
        <w:t xml:space="preserve"> </w:t>
      </w:r>
      <w:sdt>
        <w:sdtPr>
          <w:rPr>
            <w:color w:val="000000"/>
          </w:rPr>
          <w:tag w:val="MENDELEY_CITATION_v3_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"/>
          <w:id w:val="793946189"/>
          <w:placeholder>
            <w:docPart w:val="DefaultPlaceholder_-1854013440"/>
          </w:placeholder>
        </w:sdtPr>
        <w:sdtContent>
          <w:r w:rsidR="00667B28" w:rsidRPr="00667B28">
            <w:rPr>
              <w:color w:val="000000"/>
            </w:rPr>
            <w:t>[7]</w:t>
          </w:r>
        </w:sdtContent>
      </w:sdt>
      <w:r>
        <w:t>. La puntuación se calcula según la fórmula publicada por Jorge et al. 2021 y se categorizó en remisión (SLE-DAS ≤ 2.08), actividad leve (2.08 &lt; SLE-DAS ≤ 7.64) y actividad moderada</w:t>
      </w:r>
      <w:r>
        <w:rPr>
          <w:rFonts w:ascii="Cambria Math" w:eastAsia="Cambria Math" w:hAnsi="Cambria Math" w:cs="Cambria Math"/>
        </w:rPr>
        <w:t>‑</w:t>
      </w:r>
      <w:r>
        <w:t xml:space="preserve">grave (SLE-DAS &gt; 7.64), de acuerdo con las definiciones establecidas </w:t>
      </w:r>
      <w:sdt>
        <w:sdtPr>
          <w:rPr>
            <w:color w:val="000000"/>
          </w:rPr>
          <w:tag w:val="MENDELEY_CITATION_v3_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"/>
          <w:id w:val="-1785883527"/>
          <w:placeholder>
            <w:docPart w:val="DefaultPlaceholder_-1854013440"/>
          </w:placeholder>
        </w:sdtPr>
        <w:sdtContent>
          <w:r w:rsidR="00667B28" w:rsidRPr="00667B28">
            <w:rPr>
              <w:color w:val="000000"/>
            </w:rPr>
            <w:t>[9]</w:t>
          </w:r>
        </w:sdtContent>
      </w:sdt>
      <w:r>
        <w:rPr>
          <w:color w:val="000000"/>
        </w:rPr>
        <w:t xml:space="preserve">. </w:t>
      </w:r>
      <w:r>
        <w:t xml:space="preserve">A diferencia del SLEDAI-2K, el SLE-DAS proporciona una medición continua que permite captar variaciones clínicas sutiles, lo que lo hace especialmente valioso en estudios longitudinales y de correlación con biomarcadores moleculares. </w:t>
      </w:r>
    </w:p>
    <w:p w14:paraId="57DBBB00" w14:textId="1C76093E" w:rsidR="00097466" w:rsidRDefault="00000000">
      <w:r>
        <w:t xml:space="preserve">Por otro lado, el </w:t>
      </w:r>
      <w:r>
        <w:rPr>
          <w:b/>
          <w:bCs/>
        </w:rPr>
        <w:t>SLICC-DI</w:t>
      </w:r>
      <w:r>
        <w:t xml:space="preserve"> (</w:t>
      </w:r>
      <w:proofErr w:type="spellStart"/>
      <w:r>
        <w:rPr>
          <w:i/>
          <w:iCs/>
        </w:rPr>
        <w:t>Systemic</w:t>
      </w:r>
      <w:proofErr w:type="spellEnd"/>
      <w:r>
        <w:rPr>
          <w:i/>
          <w:iCs/>
        </w:rPr>
        <w:t xml:space="preserve"> Lupus International </w:t>
      </w:r>
      <w:proofErr w:type="spellStart"/>
      <w:r>
        <w:rPr>
          <w:i/>
          <w:iCs/>
        </w:rPr>
        <w:t>Collaborating</w:t>
      </w:r>
      <w:proofErr w:type="spellEnd"/>
      <w:r>
        <w:rPr>
          <w:i/>
          <w:iCs/>
        </w:rPr>
        <w:t xml:space="preserve"> </w:t>
      </w:r>
      <w:proofErr w:type="spellStart"/>
      <w:r>
        <w:rPr>
          <w:i/>
          <w:iCs/>
        </w:rPr>
        <w:t>Clinics</w:t>
      </w:r>
      <w:proofErr w:type="spellEnd"/>
      <w:r>
        <w:rPr>
          <w:i/>
          <w:iCs/>
        </w:rPr>
        <w:t xml:space="preserve">/American College of </w:t>
      </w:r>
      <w:proofErr w:type="spellStart"/>
      <w:r>
        <w:rPr>
          <w:i/>
          <w:iCs/>
        </w:rPr>
        <w:t>Rheumatology</w:t>
      </w:r>
      <w:proofErr w:type="spellEnd"/>
      <w:r>
        <w:rPr>
          <w:i/>
          <w:iCs/>
        </w:rPr>
        <w:t xml:space="preserve"> </w:t>
      </w:r>
      <w:proofErr w:type="spellStart"/>
      <w:r>
        <w:rPr>
          <w:i/>
          <w:iCs/>
        </w:rPr>
        <w:t>Damage</w:t>
      </w:r>
      <w:proofErr w:type="spellEnd"/>
      <w:r>
        <w:rPr>
          <w:i/>
          <w:iCs/>
        </w:rPr>
        <w:t xml:space="preserve"> </w:t>
      </w:r>
      <w:proofErr w:type="spellStart"/>
      <w:r>
        <w:rPr>
          <w:i/>
          <w:iCs/>
        </w:rPr>
        <w:t>Index</w:t>
      </w:r>
      <w:proofErr w:type="spellEnd"/>
      <w:r>
        <w:t xml:space="preserve">) complementa los índices de actividad al cuantificar el daño orgánico irreversible acumulado desde el diagnóstico. Evalúa 12 dominios —ocular, neuropsiquiátrico, renal, cardiovascular, pulmonar, gastrointestinal, gonadal, cutáneo, periférico vascular, endocrino, malignidad y musculoesquelético— con una puntuación máxima posible de 47 puntos. El daño acumulado se considera un predictor fundamental de pronóstico y mortalidad, siendo un diferenciador clave respecto a los índices de actividad pues mide consecuencias persistentes, independientemente de si la enfermedad está o no activa en ese momento </w:t>
      </w:r>
      <w:sdt>
        <w:sdtPr>
          <w:rPr>
            <w:color w:val="000000"/>
          </w:rPr>
          <w:tag w:val="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"/>
          <w:id w:val="-941064583"/>
          <w:placeholder>
            <w:docPart w:val="DefaultPlaceholder_-1854013440"/>
          </w:placeholder>
        </w:sdtPr>
        <w:sdtContent>
          <w:r w:rsidR="00667B28" w:rsidRPr="00667B28">
            <w:rPr>
              <w:color w:val="000000"/>
            </w:rPr>
            <w:t>[8,10]</w:t>
          </w:r>
        </w:sdtContent>
      </w:sdt>
      <w:r>
        <w:t>.</w:t>
      </w:r>
    </w:p>
    <w:p w14:paraId="23A1C984" w14:textId="36F6DFBC" w:rsidR="00097466" w:rsidRDefault="00000000">
      <w:bookmarkStart w:id="72" w:name="_heading=h.ihorqe38kfqh" w:colFirst="0" w:colLast="0"/>
      <w:bookmarkEnd w:id="72"/>
      <w:r>
        <w:t xml:space="preserve">Complementariamente, la definición de objetivos terapéuticos se ha establecido en base a dos conceptos fundamentales: el </w:t>
      </w:r>
      <w:r>
        <w:rPr>
          <w:b/>
          <w:bCs/>
        </w:rPr>
        <w:t>LLDAS</w:t>
      </w:r>
      <w:r>
        <w:t xml:space="preserve"> (Lupus Low </w:t>
      </w:r>
      <w:proofErr w:type="spellStart"/>
      <w:r>
        <w:t>Disease</w:t>
      </w:r>
      <w:proofErr w:type="spellEnd"/>
      <w:r>
        <w:t xml:space="preserve"> </w:t>
      </w:r>
      <w:proofErr w:type="spellStart"/>
      <w:r>
        <w:t>Activity</w:t>
      </w:r>
      <w:proofErr w:type="spellEnd"/>
      <w:r>
        <w:t xml:space="preserve"> </w:t>
      </w:r>
      <w:proofErr w:type="spellStart"/>
      <w:r>
        <w:t>State</w:t>
      </w:r>
      <w:proofErr w:type="spellEnd"/>
      <w:r>
        <w:t xml:space="preserve">), que requiere el cumplimiento simultáneo de cinco condiciones: (1) SLEDAI-2K ≤4, sin actividad en órganos mayores (renal, sistema nervioso central, cardiopulmonar, vasculitis, fiebre) ni anemia hemolítica ni actividad gastrointestinal; (2) ausencia de nuevas manifestaciones de actividad lúpica respecto a la evaluación anterior; (3) evaluación global del médico (PGA, escala 0–3) ≤1; (4) dosis de prednisona (o equivalente) ≤7,5 mg/día; y (5) dosis de mantenimiento estándar bien toleradas de inmunosupresores y agentes biológicos </w:t>
      </w:r>
      <w:sdt>
        <w:sdtPr>
          <w:rPr>
            <w:color w:val="000000"/>
          </w:rPr>
          <w:tag w:val="MENDELEY_CITATION_v3_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"/>
          <w:id w:val="1959757475"/>
          <w:placeholder>
            <w:docPart w:val="DefaultPlaceholder_-1854013440"/>
          </w:placeholder>
        </w:sdtPr>
        <w:sdtContent>
          <w:r w:rsidR="00667B28" w:rsidRPr="00667B28">
            <w:rPr>
              <w:color w:val="000000"/>
            </w:rPr>
            <w:t>[10]</w:t>
          </w:r>
        </w:sdtContent>
      </w:sdt>
      <w:r>
        <w:t xml:space="preserve">, y la remisión según los criterios </w:t>
      </w:r>
      <w:r>
        <w:rPr>
          <w:b/>
          <w:bCs/>
        </w:rPr>
        <w:t>DORIS</w:t>
      </w:r>
      <w:r>
        <w:t xml:space="preserve"> (</w:t>
      </w:r>
      <w:proofErr w:type="spellStart"/>
      <w:r>
        <w:t>Definition</w:t>
      </w:r>
      <w:proofErr w:type="spellEnd"/>
      <w:r>
        <w:t xml:space="preserve"> Of </w:t>
      </w:r>
      <w:proofErr w:type="spellStart"/>
      <w:r>
        <w:t>Remission</w:t>
      </w:r>
      <w:proofErr w:type="spellEnd"/>
      <w:r>
        <w:t xml:space="preserve"> In SLE), cuyas recomendaciones finales fueron publicadas por van </w:t>
      </w:r>
      <w:proofErr w:type="spellStart"/>
      <w:r>
        <w:t>Vollenhoven</w:t>
      </w:r>
      <w:proofErr w:type="spellEnd"/>
      <w:r>
        <w:t xml:space="preserve"> et al. (2021) </w:t>
      </w:r>
      <w:r>
        <w:rPr>
          <w:color w:val="000000"/>
        </w:rPr>
        <w:t>y requieren el cumplimiento simultáneo de (1) SLEDAI-2K clínico = 0 (excluyendo los ítems serológicos anti-</w:t>
      </w:r>
      <w:proofErr w:type="spellStart"/>
      <w:r>
        <w:rPr>
          <w:color w:val="000000"/>
        </w:rPr>
        <w:t>dsDNA</w:t>
      </w:r>
      <w:proofErr w:type="spellEnd"/>
      <w:r>
        <w:rPr>
          <w:color w:val="000000"/>
        </w:rPr>
        <w:t xml:space="preserve"> y complemento); (2) evaluación global del médico (</w:t>
      </w:r>
      <w:proofErr w:type="spellStart"/>
      <w:r>
        <w:rPr>
          <w:color w:val="000000"/>
        </w:rPr>
        <w:t>Evaluator's</w:t>
      </w:r>
      <w:proofErr w:type="spellEnd"/>
      <w:r>
        <w:rPr>
          <w:color w:val="000000"/>
        </w:rPr>
        <w:t xml:space="preserve"> Global </w:t>
      </w:r>
      <w:proofErr w:type="spellStart"/>
      <w:r>
        <w:rPr>
          <w:color w:val="000000"/>
        </w:rPr>
        <w:t>Assessment</w:t>
      </w:r>
      <w:proofErr w:type="spellEnd"/>
      <w:r>
        <w:rPr>
          <w:color w:val="000000"/>
        </w:rPr>
        <w:t>, escala 0–3) &lt;0,5; (3) prednisona ≤5 mg/día; y (4) tratamiento de mantenimiento estable con antipalúdicos, inmunosupresores y biológicos</w:t>
      </w:r>
      <w:r w:rsidR="006E189A">
        <w:rPr>
          <w:color w:val="000000"/>
        </w:rPr>
        <w:t xml:space="preserve"> </w:t>
      </w:r>
      <w:sdt>
        <w:sdtPr>
          <w:rPr>
            <w:color w:val="000000"/>
          </w:rPr>
          <w:tag w:val="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"/>
          <w:id w:val="-632474336"/>
          <w:placeholder>
            <w:docPart w:val="DefaultPlaceholder_-1854013440"/>
          </w:placeholder>
        </w:sdtPr>
        <w:sdtContent>
          <w:r w:rsidR="00667B28" w:rsidRPr="00667B28">
            <w:rPr>
              <w:color w:val="000000"/>
            </w:rPr>
            <w:t>[11]</w:t>
          </w:r>
        </w:sdtContent>
      </w:sdt>
      <w:r>
        <w:rPr>
          <w:color w:val="000000"/>
        </w:rPr>
        <w:t>.</w:t>
      </w:r>
      <w:r>
        <w:t xml:space="preserve"> El cumplimiento sostenido de ambos estados se ha asociado con una menor acumulación de daño orgánico a </w:t>
      </w:r>
      <w:r>
        <w:lastRenderedPageBreak/>
        <w:t>largo plazo. La disponibilidad de estos índices permite una caracterización precisa y graduada de la actividad clínica, facilitando su correlación con biomarcadores moleculares.</w:t>
      </w:r>
    </w:p>
    <w:p w14:paraId="10BC909E" w14:textId="77777777" w:rsidR="00097466" w:rsidRDefault="00000000">
      <w:r>
        <w:t>A pesar de su validación internacional, estos índices presentan limitaciones: (1) dependen de la evaluación clínica subjetiva en algunas dimensiones; (2) no capturan la actividad molecular subclínica que puede preceder a las manifestaciones clínicas; (3) no reflejan la heterogeneidad de mecanismos fisiopatológicos subyacentes en pacientes con fenotipos clínicos similares. Estas limitaciones justifican precisamente la integración de biomarcadores moleculares —como las firmas de interferón medidas mediante transcriptómica y proteómica sérica— para obtener una caracterización más completa de la actividad del LES, complementando la información clínica aportada por SLEDAI-2K, SLE-DAS, SLICC, LLDAS y DORIS.</w:t>
      </w:r>
    </w:p>
    <w:tbl>
      <w:tblPr>
        <w:tblStyle w:val="a4"/>
        <w:tblW w:w="8489" w:type="dxa"/>
        <w:jc w:val="center"/>
        <w:tblInd w:w="0" w:type="dxa"/>
        <w:tblLayout w:type="fixed"/>
        <w:tblLook w:val="0400" w:firstRow="0" w:lastRow="0" w:firstColumn="0" w:lastColumn="0" w:noHBand="0" w:noVBand="1"/>
      </w:tblPr>
      <w:tblGrid>
        <w:gridCol w:w="1106"/>
        <w:gridCol w:w="1145"/>
        <w:gridCol w:w="761"/>
        <w:gridCol w:w="1974"/>
        <w:gridCol w:w="1665"/>
        <w:gridCol w:w="1838"/>
      </w:tblGrid>
      <w:tr w:rsidR="00097466" w14:paraId="07943DF0" w14:textId="77777777">
        <w:trPr>
          <w:tblHeader/>
          <w:jc w:val="center"/>
        </w:trPr>
        <w:tc>
          <w:tcPr>
            <w:tcW w:w="1106"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D04B1B3" w14:textId="77777777" w:rsidR="00097466" w:rsidRDefault="00000000">
            <w:pPr>
              <w:spacing w:before="0" w:after="0" w:line="240" w:lineRule="auto"/>
              <w:jc w:val="center"/>
              <w:rPr>
                <w:b/>
                <w:bCs/>
                <w:sz w:val="20"/>
                <w:szCs w:val="20"/>
              </w:rPr>
            </w:pPr>
            <w:r>
              <w:rPr>
                <w:b/>
                <w:bCs/>
                <w:sz w:val="20"/>
                <w:szCs w:val="20"/>
              </w:rPr>
              <w:t>Variable</w:t>
            </w:r>
          </w:p>
        </w:tc>
        <w:tc>
          <w:tcPr>
            <w:tcW w:w="114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821F1A0" w14:textId="77777777" w:rsidR="00097466" w:rsidRDefault="00000000">
            <w:pPr>
              <w:spacing w:before="0" w:after="0" w:line="240" w:lineRule="auto"/>
              <w:jc w:val="center"/>
              <w:rPr>
                <w:b/>
                <w:bCs/>
                <w:sz w:val="20"/>
                <w:szCs w:val="20"/>
              </w:rPr>
            </w:pPr>
            <w:r>
              <w:rPr>
                <w:b/>
                <w:bCs/>
                <w:sz w:val="20"/>
                <w:szCs w:val="20"/>
              </w:rPr>
              <w:t>Naturaleza</w:t>
            </w:r>
          </w:p>
        </w:tc>
        <w:tc>
          <w:tcPr>
            <w:tcW w:w="761"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393F598C" w14:textId="77777777" w:rsidR="00097466" w:rsidRDefault="00000000">
            <w:pPr>
              <w:spacing w:before="0" w:after="0" w:line="240" w:lineRule="auto"/>
              <w:jc w:val="center"/>
              <w:rPr>
                <w:b/>
                <w:bCs/>
                <w:sz w:val="20"/>
                <w:szCs w:val="20"/>
              </w:rPr>
            </w:pPr>
            <w:r>
              <w:rPr>
                <w:b/>
                <w:bCs/>
                <w:sz w:val="20"/>
                <w:szCs w:val="20"/>
              </w:rPr>
              <w:t>Rango</w:t>
            </w:r>
          </w:p>
        </w:tc>
        <w:tc>
          <w:tcPr>
            <w:tcW w:w="197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4E5B2234" w14:textId="77777777" w:rsidR="00097466" w:rsidRDefault="00000000">
            <w:pPr>
              <w:spacing w:before="0" w:after="0" w:line="240" w:lineRule="auto"/>
              <w:jc w:val="center"/>
              <w:rPr>
                <w:b/>
                <w:bCs/>
                <w:sz w:val="20"/>
                <w:szCs w:val="20"/>
              </w:rPr>
            </w:pPr>
            <w:r>
              <w:rPr>
                <w:b/>
                <w:bCs/>
                <w:sz w:val="20"/>
                <w:szCs w:val="20"/>
              </w:rPr>
              <w:t>Categorías</w:t>
            </w:r>
          </w:p>
        </w:tc>
        <w:tc>
          <w:tcPr>
            <w:tcW w:w="1665"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193C16A2" w14:textId="77777777" w:rsidR="00097466" w:rsidRDefault="00000000">
            <w:pPr>
              <w:spacing w:before="0" w:after="0" w:line="240" w:lineRule="auto"/>
              <w:jc w:val="center"/>
              <w:rPr>
                <w:b/>
                <w:bCs/>
                <w:sz w:val="20"/>
                <w:szCs w:val="20"/>
              </w:rPr>
            </w:pPr>
            <w:r>
              <w:rPr>
                <w:b/>
                <w:bCs/>
                <w:sz w:val="20"/>
                <w:szCs w:val="20"/>
              </w:rPr>
              <w:t>Descriptivo</w:t>
            </w:r>
          </w:p>
        </w:tc>
        <w:tc>
          <w:tcPr>
            <w:tcW w:w="183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313D145A" w14:textId="77777777" w:rsidR="00097466" w:rsidRDefault="00000000">
            <w:pPr>
              <w:spacing w:before="0" w:after="0" w:line="240" w:lineRule="auto"/>
              <w:jc w:val="center"/>
              <w:rPr>
                <w:b/>
                <w:bCs/>
                <w:sz w:val="20"/>
                <w:szCs w:val="20"/>
              </w:rPr>
            </w:pPr>
            <w:r>
              <w:rPr>
                <w:b/>
                <w:bCs/>
                <w:sz w:val="20"/>
                <w:szCs w:val="20"/>
              </w:rPr>
              <w:t>Test comparación</w:t>
            </w:r>
          </w:p>
          <w:p w14:paraId="0F428FD3" w14:textId="77777777" w:rsidR="00097466" w:rsidRDefault="00000000">
            <w:pPr>
              <w:spacing w:before="0" w:after="0" w:line="240" w:lineRule="auto"/>
              <w:jc w:val="center"/>
              <w:rPr>
                <w:b/>
                <w:bCs/>
                <w:sz w:val="20"/>
                <w:szCs w:val="20"/>
              </w:rPr>
            </w:pPr>
            <w:r>
              <w:rPr>
                <w:b/>
                <w:bCs/>
                <w:sz w:val="20"/>
                <w:szCs w:val="20"/>
              </w:rPr>
              <w:t>(No paramétrico)</w:t>
            </w:r>
          </w:p>
        </w:tc>
      </w:tr>
      <w:tr w:rsidR="00097466" w14:paraId="6E0E2F91" w14:textId="77777777">
        <w:trPr>
          <w:jc w:val="center"/>
        </w:trPr>
        <w:tc>
          <w:tcPr>
            <w:tcW w:w="11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18E113" w14:textId="77777777" w:rsidR="00097466" w:rsidRDefault="00000000">
            <w:pPr>
              <w:spacing w:before="0" w:after="0" w:line="240" w:lineRule="auto"/>
              <w:jc w:val="center"/>
              <w:rPr>
                <w:sz w:val="20"/>
                <w:szCs w:val="20"/>
              </w:rPr>
            </w:pPr>
            <w:r>
              <w:rPr>
                <w:b/>
                <w:bCs/>
                <w:sz w:val="20"/>
                <w:szCs w:val="20"/>
              </w:rPr>
              <w:t>SLEDAI-2K</w:t>
            </w:r>
          </w:p>
        </w:tc>
        <w:tc>
          <w:tcPr>
            <w:tcW w:w="11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E7F7B48" w14:textId="77777777" w:rsidR="00097466" w:rsidRDefault="00000000">
            <w:pPr>
              <w:spacing w:before="0" w:after="0" w:line="240" w:lineRule="auto"/>
              <w:jc w:val="center"/>
              <w:rPr>
                <w:sz w:val="20"/>
                <w:szCs w:val="20"/>
              </w:rPr>
            </w:pPr>
            <w:r>
              <w:rPr>
                <w:sz w:val="20"/>
                <w:szCs w:val="20"/>
              </w:rPr>
              <w:t>Ordinal discreta</w:t>
            </w:r>
          </w:p>
        </w:tc>
        <w:tc>
          <w:tcPr>
            <w:tcW w:w="76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A949C8" w14:textId="77777777" w:rsidR="00097466" w:rsidRDefault="00000000">
            <w:pPr>
              <w:spacing w:before="0" w:after="0" w:line="240" w:lineRule="auto"/>
              <w:jc w:val="center"/>
              <w:rPr>
                <w:sz w:val="20"/>
                <w:szCs w:val="20"/>
              </w:rPr>
            </w:pPr>
            <w:r>
              <w:rPr>
                <w:sz w:val="20"/>
                <w:szCs w:val="20"/>
              </w:rPr>
              <w:t>0–105</w:t>
            </w:r>
          </w:p>
        </w:tc>
        <w:tc>
          <w:tcPr>
            <w:tcW w:w="1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804237" w14:textId="77777777" w:rsidR="00097466" w:rsidRDefault="00000000">
            <w:pPr>
              <w:spacing w:before="0" w:after="0" w:line="240" w:lineRule="auto"/>
              <w:jc w:val="center"/>
              <w:rPr>
                <w:sz w:val="20"/>
                <w:szCs w:val="20"/>
              </w:rPr>
            </w:pPr>
            <w:r>
              <w:rPr>
                <w:sz w:val="20"/>
                <w:szCs w:val="20"/>
              </w:rPr>
              <w:t>Leve (1–5), Moderada (6–10), Alta (11–19), Muy alta (≥20)</w:t>
            </w:r>
          </w:p>
        </w:tc>
        <w:tc>
          <w:tcPr>
            <w:tcW w:w="16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791989" w14:textId="77777777" w:rsidR="00097466" w:rsidRDefault="00000000">
            <w:pPr>
              <w:spacing w:before="0" w:after="0" w:line="240" w:lineRule="auto"/>
              <w:jc w:val="center"/>
              <w:rPr>
                <w:sz w:val="20"/>
                <w:szCs w:val="20"/>
              </w:rPr>
            </w:pPr>
            <w:r>
              <w:rPr>
                <w:sz w:val="20"/>
                <w:szCs w:val="20"/>
              </w:rPr>
              <w:t xml:space="preserve">Mediana [IQR] </w:t>
            </w:r>
            <w:r>
              <w:rPr>
                <w:b/>
                <w:bCs/>
                <w:sz w:val="20"/>
                <w:szCs w:val="20"/>
              </w:rPr>
              <w:t>+</w:t>
            </w:r>
            <w:r>
              <w:rPr>
                <w:sz w:val="20"/>
                <w:szCs w:val="20"/>
              </w:rPr>
              <w:t xml:space="preserve"> frecuencia de categorías</w:t>
            </w:r>
          </w:p>
        </w:tc>
        <w:tc>
          <w:tcPr>
            <w:tcW w:w="183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D589A3" w14:textId="77777777" w:rsidR="00097466" w:rsidRDefault="00000000">
            <w:pPr>
              <w:spacing w:before="0" w:after="0" w:line="240" w:lineRule="auto"/>
              <w:jc w:val="center"/>
              <w:rPr>
                <w:sz w:val="20"/>
                <w:szCs w:val="20"/>
              </w:rPr>
            </w:pPr>
            <w:r>
              <w:rPr>
                <w:sz w:val="20"/>
                <w:szCs w:val="20"/>
              </w:rPr>
              <w:t>Mann-Whitney (continua) + Chi² (categorías)</w:t>
            </w:r>
          </w:p>
        </w:tc>
      </w:tr>
      <w:tr w:rsidR="00097466" w14:paraId="3A50AD2B" w14:textId="77777777">
        <w:trPr>
          <w:jc w:val="center"/>
        </w:trPr>
        <w:tc>
          <w:tcPr>
            <w:tcW w:w="11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143C989" w14:textId="77777777" w:rsidR="00097466" w:rsidRDefault="00000000">
            <w:pPr>
              <w:spacing w:before="0" w:after="0" w:line="240" w:lineRule="auto"/>
              <w:jc w:val="center"/>
              <w:rPr>
                <w:sz w:val="20"/>
                <w:szCs w:val="20"/>
              </w:rPr>
            </w:pPr>
            <w:r>
              <w:rPr>
                <w:b/>
                <w:bCs/>
                <w:sz w:val="20"/>
                <w:szCs w:val="20"/>
              </w:rPr>
              <w:t>SLE-DAS</w:t>
            </w:r>
          </w:p>
        </w:tc>
        <w:tc>
          <w:tcPr>
            <w:tcW w:w="11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09749FD" w14:textId="77777777" w:rsidR="00097466" w:rsidRDefault="00000000">
            <w:pPr>
              <w:spacing w:before="0" w:after="0" w:line="240" w:lineRule="auto"/>
              <w:jc w:val="center"/>
              <w:rPr>
                <w:sz w:val="20"/>
                <w:szCs w:val="20"/>
              </w:rPr>
            </w:pPr>
            <w:r>
              <w:rPr>
                <w:sz w:val="20"/>
                <w:szCs w:val="20"/>
              </w:rPr>
              <w:t>Continua</w:t>
            </w:r>
          </w:p>
        </w:tc>
        <w:tc>
          <w:tcPr>
            <w:tcW w:w="76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6FE31C0" w14:textId="77777777" w:rsidR="00097466" w:rsidRDefault="00000000">
            <w:pPr>
              <w:spacing w:before="0" w:after="0" w:line="240" w:lineRule="auto"/>
              <w:jc w:val="center"/>
              <w:rPr>
                <w:sz w:val="20"/>
                <w:szCs w:val="20"/>
              </w:rPr>
            </w:pPr>
            <w:r>
              <w:rPr>
                <w:sz w:val="20"/>
                <w:szCs w:val="20"/>
              </w:rPr>
              <w:t>0–∞</w:t>
            </w:r>
          </w:p>
        </w:tc>
        <w:tc>
          <w:tcPr>
            <w:tcW w:w="1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0C74720" w14:textId="77777777" w:rsidR="00097466" w:rsidRDefault="00000000">
            <w:pPr>
              <w:spacing w:before="0" w:after="0" w:line="240" w:lineRule="auto"/>
              <w:jc w:val="center"/>
              <w:rPr>
                <w:sz w:val="20"/>
                <w:szCs w:val="20"/>
              </w:rPr>
            </w:pPr>
            <w:r>
              <w:rPr>
                <w:sz w:val="20"/>
                <w:szCs w:val="20"/>
              </w:rPr>
              <w:t>Remisión (≤2.08), Leve (2.08–7.64), Mod-grave (&gt;7.64)</w:t>
            </w:r>
          </w:p>
        </w:tc>
        <w:tc>
          <w:tcPr>
            <w:tcW w:w="16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006F30" w14:textId="77777777" w:rsidR="00097466" w:rsidRDefault="00000000">
            <w:pPr>
              <w:spacing w:before="0" w:after="0" w:line="240" w:lineRule="auto"/>
              <w:jc w:val="center"/>
              <w:rPr>
                <w:sz w:val="20"/>
                <w:szCs w:val="20"/>
              </w:rPr>
            </w:pPr>
            <w:r>
              <w:rPr>
                <w:sz w:val="20"/>
                <w:szCs w:val="20"/>
              </w:rPr>
              <w:t xml:space="preserve">Mediana [IQR] </w:t>
            </w:r>
            <w:r>
              <w:rPr>
                <w:b/>
                <w:bCs/>
                <w:sz w:val="20"/>
                <w:szCs w:val="20"/>
              </w:rPr>
              <w:t>+</w:t>
            </w:r>
            <w:r>
              <w:rPr>
                <w:sz w:val="20"/>
                <w:szCs w:val="20"/>
              </w:rPr>
              <w:t xml:space="preserve"> frecuencia de categorías</w:t>
            </w:r>
          </w:p>
        </w:tc>
        <w:tc>
          <w:tcPr>
            <w:tcW w:w="183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B67919" w14:textId="77777777" w:rsidR="00097466" w:rsidRDefault="00000000">
            <w:pPr>
              <w:spacing w:before="0" w:after="0" w:line="240" w:lineRule="auto"/>
              <w:jc w:val="center"/>
              <w:rPr>
                <w:sz w:val="20"/>
                <w:szCs w:val="20"/>
              </w:rPr>
            </w:pPr>
            <w:r>
              <w:rPr>
                <w:sz w:val="20"/>
                <w:szCs w:val="20"/>
              </w:rPr>
              <w:t>Mann-Whitney (continua) + Chi² (categorías)</w:t>
            </w:r>
          </w:p>
        </w:tc>
      </w:tr>
      <w:tr w:rsidR="00097466" w14:paraId="04E052B4" w14:textId="77777777">
        <w:trPr>
          <w:jc w:val="center"/>
        </w:trPr>
        <w:tc>
          <w:tcPr>
            <w:tcW w:w="11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410127A" w14:textId="77777777" w:rsidR="00097466" w:rsidRDefault="00000000">
            <w:pPr>
              <w:spacing w:before="0" w:after="0" w:line="240" w:lineRule="auto"/>
              <w:jc w:val="center"/>
              <w:rPr>
                <w:sz w:val="20"/>
                <w:szCs w:val="20"/>
              </w:rPr>
            </w:pPr>
            <w:r>
              <w:rPr>
                <w:b/>
                <w:bCs/>
                <w:sz w:val="20"/>
                <w:szCs w:val="20"/>
              </w:rPr>
              <w:t>SLICC-DI</w:t>
            </w:r>
          </w:p>
        </w:tc>
        <w:tc>
          <w:tcPr>
            <w:tcW w:w="11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A1B394" w14:textId="77777777" w:rsidR="00097466" w:rsidRDefault="00000000">
            <w:pPr>
              <w:spacing w:before="0" w:after="0" w:line="240" w:lineRule="auto"/>
              <w:jc w:val="center"/>
              <w:rPr>
                <w:sz w:val="20"/>
                <w:szCs w:val="20"/>
              </w:rPr>
            </w:pPr>
            <w:r>
              <w:rPr>
                <w:sz w:val="20"/>
                <w:szCs w:val="20"/>
              </w:rPr>
              <w:t>Ordinal discreta</w:t>
            </w:r>
          </w:p>
        </w:tc>
        <w:tc>
          <w:tcPr>
            <w:tcW w:w="76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7305C3" w14:textId="77777777" w:rsidR="00097466" w:rsidRDefault="00000000">
            <w:pPr>
              <w:spacing w:before="0" w:after="0" w:line="240" w:lineRule="auto"/>
              <w:jc w:val="center"/>
              <w:rPr>
                <w:sz w:val="20"/>
                <w:szCs w:val="20"/>
              </w:rPr>
            </w:pPr>
            <w:r>
              <w:rPr>
                <w:sz w:val="20"/>
                <w:szCs w:val="20"/>
              </w:rPr>
              <w:t>0–47</w:t>
            </w:r>
          </w:p>
        </w:tc>
        <w:tc>
          <w:tcPr>
            <w:tcW w:w="1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4B0F13E" w14:textId="77777777" w:rsidR="00097466" w:rsidRDefault="00000000">
            <w:pPr>
              <w:spacing w:before="0" w:after="0" w:line="240" w:lineRule="auto"/>
              <w:jc w:val="center"/>
              <w:rPr>
                <w:sz w:val="20"/>
                <w:szCs w:val="20"/>
              </w:rPr>
            </w:pPr>
            <w:r>
              <w:rPr>
                <w:sz w:val="20"/>
                <w:szCs w:val="20"/>
              </w:rPr>
              <w:t>Sin categorías estándar (daño acumulado)</w:t>
            </w:r>
          </w:p>
        </w:tc>
        <w:tc>
          <w:tcPr>
            <w:tcW w:w="16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23A479" w14:textId="77777777" w:rsidR="00097466" w:rsidRDefault="00000000">
            <w:pPr>
              <w:spacing w:before="0" w:after="0" w:line="240" w:lineRule="auto"/>
              <w:jc w:val="center"/>
              <w:rPr>
                <w:sz w:val="20"/>
                <w:szCs w:val="20"/>
              </w:rPr>
            </w:pPr>
            <w:r>
              <w:rPr>
                <w:sz w:val="20"/>
                <w:szCs w:val="20"/>
              </w:rPr>
              <w:t>Mediana [IQR]</w:t>
            </w:r>
          </w:p>
        </w:tc>
        <w:tc>
          <w:tcPr>
            <w:tcW w:w="183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69A4B4" w14:textId="77777777" w:rsidR="00097466" w:rsidRDefault="00000000">
            <w:pPr>
              <w:spacing w:before="0" w:after="0" w:line="240" w:lineRule="auto"/>
              <w:jc w:val="center"/>
              <w:rPr>
                <w:sz w:val="20"/>
                <w:szCs w:val="20"/>
              </w:rPr>
            </w:pPr>
            <w:r>
              <w:rPr>
                <w:sz w:val="20"/>
                <w:szCs w:val="20"/>
              </w:rPr>
              <w:t>Mann-Whitney</w:t>
            </w:r>
          </w:p>
        </w:tc>
      </w:tr>
      <w:tr w:rsidR="00097466" w14:paraId="408565B9" w14:textId="77777777">
        <w:trPr>
          <w:jc w:val="center"/>
        </w:trPr>
        <w:tc>
          <w:tcPr>
            <w:tcW w:w="11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CD1778B" w14:textId="77777777" w:rsidR="00097466" w:rsidRDefault="00000000">
            <w:pPr>
              <w:spacing w:before="0" w:after="0" w:line="240" w:lineRule="auto"/>
              <w:jc w:val="center"/>
              <w:rPr>
                <w:sz w:val="20"/>
                <w:szCs w:val="20"/>
              </w:rPr>
            </w:pPr>
            <w:r>
              <w:rPr>
                <w:b/>
                <w:bCs/>
                <w:sz w:val="20"/>
                <w:szCs w:val="20"/>
              </w:rPr>
              <w:t>LLDAS</w:t>
            </w:r>
          </w:p>
        </w:tc>
        <w:tc>
          <w:tcPr>
            <w:tcW w:w="11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AE3D327" w14:textId="77777777" w:rsidR="00097466" w:rsidRDefault="00000000">
            <w:pPr>
              <w:spacing w:before="0" w:after="0" w:line="240" w:lineRule="auto"/>
              <w:jc w:val="center"/>
              <w:rPr>
                <w:sz w:val="20"/>
                <w:szCs w:val="20"/>
              </w:rPr>
            </w:pPr>
            <w:r>
              <w:rPr>
                <w:sz w:val="20"/>
                <w:szCs w:val="20"/>
              </w:rPr>
              <w:t>Binaria</w:t>
            </w:r>
          </w:p>
        </w:tc>
        <w:tc>
          <w:tcPr>
            <w:tcW w:w="76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1288033" w14:textId="77777777" w:rsidR="00097466" w:rsidRDefault="00000000">
            <w:pPr>
              <w:spacing w:before="0" w:after="0" w:line="240" w:lineRule="auto"/>
              <w:jc w:val="center"/>
              <w:rPr>
                <w:sz w:val="20"/>
                <w:szCs w:val="20"/>
              </w:rPr>
            </w:pPr>
            <w:r>
              <w:rPr>
                <w:sz w:val="20"/>
                <w:szCs w:val="20"/>
              </w:rPr>
              <w:t>0/1</w:t>
            </w:r>
          </w:p>
        </w:tc>
        <w:tc>
          <w:tcPr>
            <w:tcW w:w="1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CACFE9" w14:textId="77777777" w:rsidR="00097466" w:rsidRDefault="00000000">
            <w:pPr>
              <w:spacing w:before="0" w:after="0" w:line="240" w:lineRule="auto"/>
              <w:jc w:val="center"/>
              <w:rPr>
                <w:sz w:val="20"/>
                <w:szCs w:val="20"/>
              </w:rPr>
            </w:pPr>
            <w:r>
              <w:rPr>
                <w:sz w:val="20"/>
                <w:szCs w:val="20"/>
              </w:rPr>
              <w:t>Sí/No</w:t>
            </w:r>
          </w:p>
        </w:tc>
        <w:tc>
          <w:tcPr>
            <w:tcW w:w="16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496FE00" w14:textId="77777777" w:rsidR="00097466" w:rsidRDefault="00000000">
            <w:pPr>
              <w:spacing w:before="0" w:after="0" w:line="240" w:lineRule="auto"/>
              <w:jc w:val="center"/>
              <w:rPr>
                <w:sz w:val="20"/>
                <w:szCs w:val="20"/>
              </w:rPr>
            </w:pPr>
            <w:r>
              <w:rPr>
                <w:sz w:val="20"/>
                <w:szCs w:val="20"/>
              </w:rPr>
              <w:t>n (%)</w:t>
            </w:r>
          </w:p>
        </w:tc>
        <w:tc>
          <w:tcPr>
            <w:tcW w:w="183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9B3678" w14:textId="77777777" w:rsidR="00097466" w:rsidRDefault="00000000">
            <w:pPr>
              <w:spacing w:before="0" w:after="0" w:line="240" w:lineRule="auto"/>
              <w:jc w:val="center"/>
              <w:rPr>
                <w:sz w:val="20"/>
                <w:szCs w:val="20"/>
              </w:rPr>
            </w:pPr>
            <w:r>
              <w:rPr>
                <w:sz w:val="20"/>
                <w:szCs w:val="20"/>
              </w:rPr>
              <w:t>Chi² / Fisher</w:t>
            </w:r>
          </w:p>
        </w:tc>
      </w:tr>
      <w:tr w:rsidR="00097466" w14:paraId="2D1999DD" w14:textId="77777777">
        <w:trPr>
          <w:jc w:val="center"/>
        </w:trPr>
        <w:tc>
          <w:tcPr>
            <w:tcW w:w="110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9C32A9" w14:textId="77777777" w:rsidR="00097466" w:rsidRDefault="00000000">
            <w:pPr>
              <w:spacing w:before="0" w:after="0" w:line="240" w:lineRule="auto"/>
              <w:jc w:val="center"/>
              <w:rPr>
                <w:sz w:val="20"/>
                <w:szCs w:val="20"/>
              </w:rPr>
            </w:pPr>
            <w:r>
              <w:rPr>
                <w:b/>
                <w:bCs/>
                <w:sz w:val="20"/>
                <w:szCs w:val="20"/>
              </w:rPr>
              <w:t>DORIS</w:t>
            </w:r>
          </w:p>
        </w:tc>
        <w:tc>
          <w:tcPr>
            <w:tcW w:w="114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507008" w14:textId="77777777" w:rsidR="00097466" w:rsidRDefault="00000000">
            <w:pPr>
              <w:spacing w:before="0" w:after="0" w:line="240" w:lineRule="auto"/>
              <w:jc w:val="center"/>
              <w:rPr>
                <w:sz w:val="20"/>
                <w:szCs w:val="20"/>
              </w:rPr>
            </w:pPr>
            <w:r>
              <w:rPr>
                <w:sz w:val="20"/>
                <w:szCs w:val="20"/>
              </w:rPr>
              <w:t>Binaria</w:t>
            </w:r>
          </w:p>
        </w:tc>
        <w:tc>
          <w:tcPr>
            <w:tcW w:w="76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7E6DFA9" w14:textId="77777777" w:rsidR="00097466" w:rsidRDefault="00000000">
            <w:pPr>
              <w:spacing w:before="0" w:after="0" w:line="240" w:lineRule="auto"/>
              <w:jc w:val="center"/>
              <w:rPr>
                <w:sz w:val="20"/>
                <w:szCs w:val="20"/>
              </w:rPr>
            </w:pPr>
            <w:r>
              <w:rPr>
                <w:sz w:val="20"/>
                <w:szCs w:val="20"/>
              </w:rPr>
              <w:t>0/1</w:t>
            </w:r>
          </w:p>
        </w:tc>
        <w:tc>
          <w:tcPr>
            <w:tcW w:w="197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1F40DE" w14:textId="77777777" w:rsidR="00097466" w:rsidRDefault="00000000">
            <w:pPr>
              <w:spacing w:before="0" w:after="0" w:line="240" w:lineRule="auto"/>
              <w:jc w:val="center"/>
              <w:rPr>
                <w:sz w:val="20"/>
                <w:szCs w:val="20"/>
              </w:rPr>
            </w:pPr>
            <w:r>
              <w:rPr>
                <w:sz w:val="20"/>
                <w:szCs w:val="20"/>
              </w:rPr>
              <w:t>Sí/No</w:t>
            </w:r>
          </w:p>
        </w:tc>
        <w:tc>
          <w:tcPr>
            <w:tcW w:w="1665"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0862C1" w14:textId="77777777" w:rsidR="00097466" w:rsidRDefault="00000000">
            <w:pPr>
              <w:spacing w:before="0" w:after="0" w:line="240" w:lineRule="auto"/>
              <w:jc w:val="center"/>
              <w:rPr>
                <w:sz w:val="20"/>
                <w:szCs w:val="20"/>
              </w:rPr>
            </w:pPr>
            <w:r>
              <w:rPr>
                <w:sz w:val="20"/>
                <w:szCs w:val="20"/>
              </w:rPr>
              <w:t>n (%)</w:t>
            </w:r>
          </w:p>
        </w:tc>
        <w:tc>
          <w:tcPr>
            <w:tcW w:w="183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5C18BB6" w14:textId="77777777" w:rsidR="00097466" w:rsidRDefault="00000000" w:rsidP="00C0709F">
            <w:pPr>
              <w:keepNext/>
              <w:spacing w:before="0" w:after="0" w:line="240" w:lineRule="auto"/>
              <w:jc w:val="center"/>
              <w:rPr>
                <w:sz w:val="20"/>
                <w:szCs w:val="20"/>
              </w:rPr>
            </w:pPr>
            <w:r>
              <w:rPr>
                <w:sz w:val="20"/>
                <w:szCs w:val="20"/>
              </w:rPr>
              <w:t>Chi² / Fisher</w:t>
            </w:r>
          </w:p>
        </w:tc>
      </w:tr>
    </w:tbl>
    <w:p w14:paraId="4B0C43F8" w14:textId="49BAC9D1" w:rsidR="00C0709F" w:rsidRDefault="00C0709F" w:rsidP="00C67F76">
      <w:pPr>
        <w:pStyle w:val="Descripcin"/>
      </w:pPr>
      <w:bookmarkStart w:id="73" w:name="_heading=h.df0gwnb572x" w:colFirst="0" w:colLast="0"/>
      <w:bookmarkStart w:id="74" w:name="_Toc230792241"/>
      <w:bookmarkEnd w:id="73"/>
      <w:r>
        <w:t xml:space="preserve">Tabla </w:t>
      </w:r>
      <w:fldSimple w:instr=" SEQ Tabla \* ARABIC ">
        <w:r w:rsidR="00716AEA">
          <w:rPr>
            <w:noProof/>
          </w:rPr>
          <w:t>4</w:t>
        </w:r>
      </w:fldSimple>
      <w:r>
        <w:t xml:space="preserve">. </w:t>
      </w:r>
      <w:r w:rsidRPr="00A45C67">
        <w:t>Evaluación de los scores de actividad, daño acumulado y remisión</w:t>
      </w:r>
      <w:bookmarkEnd w:id="74"/>
    </w:p>
    <w:p w14:paraId="40641BAC" w14:textId="77777777" w:rsidR="00097466" w:rsidRDefault="00000000">
      <w:pPr>
        <w:pStyle w:val="Ttulo2"/>
        <w:numPr>
          <w:ilvl w:val="1"/>
          <w:numId w:val="17"/>
        </w:numPr>
      </w:pPr>
      <w:bookmarkStart w:id="75" w:name="_Toc229237674"/>
      <w:bookmarkStart w:id="76" w:name="_Toc230792313"/>
      <w:r>
        <w:t>Papel central del interferón de tipo I y la firma de interferón</w:t>
      </w:r>
      <w:bookmarkEnd w:id="75"/>
      <w:bookmarkEnd w:id="76"/>
    </w:p>
    <w:p w14:paraId="5B867099" w14:textId="7651DBAF" w:rsidR="00097466" w:rsidRDefault="00000000">
      <w:bookmarkStart w:id="77" w:name="_heading=h.fat0e4hbxlez" w:colFirst="0" w:colLast="0"/>
      <w:bookmarkEnd w:id="77"/>
      <w:r>
        <w:t>A pesar de la heterogeneidad clínica del LES, uno de los hallazgos más consistentes y reproducibles en la investigación de la enfermedad ha sido la identificación del interferón de tipo I (IFN-I), familia de citoquinas que incluye múltiples isoformas de IFN-α y un único IFN-β, y su papel central en la fisiopatología del LES</w:t>
      </w:r>
      <w:r w:rsidR="006E189A">
        <w:rPr>
          <w:color w:val="000000"/>
        </w:rPr>
        <w:t xml:space="preserve"> </w:t>
      </w:r>
      <w:sdt>
        <w:sdtPr>
          <w:rPr>
            <w:color w:val="000000"/>
          </w:rPr>
          <w:tag w:val="MENDELEY_CITATION_v3_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"/>
          <w:id w:val="1939950767"/>
          <w:placeholder>
            <w:docPart w:val="DefaultPlaceholder_-1854013440"/>
          </w:placeholder>
        </w:sdtPr>
        <w:sdtContent>
          <w:r w:rsidR="00667B28" w:rsidRPr="00667B28">
            <w:rPr>
              <w:color w:val="000000"/>
            </w:rPr>
            <w:t>[1,12]</w:t>
          </w:r>
        </w:sdtContent>
      </w:sdt>
      <w:r>
        <w:t xml:space="preserve">. </w:t>
      </w:r>
      <w:proofErr w:type="spellStart"/>
      <w:r>
        <w:t>Crow</w:t>
      </w:r>
      <w:proofErr w:type="spellEnd"/>
      <w:r>
        <w:t xml:space="preserve"> (2014) estableció las bases moleculares de esta implicación, demostrando que la activación crónica de la vía del IFN-I —mediada fundamentalmente por las células dendríticas </w:t>
      </w:r>
      <w:proofErr w:type="spellStart"/>
      <w:r>
        <w:t>plasmocitoides</w:t>
      </w:r>
      <w:proofErr w:type="spellEnd"/>
      <w:r>
        <w:t xml:space="preserve"> en respuesta al reconocimiento de ácidos nucleicos propios (ADN y ARN) contenidos en inmunocomplejos, a través de receptores de reconocimiento de patrones (TLR7, TLR9)— promueve la maduración de células B autorreactivas, la presentación antigénica aberrante y la amplificación de la respuesta inflamatoria</w:t>
      </w:r>
      <w:r w:rsidR="00DF1B55">
        <w:t xml:space="preserve"> </w:t>
      </w:r>
      <w:sdt>
        <w:sdtPr>
          <w:rPr>
            <w:color w:val="000000"/>
          </w:rPr>
          <w:tag w:val="MENDELEY_CITATION_v3_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"/>
          <w:id w:val="933246806"/>
          <w:placeholder>
            <w:docPart w:val="DefaultPlaceholder_-1854013440"/>
          </w:placeholder>
        </w:sdtPr>
        <w:sdtContent>
          <w:r w:rsidR="00667B28" w:rsidRPr="00667B28">
            <w:rPr>
              <w:color w:val="000000"/>
            </w:rPr>
            <w:t>[1]</w:t>
          </w:r>
        </w:sdtContent>
      </w:sdt>
      <w:r>
        <w:t xml:space="preserve">. Sim et al. (2022) proporcionaron una revisión exhaustiva de la traslación de estos conocimientos desde el laboratorio a la clínica, incluyendo el desarrollo de terapias biológicas dirigidas al receptor del IFN-I, como </w:t>
      </w:r>
      <w:proofErr w:type="spellStart"/>
      <w:r>
        <w:t>anifrolumab</w:t>
      </w:r>
      <w:proofErr w:type="spellEnd"/>
      <w:r>
        <w:t xml:space="preserve"> </w:t>
      </w:r>
      <w:sdt>
        <w:sdtPr>
          <w:rPr>
            <w:color w:val="000000"/>
          </w:rPr>
          <w:tag w:val="MENDELEY_CITATION_v3_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"/>
          <w:id w:val="-457870816"/>
          <w:placeholder>
            <w:docPart w:val="DefaultPlaceholder_-1854013440"/>
          </w:placeholder>
        </w:sdtPr>
        <w:sdtContent>
          <w:r w:rsidR="00667B28" w:rsidRPr="00667B28">
            <w:rPr>
              <w:color w:val="000000"/>
            </w:rPr>
            <w:t>[13]</w:t>
          </w:r>
        </w:sdtContent>
      </w:sdt>
      <w:r>
        <w:t xml:space="preserve">. </w:t>
      </w:r>
    </w:p>
    <w:p w14:paraId="4F9A72A0" w14:textId="1A19BB2A" w:rsidR="00097466" w:rsidRDefault="00000000">
      <w:bookmarkStart w:id="78" w:name="_heading=h.ob7mrvfqjjmj" w:colFirst="0" w:colLast="0"/>
      <w:bookmarkEnd w:id="78"/>
      <w:r>
        <w:lastRenderedPageBreak/>
        <w:t xml:space="preserve">La introducción de tecnologías ultrasensibles de molécula única, en particular el ensayo </w:t>
      </w:r>
      <w:proofErr w:type="spellStart"/>
      <w:r>
        <w:t>Simoa</w:t>
      </w:r>
      <w:proofErr w:type="spellEnd"/>
      <w:r>
        <w:t xml:space="preserve"> (Single </w:t>
      </w:r>
      <w:proofErr w:type="spellStart"/>
      <w:r>
        <w:t>Molecule</w:t>
      </w:r>
      <w:proofErr w:type="spellEnd"/>
      <w:r>
        <w:t xml:space="preserve"> Array), para la cuantificación del IFN-α en suero ha representado un avance fundamental. </w:t>
      </w:r>
      <w:proofErr w:type="spellStart"/>
      <w:r>
        <w:t>Simoa</w:t>
      </w:r>
      <w:proofErr w:type="spellEnd"/>
      <w:r>
        <w:t xml:space="preserve"> combina captura inmunológica en microesferas con detección digital de moléculas individuales en </w:t>
      </w:r>
      <w:proofErr w:type="spellStart"/>
      <w:r>
        <w:t>femtolitros</w:t>
      </w:r>
      <w:proofErr w:type="spellEnd"/>
      <w:r>
        <w:t>, alcanzando límites de detección en el rango sub-</w:t>
      </w:r>
      <w:proofErr w:type="spellStart"/>
      <w:r>
        <w:t>femtomolar</w:t>
      </w:r>
      <w:proofErr w:type="spellEnd"/>
      <w:r>
        <w:t xml:space="preserve"> (10-100 veces más sensible que ELISA convencional</w:t>
      </w:r>
      <w:r w:rsidR="00DF1B55">
        <w:t xml:space="preserve"> </w:t>
      </w:r>
      <w:sdt>
        <w:sdtPr>
          <w:rPr>
            <w:color w:val="000000"/>
          </w:rPr>
          <w:tag w:val="MENDELEY_CITATION_v3_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"/>
          <w:id w:val="103388721"/>
          <w:placeholder>
            <w:docPart w:val="DefaultPlaceholder_-1854013440"/>
          </w:placeholder>
        </w:sdtPr>
        <w:sdtContent>
          <w:r w:rsidR="00667B28" w:rsidRPr="00667B28">
            <w:rPr>
              <w:color w:val="000000"/>
            </w:rPr>
            <w:t>[14]</w:t>
          </w:r>
        </w:sdtContent>
      </w:sdt>
      <w:r>
        <w:t xml:space="preserve">. Rodero et al. (2017) demostraron mediante </w:t>
      </w:r>
      <w:proofErr w:type="spellStart"/>
      <w:r>
        <w:t>Simoa</w:t>
      </w:r>
      <w:proofErr w:type="spellEnd"/>
      <w:r>
        <w:t xml:space="preserve"> que los pacientes con enfermedades </w:t>
      </w:r>
      <w:proofErr w:type="spellStart"/>
      <w:r>
        <w:t>autoinflamatorias</w:t>
      </w:r>
      <w:proofErr w:type="spellEnd"/>
      <w:r>
        <w:t xml:space="preserve"> y autoinmunes, incluido el LES, presentan niveles elevados de IFN-α sérico, identificando las células dendríticas </w:t>
      </w:r>
      <w:proofErr w:type="spellStart"/>
      <w:r>
        <w:t>plasmocitoides</w:t>
      </w:r>
      <w:proofErr w:type="spellEnd"/>
      <w:r>
        <w:t xml:space="preserve"> como fuente celular principal y alcanzando una sensibilidad a nivel de </w:t>
      </w:r>
      <w:proofErr w:type="spellStart"/>
      <w:r>
        <w:t>femtogramos</w:t>
      </w:r>
      <w:proofErr w:type="spellEnd"/>
      <w:r>
        <w:t xml:space="preserve"> por mililitro </w:t>
      </w:r>
      <w:sdt>
        <w:sdtPr>
          <w:rPr>
            <w:color w:val="000000"/>
          </w:rPr>
          <w:tag w:val="MENDELEY_CITATION_v3_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"/>
          <w:id w:val="-1786035551"/>
          <w:placeholder>
            <w:docPart w:val="DefaultPlaceholder_-1854013440"/>
          </w:placeholder>
        </w:sdtPr>
        <w:sdtContent>
          <w:r w:rsidR="00667B28" w:rsidRPr="00667B28">
            <w:rPr>
              <w:color w:val="000000"/>
            </w:rPr>
            <w:t>[15]</w:t>
          </w:r>
        </w:sdtContent>
      </w:sdt>
      <w:r>
        <w:t xml:space="preserve">. </w:t>
      </w:r>
    </w:p>
    <w:p w14:paraId="732C442E" w14:textId="0EACAD6B" w:rsidR="00097466" w:rsidRDefault="00000000">
      <w:bookmarkStart w:id="79" w:name="_heading=h.f4slxe4jw515" w:colFirst="0" w:colLast="0"/>
      <w:bookmarkEnd w:id="79"/>
      <w:r>
        <w:t>Además, la introducción de los estudios de expresión génica en sangre periférica ha demostrado una sobreexpresión coordinada de genes estimulados por interferón (ISGs), un patrón conocido como la «firma de interferón» (</w:t>
      </w:r>
      <w:proofErr w:type="spellStart"/>
      <w:r>
        <w:rPr>
          <w:i/>
          <w:iCs/>
        </w:rPr>
        <w:t>interferon</w:t>
      </w:r>
      <w:proofErr w:type="spellEnd"/>
      <w:r>
        <w:rPr>
          <w:i/>
          <w:iCs/>
        </w:rPr>
        <w:t xml:space="preserve"> </w:t>
      </w:r>
      <w:proofErr w:type="spellStart"/>
      <w:r>
        <w:rPr>
          <w:i/>
          <w:iCs/>
        </w:rPr>
        <w:t>signature</w:t>
      </w:r>
      <w:proofErr w:type="spellEnd"/>
      <w:r>
        <w:t xml:space="preserve">), presente en aproximadamente el 50-75 % de los pacientes con LES </w:t>
      </w:r>
      <w:sdt>
        <w:sdtPr>
          <w:rPr>
            <w:color w:val="000000"/>
          </w:rPr>
          <w:tag w:val="MENDELEY_CITATION_v3_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"/>
          <w:id w:val="123826342"/>
          <w:placeholder>
            <w:docPart w:val="DefaultPlaceholder_-1854013440"/>
          </w:placeholder>
        </w:sdtPr>
        <w:sdtContent>
          <w:r w:rsidR="00667B28" w:rsidRPr="00667B28">
            <w:rPr>
              <w:color w:val="000000"/>
            </w:rPr>
            <w:t>[16–18]</w:t>
          </w:r>
        </w:sdtContent>
      </w:sdt>
      <w:r>
        <w:t xml:space="preserve">. Estos ISGs incluyen genes involucrados en respuesta antiviral (MX1, OAS1, ISG15), presentación antigénica (HLA-DR), señalización de IFN (STAT1, IRF7) y regulación epigenética (PARP9, DTX3L) entre otros </w:t>
      </w:r>
      <w:sdt>
        <w:sdtPr>
          <w:rPr>
            <w:color w:val="000000"/>
          </w:rPr>
          <w:tag w:val="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"/>
          <w:id w:val="57979908"/>
          <w:placeholder>
            <w:docPart w:val="DefaultPlaceholder_-1854013440"/>
          </w:placeholder>
        </w:sdtPr>
        <w:sdtContent>
          <w:r w:rsidR="00667B28" w:rsidRPr="00667B28">
            <w:rPr>
              <w:color w:val="000000"/>
            </w:rPr>
            <w:t>[19–21]</w:t>
          </w:r>
        </w:sdtContent>
      </w:sdt>
      <w:r>
        <w:t xml:space="preserve">. Esta firma transcriptómica se ha asociado con mayor actividad clínica </w:t>
      </w:r>
      <w:sdt>
        <w:sdtPr>
          <w:rPr>
            <w:color w:val="000000"/>
          </w:rPr>
          <w:tag w:val="MENDELEY_CITATION_v3_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"/>
          <w:id w:val="-1887255260"/>
          <w:placeholder>
            <w:docPart w:val="DefaultPlaceholder_-1854013440"/>
          </w:placeholder>
        </w:sdtPr>
        <w:sdtContent>
          <w:r w:rsidR="00667B28" w:rsidRPr="00667B28">
            <w:rPr>
              <w:color w:val="000000"/>
            </w:rPr>
            <w:t>[22]</w:t>
          </w:r>
        </w:sdtContent>
      </w:sdt>
      <w:r>
        <w:t xml:space="preserve">, predisposición a brotes, manifestaciones cutáneas y renales, y peor pronóstico a largo plazo. Goldman et al. (2024) demostraron que las contribuciones relativas de los distintos tipos de interferón (IFN-I, IFN-II e IFN-III) varían entre subgrupos clínicos y transcriptómicos de LES, revelando una complejidad mayor que la tradicionalmente asumida </w:t>
      </w:r>
      <w:sdt>
        <w:sdtPr>
          <w:rPr>
            <w:color w:val="000000"/>
          </w:rPr>
          <w:tag w:val="MENDELEY_CITATION_v3_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"/>
          <w:id w:val="1205997550"/>
          <w:placeholder>
            <w:docPart w:val="DefaultPlaceholder_-1854013440"/>
          </w:placeholder>
        </w:sdtPr>
        <w:sdtContent>
          <w:r w:rsidR="00667B28" w:rsidRPr="00667B28">
            <w:rPr>
              <w:color w:val="000000"/>
            </w:rPr>
            <w:t>[23]</w:t>
          </w:r>
        </w:sdtContent>
      </w:sdt>
      <w:r>
        <w:t xml:space="preserve">. En este sentido, Liu et al. (2018) observaron que los pacientes con un IFN score tipo I elevado presentan además una mayor activación de la vía del IFN-γ (tipo II), correlacionándose ambas firmas con la actividad clínica medida por SLEDAI </w:t>
      </w:r>
      <w:sdt>
        <w:sdtPr>
          <w:rPr>
            <w:color w:val="000000"/>
          </w:rPr>
          <w:tag w:val="MENDELEY_CITATION_v3_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"/>
          <w:id w:val="-1252592114"/>
          <w:placeholder>
            <w:docPart w:val="DefaultPlaceholder_-1854013440"/>
          </w:placeholder>
        </w:sdtPr>
        <w:sdtContent>
          <w:r w:rsidR="00667B28" w:rsidRPr="00667B28">
            <w:rPr>
              <w:color w:val="000000"/>
            </w:rPr>
            <w:t>[24]</w:t>
          </w:r>
        </w:sdtContent>
      </w:sdt>
      <w:r>
        <w:t xml:space="preserve">. Tanaka et al. (2023) revisaron integralmente el papel de los interferones en la patogenia, las manifestaciones clínicas y las estrategias terapéuticas emergentes del LES </w:t>
      </w:r>
      <w:sdt>
        <w:sdtPr>
          <w:rPr>
            <w:color w:val="000000"/>
          </w:rPr>
          <w:tag w:val="MENDELEY_CITATION_v3_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"/>
          <w:id w:val="-174575989"/>
          <w:placeholder>
            <w:docPart w:val="DefaultPlaceholder_-1854013440"/>
          </w:placeholder>
        </w:sdtPr>
        <w:sdtContent>
          <w:r w:rsidR="00667B28" w:rsidRPr="00667B28">
            <w:rPr>
              <w:color w:val="000000"/>
            </w:rPr>
            <w:t>[18]</w:t>
          </w:r>
        </w:sdtContent>
      </w:sdt>
      <w:r>
        <w:t xml:space="preserve">. Finalmente, </w:t>
      </w:r>
      <w:proofErr w:type="spellStart"/>
      <w:r>
        <w:t>Chasset</w:t>
      </w:r>
      <w:proofErr w:type="spellEnd"/>
      <w:r>
        <w:t xml:space="preserve"> et al. (2024) encontraron relaciones significativas entre el IFN-α sérico y la firma transcriptómica de ISGs en términos de capacidad para estratificar actividad de enfermedad, pero con ventajas operativas (mayor accesibilidad técnica, menor costo, menor volumen de muestra)</w:t>
      </w:r>
      <w:r>
        <w:rPr>
          <w:color w:val="000000"/>
        </w:rPr>
        <w:t xml:space="preserve"> </w:t>
      </w:r>
      <w:sdt>
        <w:sdtPr>
          <w:rPr>
            <w:color w:val="000000"/>
          </w:rPr>
          <w:tag w:val="MENDELEY_CITATION_v3_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"/>
          <w:id w:val="-1944518469"/>
          <w:placeholder>
            <w:docPart w:val="DefaultPlaceholder_-1854013440"/>
          </w:placeholder>
        </w:sdtPr>
        <w:sdtContent>
          <w:r w:rsidR="00667B28" w:rsidRPr="00667B28">
            <w:rPr>
              <w:color w:val="000000"/>
            </w:rPr>
            <w:t>[25]</w:t>
          </w:r>
        </w:sdtContent>
      </w:sdt>
      <w:r>
        <w:rPr>
          <w:color w:val="000000"/>
        </w:rPr>
        <w:t>.</w:t>
      </w:r>
    </w:p>
    <w:p w14:paraId="044093AC" w14:textId="55E27466" w:rsidR="00097466" w:rsidRDefault="00000000">
      <w:bookmarkStart w:id="80" w:name="_heading=h.x3o9v4cj7q53" w:colFirst="0" w:colLast="0"/>
      <w:bookmarkEnd w:id="80"/>
      <w:r>
        <w:t xml:space="preserve">La firma transcriptómica se ha cuantificado en los últimos años mediante plataformas como </w:t>
      </w:r>
      <w:proofErr w:type="spellStart"/>
      <w:r>
        <w:t>NanoString</w:t>
      </w:r>
      <w:proofErr w:type="spellEnd"/>
      <w:r>
        <w:t xml:space="preserve"> </w:t>
      </w:r>
      <w:proofErr w:type="spellStart"/>
      <w:r>
        <w:t>nCounter</w:t>
      </w:r>
      <w:proofErr w:type="spellEnd"/>
      <w:r>
        <w:t>. A diferencia de RNA-</w:t>
      </w:r>
      <w:proofErr w:type="spellStart"/>
      <w:r>
        <w:t>seq</w:t>
      </w:r>
      <w:proofErr w:type="spellEnd"/>
      <w:r>
        <w:t xml:space="preserve">, la plataforma </w:t>
      </w:r>
      <w:proofErr w:type="spellStart"/>
      <w:r>
        <w:t>nCounter</w:t>
      </w:r>
      <w:proofErr w:type="spellEnd"/>
      <w:r>
        <w:t xml:space="preserve"> permite la medición directa y multiplexada de transcritos de ARNm sin necesidad de amplificación lo que minimiza sesgos técnicos, ofrece alta reproducibilidad entre laboratorios y menor sensibilidad a la calidad del ARN, permite normalización mediante genes de referencia (</w:t>
      </w:r>
      <w:proofErr w:type="spellStart"/>
      <w:r>
        <w:t>housekeeping</w:t>
      </w:r>
      <w:proofErr w:type="spellEnd"/>
      <w:r>
        <w:t>), controles positivos y negativos integrados en el ensayo, es más accesible económicamente y operativamente para estudios focalizados en paneles de genes candidatos (como conjuntos de ISGs)</w:t>
      </w:r>
      <w:r w:rsidR="0054400F">
        <w:rPr>
          <w:color w:val="000000"/>
        </w:rPr>
        <w:t xml:space="preserve"> </w:t>
      </w:r>
      <w:sdt>
        <w:sdtPr>
          <w:rPr>
            <w:color w:val="000000"/>
          </w:rPr>
          <w:tag w:val="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"/>
          <w:id w:val="1929467154"/>
          <w:placeholder>
            <w:docPart w:val="DefaultPlaceholder_-1854013440"/>
          </w:placeholder>
        </w:sdtPr>
        <w:sdtContent>
          <w:r w:rsidR="00667B28" w:rsidRPr="00667B28">
            <w:rPr>
              <w:color w:val="000000"/>
            </w:rPr>
            <w:t>[15,25,26]</w:t>
          </w:r>
        </w:sdtContent>
      </w:sdt>
      <w:r>
        <w:t xml:space="preserve">. </w:t>
      </w:r>
    </w:p>
    <w:p w14:paraId="3C6DE3CF" w14:textId="77777777" w:rsidR="00097466" w:rsidRDefault="00000000">
      <w:pPr>
        <w:pStyle w:val="Ttulo2"/>
        <w:numPr>
          <w:ilvl w:val="1"/>
          <w:numId w:val="17"/>
        </w:numPr>
      </w:pPr>
      <w:bookmarkStart w:id="81" w:name="_Toc229237675"/>
      <w:bookmarkStart w:id="82" w:name="_Toc230792314"/>
      <w:r>
        <w:t>Panel proteómico sérico y biomarcadores complementario</w:t>
      </w:r>
      <w:bookmarkEnd w:id="81"/>
      <w:bookmarkEnd w:id="82"/>
    </w:p>
    <w:p w14:paraId="5EC94A20" w14:textId="2095A917" w:rsidR="00097466" w:rsidRDefault="00000000">
      <w:bookmarkStart w:id="83" w:name="_heading=h.311c8g9c2vqk" w:colFirst="0" w:colLast="0"/>
      <w:bookmarkEnd w:id="83"/>
      <w:r>
        <w:t xml:space="preserve">Además de los interferones, el suero de los pacientes con LES contiene un amplio repertorio de proteínas informativas sobre los mecanismos inmunológicos e inflamatorios subyacentes. La cuantificación de citoquinas como IFN-α, IFN-γ, interleuquina-2 (IL-2), IL-6 e IL-8, junto con </w:t>
      </w:r>
      <w:r>
        <w:lastRenderedPageBreak/>
        <w:t xml:space="preserve">componentes del complemento (C3, C4) y marcadores metabólicos y hepáticos, conforma un panel proteómico sérico multidimensional que permite capturar diferentes facetas de la actividad de la enfermedad </w:t>
      </w:r>
      <w:sdt>
        <w:sdtPr>
          <w:rPr>
            <w:color w:val="000000"/>
          </w:rPr>
          <w:tag w:val="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"/>
          <w:id w:val="269974926"/>
          <w:placeholder>
            <w:docPart w:val="DefaultPlaceholder_-1854013440"/>
          </w:placeholder>
        </w:sdtPr>
        <w:sdtContent>
          <w:r w:rsidR="00667B28" w:rsidRPr="00667B28">
            <w:rPr>
              <w:color w:val="000000"/>
            </w:rPr>
            <w:t>[27,28]</w:t>
          </w:r>
        </w:sdtContent>
      </w:sdt>
      <w:r>
        <w:t xml:space="preserve">. </w:t>
      </w:r>
    </w:p>
    <w:p w14:paraId="6B2D83DD" w14:textId="77777777" w:rsidR="00097466" w:rsidRDefault="00000000">
      <w:bookmarkStart w:id="84" w:name="_heading=h.dn88ggsmaw7v" w:colFirst="0" w:colLast="0"/>
      <w:bookmarkEnd w:id="84"/>
      <w:r>
        <w:t xml:space="preserve">La disponibilidad simultánea de datos transcriptómicos y proteómicos séricos en una misma cohorte de pacientes abre la puerta a una pregunta central: ¿es posible integrar ambas capas de información molecular para obtener una visión más completa de la enfermedad? Para responder a esta pregunta, es necesario recurrir a los métodos computacionales de integración </w:t>
      </w:r>
      <w:proofErr w:type="spellStart"/>
      <w:r>
        <w:t>multiómica</w:t>
      </w:r>
      <w:proofErr w:type="spellEnd"/>
      <w:r>
        <w:t>.</w:t>
      </w:r>
    </w:p>
    <w:p w14:paraId="4C28B81C" w14:textId="77777777" w:rsidR="00097466" w:rsidRDefault="00000000">
      <w:pPr>
        <w:pStyle w:val="Ttulo2"/>
        <w:numPr>
          <w:ilvl w:val="1"/>
          <w:numId w:val="17"/>
        </w:numPr>
      </w:pPr>
      <w:bookmarkStart w:id="85" w:name="_Toc229237676"/>
      <w:bookmarkStart w:id="86" w:name="_Toc230792315"/>
      <w:r>
        <w:t xml:space="preserve">Integración </w:t>
      </w:r>
      <w:proofErr w:type="spellStart"/>
      <w:r>
        <w:t>multiómica</w:t>
      </w:r>
      <w:proofErr w:type="spellEnd"/>
      <w:r>
        <w:t xml:space="preserve">: </w:t>
      </w:r>
      <w:r w:rsidR="002255E2">
        <w:t xml:space="preserve">MOFA2, </w:t>
      </w:r>
      <w:r>
        <w:t>DIABLO</w:t>
      </w:r>
      <w:bookmarkEnd w:id="85"/>
      <w:bookmarkEnd w:id="86"/>
    </w:p>
    <w:p w14:paraId="6CC88FE9" w14:textId="6C0AF418" w:rsidR="007463C5" w:rsidRDefault="00DA1C00" w:rsidP="00DA1C00">
      <w:pPr>
        <w:rPr>
          <w:color w:val="000000"/>
        </w:rPr>
      </w:pPr>
      <w:bookmarkStart w:id="87" w:name="_heading=h.a3vy73kw1m4o" w:colFirst="0" w:colLast="0"/>
      <w:bookmarkEnd w:id="87"/>
      <w:r w:rsidRPr="00DA1C00">
        <w:t xml:space="preserve">La integración de datos </w:t>
      </w:r>
      <w:proofErr w:type="spellStart"/>
      <w:r w:rsidRPr="00DA1C00">
        <w:t>ómicos</w:t>
      </w:r>
      <w:proofErr w:type="spellEnd"/>
      <w:r w:rsidRPr="00DA1C00">
        <w:t xml:space="preserve"> se define como el análisis conjunto de varias capas moleculares (genómica, transcriptómica, proteómica, metabolómica, </w:t>
      </w:r>
      <w:proofErr w:type="spellStart"/>
      <w:r w:rsidRPr="00DA1C00">
        <w:t>epigenómica</w:t>
      </w:r>
      <w:proofErr w:type="spellEnd"/>
      <w:r w:rsidRPr="00DA1C00">
        <w:t>) con el objetivo de obtener una visión holística de los sistemas biológicos que no se alcanza mediante análisis aislados de cada capa. En la literatura se han descrito tres enfoques principales: integración conceptual, integración basada en el modelo e integración estadística</w:t>
      </w:r>
      <w:r>
        <w:t xml:space="preserve"> </w:t>
      </w:r>
      <w:sdt>
        <w:sdtPr>
          <w:rPr>
            <w:color w:val="000000"/>
          </w:rPr>
          <w:tag w:val="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"/>
          <w:id w:val="983121992"/>
          <w:placeholder>
            <w:docPart w:val="DefaultPlaceholder_-1854013440"/>
          </w:placeholder>
        </w:sdtPr>
        <w:sdtContent>
          <w:r w:rsidR="00667B28" w:rsidRPr="00667B28">
            <w:rPr>
              <w:color w:val="000000"/>
            </w:rPr>
            <w:t>[29–32]</w:t>
          </w:r>
        </w:sdtContent>
      </w:sdt>
      <w:r w:rsidRPr="00DA1C00">
        <w:rPr>
          <w:color w:val="000000"/>
        </w:rPr>
        <w:t>.</w:t>
      </w:r>
    </w:p>
    <w:p w14:paraId="1411CD88" w14:textId="379DB2DD" w:rsidR="007463C5" w:rsidRPr="007463C5" w:rsidRDefault="007463C5" w:rsidP="007463C5">
      <w:pPr>
        <w:rPr>
          <w:color w:val="000000"/>
        </w:rPr>
      </w:pPr>
      <w:r w:rsidRPr="007463C5">
        <w:rPr>
          <w:color w:val="000000"/>
        </w:rPr>
        <w:t xml:space="preserve">La </w:t>
      </w:r>
      <w:r w:rsidRPr="007463C5">
        <w:rPr>
          <w:b/>
          <w:bCs/>
          <w:color w:val="000000"/>
        </w:rPr>
        <w:t>integración conceptual</w:t>
      </w:r>
      <w:r w:rsidRPr="007463C5">
        <w:rPr>
          <w:color w:val="000000"/>
        </w:rPr>
        <w:t xml:space="preserve"> analiza cada capa por separado mediante métodos estándar (expresión diferencial, enriquecimiento funcional) y combina después los resultados por interpretación experta; es operativamente sencilla, pero subjetiva, no captura la covariación coordinada entre capas y no permite cuantificar el valor predictivo agregado de la información </w:t>
      </w:r>
      <w:proofErr w:type="spellStart"/>
      <w:r w:rsidRPr="007463C5">
        <w:rPr>
          <w:color w:val="000000"/>
        </w:rPr>
        <w:t>multiómica</w:t>
      </w:r>
      <w:proofErr w:type="spellEnd"/>
      <w:r w:rsidRPr="007463C5">
        <w:rPr>
          <w:color w:val="000000"/>
        </w:rPr>
        <w:t xml:space="preserve">. La </w:t>
      </w:r>
      <w:r w:rsidRPr="007463C5">
        <w:rPr>
          <w:b/>
          <w:bCs/>
          <w:color w:val="000000"/>
        </w:rPr>
        <w:t>integración basada en el modelo</w:t>
      </w:r>
      <w:r w:rsidRPr="007463C5">
        <w:rPr>
          <w:color w:val="000000"/>
        </w:rPr>
        <w:t xml:space="preserve"> construye modelos </w:t>
      </w:r>
      <w:proofErr w:type="spellStart"/>
      <w:r w:rsidRPr="007463C5">
        <w:rPr>
          <w:color w:val="000000"/>
        </w:rPr>
        <w:t>mecanísticos</w:t>
      </w:r>
      <w:proofErr w:type="spellEnd"/>
      <w:r w:rsidRPr="007463C5">
        <w:rPr>
          <w:color w:val="000000"/>
        </w:rPr>
        <w:t xml:space="preserve"> (ecuaciones diferenciales, modelos metabólicos a escala genómica) que incorporan conocimiento bioquímico previo y permiten simulaciones in </w:t>
      </w:r>
      <w:proofErr w:type="spellStart"/>
      <w:r w:rsidRPr="007463C5">
        <w:rPr>
          <w:color w:val="000000"/>
        </w:rPr>
        <w:t>silico</w:t>
      </w:r>
      <w:proofErr w:type="spellEnd"/>
      <w:r w:rsidRPr="007463C5">
        <w:rPr>
          <w:color w:val="000000"/>
        </w:rPr>
        <w:t>, pero su uso en enfermedades complejas como el LES es limitado por las exigencias de conocimiento detallado, capacidad computacional y validación experimental.</w:t>
      </w:r>
    </w:p>
    <w:p w14:paraId="392E95E0" w14:textId="27969E7D" w:rsidR="007463C5" w:rsidRDefault="007463C5" w:rsidP="007463C5">
      <w:pPr>
        <w:rPr>
          <w:color w:val="000000"/>
        </w:rPr>
      </w:pPr>
      <w:r w:rsidRPr="007463C5">
        <w:rPr>
          <w:color w:val="000000"/>
        </w:rPr>
        <w:t xml:space="preserve">La </w:t>
      </w:r>
      <w:r w:rsidRPr="007463C5">
        <w:rPr>
          <w:b/>
          <w:bCs/>
          <w:color w:val="000000"/>
        </w:rPr>
        <w:t>integración estadística</w:t>
      </w:r>
      <w:r w:rsidRPr="007463C5">
        <w:rPr>
          <w:color w:val="000000"/>
        </w:rPr>
        <w:t xml:space="preserve"> constituye la estrategia predominante en investigación biomédica y la adoptada en este TFM. Dentro de ella pueden distinguirse claramente cuatro bloques metodológicos: (1) métodos basados en correlación (Pearson, Spearman, correlación parcial, redes bayesianas), útiles para explorar relaciones entre variables pero incapaces de capturar estructura latente multivariante; (2) integración por concatenación, que une matrices de distintas capas en una única matriz sobre la que se aplican técnicas como PCA o </w:t>
      </w:r>
      <w:proofErr w:type="spellStart"/>
      <w:r w:rsidRPr="007463C5">
        <w:rPr>
          <w:color w:val="000000"/>
        </w:rPr>
        <w:t>clustering</w:t>
      </w:r>
      <w:proofErr w:type="spellEnd"/>
      <w:r w:rsidRPr="007463C5">
        <w:rPr>
          <w:color w:val="000000"/>
        </w:rPr>
        <w:t>, con el riesgo de sesgo hacia la capa dominante y de interpretación biológica limitada; (3) métodos de reducción de dimensionalidad y factorización (PCA, PLS/</w:t>
      </w:r>
      <w:proofErr w:type="spellStart"/>
      <w:r w:rsidRPr="007463C5">
        <w:rPr>
          <w:color w:val="000000"/>
        </w:rPr>
        <w:t>sPLS</w:t>
      </w:r>
      <w:proofErr w:type="spellEnd"/>
      <w:r w:rsidRPr="007463C5">
        <w:rPr>
          <w:color w:val="000000"/>
        </w:rPr>
        <w:t>, CCA/</w:t>
      </w:r>
      <w:proofErr w:type="spellStart"/>
      <w:r w:rsidRPr="007463C5">
        <w:rPr>
          <w:color w:val="000000"/>
        </w:rPr>
        <w:t>rCCA</w:t>
      </w:r>
      <w:proofErr w:type="spellEnd"/>
      <w:r w:rsidRPr="007463C5">
        <w:rPr>
          <w:color w:val="000000"/>
        </w:rPr>
        <w:t>), que proyectan los datos a espacios latentes de menor dimensión maximizando varianza o covarianza y permiten selección de variables mediante regularización; y (4) métodos de integración multi</w:t>
      </w:r>
      <w:r w:rsidRPr="007463C5">
        <w:rPr>
          <w:rFonts w:ascii="Cambria Math" w:hAnsi="Cambria Math" w:cs="Cambria Math"/>
          <w:color w:val="000000"/>
        </w:rPr>
        <w:t>‑</w:t>
      </w:r>
      <w:r w:rsidRPr="007463C5">
        <w:rPr>
          <w:color w:val="000000"/>
        </w:rPr>
        <w:t xml:space="preserve">bloque </w:t>
      </w:r>
      <w:sdt>
        <w:sdtPr>
          <w:rPr>
            <w:color w:val="000000"/>
          </w:rPr>
          <w:tag w:val="MENDELEY_CITATION_v3_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"/>
          <w:id w:val="-1375914842"/>
          <w:placeholder>
            <w:docPart w:val="90C4105F9621224A97DCBB39820433B1"/>
          </w:placeholder>
        </w:sdtPr>
        <w:sdtContent>
          <w:r w:rsidR="00667B28" w:rsidRPr="00667B28">
            <w:rPr>
              <w:color w:val="000000"/>
            </w:rPr>
            <w:t>[33]</w:t>
          </w:r>
        </w:sdtContent>
      </w:sdt>
      <w:r w:rsidRPr="007463C5">
        <w:rPr>
          <w:color w:val="000000"/>
        </w:rPr>
        <w:t>, diseñados específicamente para múltiples bloques de variables medidos en las mismas muestras, que incluyen enfoques no supervisados como MOFA2 (factorización bayesiana conjunta con gestión nativa de datos faltantes) y supervisados como DIABLO (</w:t>
      </w:r>
      <w:proofErr w:type="spellStart"/>
      <w:r w:rsidRPr="007463C5">
        <w:rPr>
          <w:color w:val="000000"/>
        </w:rPr>
        <w:t>sPLS</w:t>
      </w:r>
      <w:proofErr w:type="spellEnd"/>
      <w:r w:rsidRPr="007463C5">
        <w:rPr>
          <w:color w:val="000000"/>
        </w:rPr>
        <w:t xml:space="preserve"> </w:t>
      </w:r>
      <w:proofErr w:type="spellStart"/>
      <w:r w:rsidRPr="007463C5">
        <w:rPr>
          <w:color w:val="000000"/>
        </w:rPr>
        <w:t>multibloque</w:t>
      </w:r>
      <w:proofErr w:type="spellEnd"/>
      <w:r w:rsidRPr="007463C5">
        <w:rPr>
          <w:color w:val="000000"/>
        </w:rPr>
        <w:t xml:space="preserve"> orientado a la selección de firmas discriminativas), así como enfoques basados en redes como </w:t>
      </w:r>
      <w:proofErr w:type="spellStart"/>
      <w:r w:rsidRPr="007463C5">
        <w:rPr>
          <w:color w:val="000000"/>
        </w:rPr>
        <w:t>Similarity</w:t>
      </w:r>
      <w:proofErr w:type="spellEnd"/>
      <w:r w:rsidRPr="007463C5">
        <w:rPr>
          <w:color w:val="000000"/>
        </w:rPr>
        <w:t xml:space="preserve"> Network </w:t>
      </w:r>
      <w:proofErr w:type="spellStart"/>
      <w:r w:rsidRPr="007463C5">
        <w:rPr>
          <w:color w:val="000000"/>
        </w:rPr>
        <w:t>Fusion</w:t>
      </w:r>
      <w:proofErr w:type="spellEnd"/>
      <w:r w:rsidRPr="007463C5">
        <w:rPr>
          <w:color w:val="000000"/>
        </w:rPr>
        <w:t xml:space="preserve"> (SNF) para el descubrimiento de subgrupos moleculares de pacientes.</w:t>
      </w:r>
    </w:p>
    <w:p w14:paraId="70248EE8" w14:textId="19B9653B" w:rsidR="007D2484" w:rsidRPr="007D2484" w:rsidRDefault="007D2484" w:rsidP="007D2484">
      <w:pPr>
        <w:rPr>
          <w:color w:val="000000"/>
        </w:rPr>
      </w:pPr>
      <w:r w:rsidRPr="007D2484">
        <w:rPr>
          <w:color w:val="000000"/>
        </w:rPr>
        <w:lastRenderedPageBreak/>
        <w:t>MOFA2 (Multi</w:t>
      </w:r>
      <w:r w:rsidRPr="007D2484">
        <w:rPr>
          <w:rFonts w:ascii="Cambria Math" w:hAnsi="Cambria Math" w:cs="Cambria Math"/>
          <w:color w:val="000000"/>
        </w:rPr>
        <w:t>‑</w:t>
      </w:r>
      <w:proofErr w:type="spellStart"/>
      <w:r w:rsidRPr="007D2484">
        <w:rPr>
          <w:color w:val="000000"/>
        </w:rPr>
        <w:t>Omics</w:t>
      </w:r>
      <w:proofErr w:type="spellEnd"/>
      <w:r w:rsidRPr="007D2484">
        <w:rPr>
          <w:color w:val="000000"/>
        </w:rPr>
        <w:t xml:space="preserve"> Factor </w:t>
      </w:r>
      <w:proofErr w:type="spellStart"/>
      <w:r w:rsidRPr="007D2484">
        <w:rPr>
          <w:color w:val="000000"/>
        </w:rPr>
        <w:t>Analysis</w:t>
      </w:r>
      <w:proofErr w:type="spellEnd"/>
      <w:r w:rsidRPr="007D2484">
        <w:rPr>
          <w:color w:val="000000"/>
        </w:rPr>
        <w:t xml:space="preserve"> v2) </w:t>
      </w:r>
      <w:sdt>
        <w:sdtPr>
          <w:rPr>
            <w:color w:val="000000"/>
          </w:rPr>
          <w:tag w:val="MENDELEY_CITATION_v3_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"/>
          <w:id w:val="613325507"/>
          <w:placeholder>
            <w:docPart w:val="74353F6C53BFE84D84744C457A788FB4"/>
          </w:placeholder>
        </w:sdtPr>
        <w:sdtContent>
          <w:r w:rsidR="00667B28" w:rsidRPr="00667B28">
            <w:rPr>
              <w:color w:val="000000"/>
            </w:rPr>
            <w:t>[34,35]</w:t>
          </w:r>
        </w:sdtContent>
      </w:sdt>
      <w:r w:rsidRPr="007D2484">
        <w:rPr>
          <w:color w:val="000000"/>
        </w:rPr>
        <w:t xml:space="preserve"> es un marco bayesiano de factorización conjunta diseñado específicamente para datos multi</w:t>
      </w:r>
      <w:r w:rsidRPr="007D2484">
        <w:rPr>
          <w:rFonts w:ascii="Cambria Math" w:hAnsi="Cambria Math" w:cs="Cambria Math"/>
          <w:color w:val="000000"/>
        </w:rPr>
        <w:t>‑</w:t>
      </w:r>
      <w:proofErr w:type="spellStart"/>
      <w:r w:rsidRPr="007D2484">
        <w:rPr>
          <w:color w:val="000000"/>
        </w:rPr>
        <w:t>ómicos</w:t>
      </w:r>
      <w:proofErr w:type="spellEnd"/>
      <w:r w:rsidRPr="007D2484">
        <w:rPr>
          <w:color w:val="000000"/>
        </w:rPr>
        <w:t xml:space="preserve"> que, a diferencia de los métodos supervisados, no requiere información fenotípica durante el entrenamiento. Su objetivo es descomponer la variación observada en factores latentes que pueden ser compartidos entre todas las capas, parcialmente compartidos o específicos de una sola capa, aplicando inferencia variacional con </w:t>
      </w:r>
      <w:proofErr w:type="spellStart"/>
      <w:r w:rsidRPr="007D2484">
        <w:rPr>
          <w:color w:val="000000"/>
        </w:rPr>
        <w:t>priors</w:t>
      </w:r>
      <w:proofErr w:type="spellEnd"/>
      <w:r w:rsidRPr="007D2484">
        <w:rPr>
          <w:color w:val="000000"/>
        </w:rPr>
        <w:t xml:space="preserve"> </w:t>
      </w:r>
      <w:proofErr w:type="spellStart"/>
      <w:r w:rsidRPr="007D2484">
        <w:rPr>
          <w:color w:val="000000"/>
        </w:rPr>
        <w:t>esparsos</w:t>
      </w:r>
      <w:proofErr w:type="spellEnd"/>
      <w:r w:rsidRPr="007D2484">
        <w:rPr>
          <w:color w:val="000000"/>
        </w:rPr>
        <w:t xml:space="preserve"> y mecanismos ARD que permiten seleccionar automáticamente variables relevantes y determinar en qué bloques es activo cada factor, gestionando de forma nativa los datos faltantes. </w:t>
      </w:r>
    </w:p>
    <w:p w14:paraId="5F7D96BA" w14:textId="115A43D3" w:rsidR="007D2484" w:rsidRDefault="007D2484" w:rsidP="007D2484">
      <w:pPr>
        <w:rPr>
          <w:color w:val="000000"/>
        </w:rPr>
      </w:pPr>
      <w:r w:rsidRPr="007D2484">
        <w:rPr>
          <w:color w:val="000000"/>
        </w:rPr>
        <w:t xml:space="preserve">DIABLO (Data </w:t>
      </w:r>
      <w:proofErr w:type="spellStart"/>
      <w:r w:rsidRPr="007D2484">
        <w:rPr>
          <w:color w:val="000000"/>
        </w:rPr>
        <w:t>Integration</w:t>
      </w:r>
      <w:proofErr w:type="spellEnd"/>
      <w:r w:rsidRPr="007D2484">
        <w:rPr>
          <w:color w:val="000000"/>
        </w:rPr>
        <w:t xml:space="preserve"> </w:t>
      </w:r>
      <w:proofErr w:type="spellStart"/>
      <w:r w:rsidRPr="007D2484">
        <w:rPr>
          <w:color w:val="000000"/>
        </w:rPr>
        <w:t>Analysis</w:t>
      </w:r>
      <w:proofErr w:type="spellEnd"/>
      <w:r w:rsidRPr="007D2484">
        <w:rPr>
          <w:color w:val="000000"/>
        </w:rPr>
        <w:t xml:space="preserve"> </w:t>
      </w:r>
      <w:proofErr w:type="spellStart"/>
      <w:r w:rsidRPr="007D2484">
        <w:rPr>
          <w:color w:val="000000"/>
        </w:rPr>
        <w:t>for</w:t>
      </w:r>
      <w:proofErr w:type="spellEnd"/>
      <w:r w:rsidRPr="007D2484">
        <w:rPr>
          <w:color w:val="000000"/>
        </w:rPr>
        <w:t xml:space="preserve"> </w:t>
      </w:r>
      <w:proofErr w:type="spellStart"/>
      <w:r w:rsidRPr="007D2484">
        <w:rPr>
          <w:color w:val="000000"/>
        </w:rPr>
        <w:t>Biomarker</w:t>
      </w:r>
      <w:proofErr w:type="spellEnd"/>
      <w:r w:rsidRPr="007D2484">
        <w:rPr>
          <w:color w:val="000000"/>
        </w:rPr>
        <w:t xml:space="preserve"> </w:t>
      </w:r>
      <w:proofErr w:type="spellStart"/>
      <w:r w:rsidRPr="007D2484">
        <w:rPr>
          <w:color w:val="000000"/>
        </w:rPr>
        <w:t>discovery</w:t>
      </w:r>
      <w:proofErr w:type="spellEnd"/>
      <w:r w:rsidRPr="007D2484">
        <w:rPr>
          <w:color w:val="000000"/>
        </w:rPr>
        <w:t xml:space="preserve"> </w:t>
      </w:r>
      <w:proofErr w:type="spellStart"/>
      <w:r w:rsidRPr="007D2484">
        <w:rPr>
          <w:color w:val="000000"/>
        </w:rPr>
        <w:t>using</w:t>
      </w:r>
      <w:proofErr w:type="spellEnd"/>
      <w:r w:rsidRPr="007D2484">
        <w:rPr>
          <w:color w:val="000000"/>
        </w:rPr>
        <w:t xml:space="preserve"> </w:t>
      </w:r>
      <w:proofErr w:type="spellStart"/>
      <w:r w:rsidRPr="007D2484">
        <w:rPr>
          <w:color w:val="000000"/>
        </w:rPr>
        <w:t>Latent</w:t>
      </w:r>
      <w:proofErr w:type="spellEnd"/>
      <w:r w:rsidRPr="007D2484">
        <w:rPr>
          <w:color w:val="000000"/>
        </w:rPr>
        <w:t xml:space="preserve"> </w:t>
      </w:r>
      <w:proofErr w:type="spellStart"/>
      <w:r w:rsidRPr="007D2484">
        <w:rPr>
          <w:color w:val="000000"/>
        </w:rPr>
        <w:t>cOmponents</w:t>
      </w:r>
      <w:proofErr w:type="spellEnd"/>
      <w:r w:rsidRPr="007D2484">
        <w:rPr>
          <w:color w:val="000000"/>
        </w:rPr>
        <w:t xml:space="preserve">), implementado en </w:t>
      </w:r>
      <w:proofErr w:type="spellStart"/>
      <w:r w:rsidRPr="007D2484">
        <w:rPr>
          <w:color w:val="000000"/>
        </w:rPr>
        <w:t>mixOmics</w:t>
      </w:r>
      <w:proofErr w:type="spellEnd"/>
      <w:r w:rsidRPr="007D2484">
        <w:rPr>
          <w:color w:val="000000"/>
        </w:rPr>
        <w:t xml:space="preserve">, es un método supervisado que aplica </w:t>
      </w:r>
      <w:proofErr w:type="spellStart"/>
      <w:r w:rsidRPr="007D2484">
        <w:rPr>
          <w:color w:val="000000"/>
        </w:rPr>
        <w:t>sPLS</w:t>
      </w:r>
      <w:proofErr w:type="spellEnd"/>
      <w:r w:rsidRPr="007D2484">
        <w:rPr>
          <w:color w:val="000000"/>
        </w:rPr>
        <w:t xml:space="preserve"> </w:t>
      </w:r>
      <w:proofErr w:type="spellStart"/>
      <w:r w:rsidRPr="007D2484">
        <w:rPr>
          <w:color w:val="000000"/>
        </w:rPr>
        <w:t>multibloque</w:t>
      </w:r>
      <w:proofErr w:type="spellEnd"/>
      <w:r w:rsidRPr="007D2484">
        <w:rPr>
          <w:color w:val="000000"/>
        </w:rPr>
        <w:t xml:space="preserve"> para seleccionar conjuntos de variables multi</w:t>
      </w:r>
      <w:r w:rsidRPr="007D2484">
        <w:rPr>
          <w:rFonts w:ascii="Cambria Math" w:hAnsi="Cambria Math" w:cs="Cambria Math"/>
          <w:color w:val="000000"/>
        </w:rPr>
        <w:t>‑</w:t>
      </w:r>
      <w:proofErr w:type="spellStart"/>
      <w:r w:rsidRPr="007D2484">
        <w:rPr>
          <w:color w:val="000000"/>
        </w:rPr>
        <w:t>ómicas</w:t>
      </w:r>
      <w:proofErr w:type="spellEnd"/>
      <w:r w:rsidRPr="007D2484">
        <w:rPr>
          <w:color w:val="000000"/>
        </w:rPr>
        <w:t xml:space="preserve"> capaces de discriminar entre fenotipos clínicos predefinidos (por ejemplo, LES activo frente a remisión), y está específicamente orientado a la identificación de firmas con potencial valor diagnóstico o predictivo </w:t>
      </w:r>
      <w:sdt>
        <w:sdtPr>
          <w:rPr>
            <w:color w:val="000000"/>
          </w:rPr>
          <w:tag w:val="MENDELEY_CITATION_v3_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"/>
          <w:id w:val="-341700909"/>
          <w:placeholder>
            <w:docPart w:val="F3A872FE9233E84F8ACBF3FBB8F194FA"/>
          </w:placeholder>
        </w:sdtPr>
        <w:sdtContent>
          <w:r w:rsidR="00667B28" w:rsidRPr="00667B28">
            <w:rPr>
              <w:color w:val="000000"/>
            </w:rPr>
            <w:t>[36]</w:t>
          </w:r>
        </w:sdtContent>
      </w:sdt>
      <w:r w:rsidRPr="007D2484">
        <w:rPr>
          <w:color w:val="000000"/>
        </w:rPr>
        <w:t xml:space="preserve">. </w:t>
      </w:r>
    </w:p>
    <w:p w14:paraId="5573E6CB" w14:textId="2406BFFB" w:rsidR="00097466" w:rsidRPr="007D2484" w:rsidRDefault="007D2484">
      <w:pPr>
        <w:rPr>
          <w:color w:val="000000"/>
        </w:rPr>
      </w:pPr>
      <w:r w:rsidRPr="007D2484">
        <w:rPr>
          <w:color w:val="000000"/>
        </w:rPr>
        <w:t xml:space="preserve">Métodos adicionales, como </w:t>
      </w:r>
      <w:proofErr w:type="spellStart"/>
      <w:r w:rsidRPr="007D2484">
        <w:rPr>
          <w:color w:val="000000"/>
        </w:rPr>
        <w:t>sPLS</w:t>
      </w:r>
      <w:proofErr w:type="spellEnd"/>
      <w:r w:rsidRPr="007D2484">
        <w:rPr>
          <w:color w:val="000000"/>
        </w:rPr>
        <w:t xml:space="preserve"> y </w:t>
      </w:r>
      <w:proofErr w:type="spellStart"/>
      <w:r w:rsidRPr="007D2484">
        <w:rPr>
          <w:color w:val="000000"/>
        </w:rPr>
        <w:t>rCCA</w:t>
      </w:r>
      <w:proofErr w:type="spellEnd"/>
      <w:r w:rsidRPr="007D2484">
        <w:rPr>
          <w:color w:val="000000"/>
        </w:rPr>
        <w:t xml:space="preserve">, se centran en la relación entre dos bloques de datos, mientras que </w:t>
      </w:r>
      <w:proofErr w:type="spellStart"/>
      <w:r w:rsidRPr="007D2484">
        <w:rPr>
          <w:color w:val="000000"/>
        </w:rPr>
        <w:t>Similarity</w:t>
      </w:r>
      <w:proofErr w:type="spellEnd"/>
      <w:r w:rsidRPr="007D2484">
        <w:rPr>
          <w:color w:val="000000"/>
        </w:rPr>
        <w:t xml:space="preserve"> Network </w:t>
      </w:r>
      <w:proofErr w:type="spellStart"/>
      <w:r w:rsidRPr="007D2484">
        <w:rPr>
          <w:color w:val="000000"/>
        </w:rPr>
        <w:t>Fusion</w:t>
      </w:r>
      <w:proofErr w:type="spellEnd"/>
      <w:r w:rsidRPr="007D2484">
        <w:rPr>
          <w:color w:val="000000"/>
        </w:rPr>
        <w:t xml:space="preserve"> (SNF) integra redes de similitud entre muestras para descubrir subgrupos moleculares, aunque con menor interpretabilidad directa.</w:t>
      </w:r>
      <w:bookmarkStart w:id="88" w:name="_heading=h.7t00b0sx9edw" w:colFirst="0" w:colLast="0"/>
      <w:bookmarkEnd w:id="88"/>
      <w:r w:rsidR="000757B6">
        <w:rPr>
          <w:color w:val="000000"/>
        </w:rPr>
        <w:t xml:space="preserve"> En la siguiente tabla 5 se resumen los </w:t>
      </w:r>
      <w:r w:rsidR="000757B6" w:rsidRPr="000757B6">
        <w:rPr>
          <w:color w:val="000000"/>
        </w:rPr>
        <w:t>métodos estadísticos de integración multi-</w:t>
      </w:r>
      <w:proofErr w:type="spellStart"/>
      <w:r w:rsidR="000757B6" w:rsidRPr="000757B6">
        <w:rPr>
          <w:color w:val="000000"/>
        </w:rPr>
        <w:t>ómica</w:t>
      </w:r>
      <w:proofErr w:type="spellEnd"/>
      <w:r w:rsidR="000757B6">
        <w:rPr>
          <w:color w:val="000000"/>
        </w:rPr>
        <w:t xml:space="preserve">. </w:t>
      </w:r>
    </w:p>
    <w:tbl>
      <w:tblPr>
        <w:tblStyle w:val="a5"/>
        <w:tblW w:w="849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52"/>
        <w:gridCol w:w="1420"/>
        <w:gridCol w:w="1845"/>
        <w:gridCol w:w="1705"/>
        <w:gridCol w:w="1973"/>
      </w:tblGrid>
      <w:tr w:rsidR="00097466" w14:paraId="027D3E14" w14:textId="77777777">
        <w:trPr>
          <w:jc w:val="center"/>
        </w:trPr>
        <w:tc>
          <w:tcPr>
            <w:tcW w:w="1552" w:type="dxa"/>
            <w:shd w:val="clear" w:color="auto" w:fill="F2F2F2"/>
            <w:tcMar>
              <w:top w:w="80" w:type="dxa"/>
              <w:left w:w="160" w:type="dxa"/>
              <w:bottom w:w="80" w:type="dxa"/>
              <w:right w:w="160" w:type="dxa"/>
            </w:tcMar>
            <w:vAlign w:val="center"/>
          </w:tcPr>
          <w:p w14:paraId="5A69EC4F" w14:textId="77777777" w:rsidR="00097466" w:rsidRDefault="00000000">
            <w:pPr>
              <w:spacing w:before="0" w:after="0" w:line="240" w:lineRule="auto"/>
              <w:jc w:val="center"/>
              <w:rPr>
                <w:sz w:val="20"/>
                <w:szCs w:val="20"/>
              </w:rPr>
            </w:pPr>
            <w:r>
              <w:rPr>
                <w:b/>
                <w:bCs/>
                <w:color w:val="000000"/>
                <w:sz w:val="20"/>
                <w:szCs w:val="20"/>
              </w:rPr>
              <w:t>Método</w:t>
            </w:r>
          </w:p>
        </w:tc>
        <w:tc>
          <w:tcPr>
            <w:tcW w:w="1420" w:type="dxa"/>
            <w:shd w:val="clear" w:color="auto" w:fill="F2F2F2"/>
            <w:tcMar>
              <w:top w:w="80" w:type="dxa"/>
              <w:left w:w="160" w:type="dxa"/>
              <w:bottom w:w="80" w:type="dxa"/>
              <w:right w:w="160" w:type="dxa"/>
            </w:tcMar>
            <w:vAlign w:val="center"/>
          </w:tcPr>
          <w:p w14:paraId="2C9B887D" w14:textId="77777777" w:rsidR="00097466" w:rsidRDefault="00000000">
            <w:pPr>
              <w:spacing w:before="0" w:after="0" w:line="240" w:lineRule="auto"/>
              <w:jc w:val="center"/>
              <w:rPr>
                <w:sz w:val="20"/>
                <w:szCs w:val="20"/>
              </w:rPr>
            </w:pPr>
            <w:r>
              <w:rPr>
                <w:b/>
                <w:bCs/>
                <w:color w:val="000000"/>
                <w:sz w:val="20"/>
                <w:szCs w:val="20"/>
              </w:rPr>
              <w:t>Aprendizaje</w:t>
            </w:r>
          </w:p>
        </w:tc>
        <w:tc>
          <w:tcPr>
            <w:tcW w:w="1845" w:type="dxa"/>
            <w:shd w:val="clear" w:color="auto" w:fill="F2F2F2"/>
            <w:tcMar>
              <w:top w:w="80" w:type="dxa"/>
              <w:left w:w="160" w:type="dxa"/>
              <w:bottom w:w="80" w:type="dxa"/>
              <w:right w:w="160" w:type="dxa"/>
            </w:tcMar>
            <w:vAlign w:val="center"/>
          </w:tcPr>
          <w:p w14:paraId="65CFEB90" w14:textId="77777777" w:rsidR="00097466" w:rsidRDefault="00000000">
            <w:pPr>
              <w:spacing w:before="0" w:after="0" w:line="240" w:lineRule="auto"/>
              <w:jc w:val="center"/>
              <w:rPr>
                <w:sz w:val="20"/>
                <w:szCs w:val="20"/>
              </w:rPr>
            </w:pPr>
            <w:r>
              <w:rPr>
                <w:b/>
                <w:bCs/>
                <w:color w:val="000000"/>
                <w:sz w:val="20"/>
                <w:szCs w:val="20"/>
              </w:rPr>
              <w:t>Interpretabilidad</w:t>
            </w:r>
          </w:p>
        </w:tc>
        <w:tc>
          <w:tcPr>
            <w:tcW w:w="1705" w:type="dxa"/>
            <w:shd w:val="clear" w:color="auto" w:fill="F2F2F2"/>
            <w:tcMar>
              <w:top w:w="80" w:type="dxa"/>
              <w:left w:w="160" w:type="dxa"/>
              <w:bottom w:w="80" w:type="dxa"/>
              <w:right w:w="160" w:type="dxa"/>
            </w:tcMar>
            <w:vAlign w:val="center"/>
          </w:tcPr>
          <w:p w14:paraId="748CF071" w14:textId="77777777" w:rsidR="00097466" w:rsidRDefault="00000000">
            <w:pPr>
              <w:spacing w:before="0" w:after="0" w:line="240" w:lineRule="auto"/>
              <w:jc w:val="center"/>
              <w:rPr>
                <w:sz w:val="20"/>
                <w:szCs w:val="20"/>
              </w:rPr>
            </w:pPr>
            <w:r>
              <w:rPr>
                <w:b/>
                <w:bCs/>
                <w:color w:val="000000"/>
                <w:sz w:val="20"/>
                <w:szCs w:val="20"/>
              </w:rPr>
              <w:t>Manejo de datos faltantes</w:t>
            </w:r>
          </w:p>
        </w:tc>
        <w:tc>
          <w:tcPr>
            <w:tcW w:w="1973" w:type="dxa"/>
            <w:shd w:val="clear" w:color="auto" w:fill="F2F2F2"/>
            <w:tcMar>
              <w:top w:w="80" w:type="dxa"/>
              <w:left w:w="160" w:type="dxa"/>
              <w:bottom w:w="80" w:type="dxa"/>
              <w:right w:w="160" w:type="dxa"/>
            </w:tcMar>
            <w:vAlign w:val="center"/>
          </w:tcPr>
          <w:p w14:paraId="5DF105ED" w14:textId="77777777" w:rsidR="00097466" w:rsidRDefault="00000000">
            <w:pPr>
              <w:spacing w:before="0" w:after="0" w:line="240" w:lineRule="auto"/>
              <w:jc w:val="center"/>
              <w:rPr>
                <w:sz w:val="20"/>
                <w:szCs w:val="20"/>
              </w:rPr>
            </w:pPr>
            <w:r>
              <w:rPr>
                <w:b/>
                <w:bCs/>
                <w:color w:val="000000"/>
                <w:sz w:val="20"/>
                <w:szCs w:val="20"/>
              </w:rPr>
              <w:t>Objetivo principal</w:t>
            </w:r>
          </w:p>
        </w:tc>
      </w:tr>
      <w:tr w:rsidR="00097466" w14:paraId="4409D506" w14:textId="77777777">
        <w:trPr>
          <w:jc w:val="center"/>
        </w:trPr>
        <w:tc>
          <w:tcPr>
            <w:tcW w:w="1552" w:type="dxa"/>
            <w:shd w:val="clear" w:color="auto" w:fill="F2F2F2"/>
            <w:tcMar>
              <w:top w:w="80" w:type="dxa"/>
              <w:left w:w="160" w:type="dxa"/>
              <w:bottom w:w="80" w:type="dxa"/>
              <w:right w:w="160" w:type="dxa"/>
            </w:tcMar>
            <w:vAlign w:val="center"/>
          </w:tcPr>
          <w:p w14:paraId="19C324BD" w14:textId="77777777" w:rsidR="00097466" w:rsidRDefault="00000000">
            <w:pPr>
              <w:spacing w:before="0" w:after="0" w:line="240" w:lineRule="auto"/>
              <w:jc w:val="center"/>
              <w:rPr>
                <w:sz w:val="20"/>
                <w:szCs w:val="20"/>
              </w:rPr>
            </w:pPr>
            <w:r>
              <w:rPr>
                <w:b/>
                <w:bCs/>
                <w:color w:val="000000"/>
                <w:sz w:val="20"/>
                <w:szCs w:val="20"/>
              </w:rPr>
              <w:t>MOFA/MOFA+</w:t>
            </w:r>
          </w:p>
        </w:tc>
        <w:tc>
          <w:tcPr>
            <w:tcW w:w="1420" w:type="dxa"/>
            <w:tcMar>
              <w:top w:w="80" w:type="dxa"/>
              <w:left w:w="160" w:type="dxa"/>
              <w:bottom w:w="80" w:type="dxa"/>
              <w:right w:w="160" w:type="dxa"/>
            </w:tcMar>
            <w:vAlign w:val="center"/>
          </w:tcPr>
          <w:p w14:paraId="6E65253A" w14:textId="77777777" w:rsidR="00097466" w:rsidRDefault="00000000">
            <w:pPr>
              <w:spacing w:before="0" w:after="0" w:line="240" w:lineRule="auto"/>
              <w:jc w:val="left"/>
              <w:rPr>
                <w:sz w:val="20"/>
                <w:szCs w:val="20"/>
              </w:rPr>
            </w:pPr>
            <w:r>
              <w:rPr>
                <w:color w:val="000000"/>
                <w:sz w:val="20"/>
                <w:szCs w:val="20"/>
              </w:rPr>
              <w:t>No supervisado</w:t>
            </w:r>
          </w:p>
        </w:tc>
        <w:tc>
          <w:tcPr>
            <w:tcW w:w="1845" w:type="dxa"/>
            <w:tcMar>
              <w:top w:w="80" w:type="dxa"/>
              <w:left w:w="160" w:type="dxa"/>
              <w:bottom w:w="80" w:type="dxa"/>
              <w:right w:w="160" w:type="dxa"/>
            </w:tcMar>
            <w:vAlign w:val="center"/>
          </w:tcPr>
          <w:p w14:paraId="39520640" w14:textId="77777777" w:rsidR="00097466" w:rsidRDefault="00000000">
            <w:pPr>
              <w:spacing w:before="0" w:after="0" w:line="240" w:lineRule="auto"/>
              <w:jc w:val="left"/>
              <w:rPr>
                <w:sz w:val="20"/>
                <w:szCs w:val="20"/>
              </w:rPr>
            </w:pPr>
            <w:r>
              <w:rPr>
                <w:color w:val="000000"/>
                <w:sz w:val="20"/>
                <w:szCs w:val="20"/>
              </w:rPr>
              <w:t xml:space="preserve">Alta (factores + </w:t>
            </w:r>
            <w:proofErr w:type="spellStart"/>
            <w:r>
              <w:rPr>
                <w:color w:val="000000"/>
                <w:sz w:val="20"/>
                <w:szCs w:val="20"/>
              </w:rPr>
              <w:t>loadings</w:t>
            </w:r>
            <w:proofErr w:type="spellEnd"/>
            <w:r>
              <w:rPr>
                <w:color w:val="000000"/>
                <w:sz w:val="20"/>
                <w:szCs w:val="20"/>
              </w:rPr>
              <w:t xml:space="preserve"> por capa)</w:t>
            </w:r>
          </w:p>
        </w:tc>
        <w:tc>
          <w:tcPr>
            <w:tcW w:w="1705" w:type="dxa"/>
            <w:tcMar>
              <w:top w:w="80" w:type="dxa"/>
              <w:left w:w="160" w:type="dxa"/>
              <w:bottom w:w="80" w:type="dxa"/>
              <w:right w:w="160" w:type="dxa"/>
            </w:tcMar>
            <w:vAlign w:val="center"/>
          </w:tcPr>
          <w:p w14:paraId="1AC6998C" w14:textId="77777777" w:rsidR="00097466" w:rsidRDefault="00000000">
            <w:pPr>
              <w:spacing w:before="0" w:after="0" w:line="240" w:lineRule="auto"/>
              <w:jc w:val="left"/>
              <w:rPr>
                <w:sz w:val="20"/>
                <w:szCs w:val="20"/>
              </w:rPr>
            </w:pPr>
            <w:r>
              <w:rPr>
                <w:color w:val="000000"/>
                <w:sz w:val="20"/>
                <w:szCs w:val="20"/>
              </w:rPr>
              <w:t>Nativa (inferencia bayesiana)</w:t>
            </w:r>
          </w:p>
        </w:tc>
        <w:tc>
          <w:tcPr>
            <w:tcW w:w="1973" w:type="dxa"/>
            <w:tcMar>
              <w:top w:w="80" w:type="dxa"/>
              <w:left w:w="160" w:type="dxa"/>
              <w:bottom w:w="80" w:type="dxa"/>
              <w:right w:w="160" w:type="dxa"/>
            </w:tcMar>
            <w:vAlign w:val="center"/>
          </w:tcPr>
          <w:p w14:paraId="4FFD5099" w14:textId="77777777" w:rsidR="00097466" w:rsidRDefault="00000000">
            <w:pPr>
              <w:spacing w:before="0" w:after="0" w:line="240" w:lineRule="auto"/>
              <w:jc w:val="left"/>
              <w:rPr>
                <w:sz w:val="20"/>
                <w:szCs w:val="20"/>
              </w:rPr>
            </w:pPr>
            <w:r>
              <w:rPr>
                <w:color w:val="000000"/>
                <w:sz w:val="20"/>
                <w:szCs w:val="20"/>
              </w:rPr>
              <w:t>Identificar variación compartida y específica entre capas</w:t>
            </w:r>
          </w:p>
        </w:tc>
      </w:tr>
      <w:tr w:rsidR="00097466" w14:paraId="6854CCD9" w14:textId="77777777">
        <w:trPr>
          <w:jc w:val="center"/>
        </w:trPr>
        <w:tc>
          <w:tcPr>
            <w:tcW w:w="1552" w:type="dxa"/>
            <w:shd w:val="clear" w:color="auto" w:fill="F2F2F2"/>
            <w:tcMar>
              <w:top w:w="80" w:type="dxa"/>
              <w:left w:w="160" w:type="dxa"/>
              <w:bottom w:w="80" w:type="dxa"/>
              <w:right w:w="160" w:type="dxa"/>
            </w:tcMar>
            <w:vAlign w:val="center"/>
          </w:tcPr>
          <w:p w14:paraId="483E200B" w14:textId="77777777" w:rsidR="00097466" w:rsidRDefault="00000000">
            <w:pPr>
              <w:spacing w:before="0" w:after="0" w:line="240" w:lineRule="auto"/>
              <w:jc w:val="center"/>
              <w:rPr>
                <w:sz w:val="20"/>
                <w:szCs w:val="20"/>
              </w:rPr>
            </w:pPr>
            <w:r>
              <w:rPr>
                <w:b/>
                <w:bCs/>
                <w:color w:val="000000"/>
                <w:sz w:val="20"/>
                <w:szCs w:val="20"/>
              </w:rPr>
              <w:t>DIABLO</w:t>
            </w:r>
          </w:p>
        </w:tc>
        <w:tc>
          <w:tcPr>
            <w:tcW w:w="1420" w:type="dxa"/>
            <w:tcMar>
              <w:top w:w="80" w:type="dxa"/>
              <w:left w:w="160" w:type="dxa"/>
              <w:bottom w:w="80" w:type="dxa"/>
              <w:right w:w="160" w:type="dxa"/>
            </w:tcMar>
            <w:vAlign w:val="center"/>
          </w:tcPr>
          <w:p w14:paraId="1260302C" w14:textId="77777777" w:rsidR="00097466" w:rsidRDefault="00000000">
            <w:pPr>
              <w:spacing w:before="0" w:after="0" w:line="240" w:lineRule="auto"/>
              <w:jc w:val="left"/>
              <w:rPr>
                <w:sz w:val="20"/>
                <w:szCs w:val="20"/>
              </w:rPr>
            </w:pPr>
            <w:r>
              <w:rPr>
                <w:color w:val="000000"/>
                <w:sz w:val="20"/>
                <w:szCs w:val="20"/>
              </w:rPr>
              <w:t>Supervisado</w:t>
            </w:r>
          </w:p>
        </w:tc>
        <w:tc>
          <w:tcPr>
            <w:tcW w:w="1845" w:type="dxa"/>
            <w:tcMar>
              <w:top w:w="80" w:type="dxa"/>
              <w:left w:w="160" w:type="dxa"/>
              <w:bottom w:w="80" w:type="dxa"/>
              <w:right w:w="160" w:type="dxa"/>
            </w:tcMar>
            <w:vAlign w:val="center"/>
          </w:tcPr>
          <w:p w14:paraId="0F24CA39" w14:textId="77777777" w:rsidR="00097466" w:rsidRDefault="00000000">
            <w:pPr>
              <w:spacing w:before="0" w:after="0" w:line="240" w:lineRule="auto"/>
              <w:jc w:val="left"/>
              <w:rPr>
                <w:sz w:val="20"/>
                <w:szCs w:val="20"/>
              </w:rPr>
            </w:pPr>
            <w:r>
              <w:rPr>
                <w:color w:val="000000"/>
                <w:sz w:val="20"/>
                <w:szCs w:val="20"/>
              </w:rPr>
              <w:t>Alta (componentes + variables seleccionadas)</w:t>
            </w:r>
          </w:p>
        </w:tc>
        <w:tc>
          <w:tcPr>
            <w:tcW w:w="1705" w:type="dxa"/>
            <w:tcMar>
              <w:top w:w="80" w:type="dxa"/>
              <w:left w:w="160" w:type="dxa"/>
              <w:bottom w:w="80" w:type="dxa"/>
              <w:right w:w="160" w:type="dxa"/>
            </w:tcMar>
            <w:vAlign w:val="center"/>
          </w:tcPr>
          <w:p w14:paraId="116EB611" w14:textId="77777777" w:rsidR="00097466" w:rsidRDefault="00000000">
            <w:pPr>
              <w:spacing w:before="0" w:after="0" w:line="240" w:lineRule="auto"/>
              <w:jc w:val="left"/>
              <w:rPr>
                <w:sz w:val="20"/>
                <w:szCs w:val="20"/>
              </w:rPr>
            </w:pPr>
            <w:r>
              <w:rPr>
                <w:color w:val="000000"/>
                <w:sz w:val="20"/>
                <w:szCs w:val="20"/>
              </w:rPr>
              <w:t>Requiere imputación previa</w:t>
            </w:r>
          </w:p>
        </w:tc>
        <w:tc>
          <w:tcPr>
            <w:tcW w:w="1973" w:type="dxa"/>
            <w:tcMar>
              <w:top w:w="80" w:type="dxa"/>
              <w:left w:w="160" w:type="dxa"/>
              <w:bottom w:w="80" w:type="dxa"/>
              <w:right w:w="160" w:type="dxa"/>
            </w:tcMar>
            <w:vAlign w:val="center"/>
          </w:tcPr>
          <w:p w14:paraId="5F4B56FB" w14:textId="77777777" w:rsidR="00097466" w:rsidRDefault="00000000">
            <w:pPr>
              <w:spacing w:before="0" w:after="0" w:line="240" w:lineRule="auto"/>
              <w:jc w:val="left"/>
              <w:rPr>
                <w:sz w:val="20"/>
                <w:szCs w:val="20"/>
              </w:rPr>
            </w:pPr>
            <w:r>
              <w:rPr>
                <w:color w:val="000000"/>
                <w:sz w:val="20"/>
                <w:szCs w:val="20"/>
              </w:rPr>
              <w:t>Discriminar grupos fenotípicos maximizando covarianza inter-capa</w:t>
            </w:r>
          </w:p>
        </w:tc>
      </w:tr>
      <w:tr w:rsidR="00097466" w14:paraId="439F1ABB" w14:textId="77777777">
        <w:trPr>
          <w:jc w:val="center"/>
        </w:trPr>
        <w:tc>
          <w:tcPr>
            <w:tcW w:w="1552" w:type="dxa"/>
            <w:shd w:val="clear" w:color="auto" w:fill="F2F2F2"/>
            <w:tcMar>
              <w:top w:w="80" w:type="dxa"/>
              <w:left w:w="160" w:type="dxa"/>
              <w:bottom w:w="80" w:type="dxa"/>
              <w:right w:w="160" w:type="dxa"/>
            </w:tcMar>
            <w:vAlign w:val="center"/>
          </w:tcPr>
          <w:p w14:paraId="18438FBB" w14:textId="77777777" w:rsidR="00097466" w:rsidRDefault="00000000">
            <w:pPr>
              <w:spacing w:before="0" w:after="0" w:line="240" w:lineRule="auto"/>
              <w:jc w:val="center"/>
              <w:rPr>
                <w:sz w:val="20"/>
                <w:szCs w:val="20"/>
              </w:rPr>
            </w:pPr>
            <w:proofErr w:type="spellStart"/>
            <w:r>
              <w:rPr>
                <w:b/>
                <w:bCs/>
                <w:color w:val="000000"/>
                <w:sz w:val="20"/>
                <w:szCs w:val="20"/>
              </w:rPr>
              <w:t>sPLS</w:t>
            </w:r>
            <w:proofErr w:type="spellEnd"/>
          </w:p>
        </w:tc>
        <w:tc>
          <w:tcPr>
            <w:tcW w:w="1420" w:type="dxa"/>
            <w:tcMar>
              <w:top w:w="80" w:type="dxa"/>
              <w:left w:w="160" w:type="dxa"/>
              <w:bottom w:w="80" w:type="dxa"/>
              <w:right w:w="160" w:type="dxa"/>
            </w:tcMar>
            <w:vAlign w:val="center"/>
          </w:tcPr>
          <w:p w14:paraId="72EDA5D0" w14:textId="77777777" w:rsidR="00097466" w:rsidRDefault="00000000">
            <w:pPr>
              <w:spacing w:before="0" w:after="0" w:line="240" w:lineRule="auto"/>
              <w:jc w:val="left"/>
              <w:rPr>
                <w:sz w:val="20"/>
                <w:szCs w:val="20"/>
              </w:rPr>
            </w:pPr>
            <w:r>
              <w:rPr>
                <w:color w:val="000000"/>
                <w:sz w:val="20"/>
                <w:szCs w:val="20"/>
              </w:rPr>
              <w:t>Supervisado (dos bloques)</w:t>
            </w:r>
          </w:p>
        </w:tc>
        <w:tc>
          <w:tcPr>
            <w:tcW w:w="1845" w:type="dxa"/>
            <w:tcMar>
              <w:top w:w="80" w:type="dxa"/>
              <w:left w:w="160" w:type="dxa"/>
              <w:bottom w:w="80" w:type="dxa"/>
              <w:right w:w="160" w:type="dxa"/>
            </w:tcMar>
            <w:vAlign w:val="center"/>
          </w:tcPr>
          <w:p w14:paraId="21FF1533" w14:textId="77777777" w:rsidR="00097466" w:rsidRDefault="00000000">
            <w:pPr>
              <w:spacing w:before="0" w:after="0" w:line="240" w:lineRule="auto"/>
              <w:jc w:val="left"/>
              <w:rPr>
                <w:sz w:val="20"/>
                <w:szCs w:val="20"/>
              </w:rPr>
            </w:pPr>
            <w:r>
              <w:rPr>
                <w:color w:val="000000"/>
                <w:sz w:val="20"/>
                <w:szCs w:val="20"/>
              </w:rPr>
              <w:t>Alta (selección automática de variables)</w:t>
            </w:r>
          </w:p>
        </w:tc>
        <w:tc>
          <w:tcPr>
            <w:tcW w:w="1705" w:type="dxa"/>
            <w:tcMar>
              <w:top w:w="80" w:type="dxa"/>
              <w:left w:w="160" w:type="dxa"/>
              <w:bottom w:w="80" w:type="dxa"/>
              <w:right w:w="160" w:type="dxa"/>
            </w:tcMar>
            <w:vAlign w:val="center"/>
          </w:tcPr>
          <w:p w14:paraId="51DD0A16" w14:textId="77777777" w:rsidR="00097466" w:rsidRDefault="00000000">
            <w:pPr>
              <w:spacing w:before="0" w:after="0" w:line="240" w:lineRule="auto"/>
              <w:jc w:val="left"/>
              <w:rPr>
                <w:sz w:val="20"/>
                <w:szCs w:val="20"/>
              </w:rPr>
            </w:pPr>
            <w:r>
              <w:rPr>
                <w:color w:val="000000"/>
                <w:sz w:val="20"/>
                <w:szCs w:val="20"/>
              </w:rPr>
              <w:t>Requiere imputación previa</w:t>
            </w:r>
          </w:p>
        </w:tc>
        <w:tc>
          <w:tcPr>
            <w:tcW w:w="1973" w:type="dxa"/>
            <w:tcMar>
              <w:top w:w="80" w:type="dxa"/>
              <w:left w:w="160" w:type="dxa"/>
              <w:bottom w:w="80" w:type="dxa"/>
              <w:right w:w="160" w:type="dxa"/>
            </w:tcMar>
            <w:vAlign w:val="center"/>
          </w:tcPr>
          <w:p w14:paraId="27D8CF8D" w14:textId="77777777" w:rsidR="00097466" w:rsidRDefault="00000000">
            <w:pPr>
              <w:spacing w:before="0" w:after="0" w:line="240" w:lineRule="auto"/>
              <w:jc w:val="left"/>
              <w:rPr>
                <w:sz w:val="20"/>
                <w:szCs w:val="20"/>
              </w:rPr>
            </w:pPr>
            <w:r>
              <w:rPr>
                <w:color w:val="000000"/>
                <w:sz w:val="20"/>
                <w:szCs w:val="20"/>
              </w:rPr>
              <w:t>Predecir un bloque desde otro con selección de predictores</w:t>
            </w:r>
          </w:p>
        </w:tc>
      </w:tr>
      <w:tr w:rsidR="00097466" w14:paraId="1BBEB3E4" w14:textId="77777777">
        <w:trPr>
          <w:jc w:val="center"/>
        </w:trPr>
        <w:tc>
          <w:tcPr>
            <w:tcW w:w="1552" w:type="dxa"/>
            <w:shd w:val="clear" w:color="auto" w:fill="F2F2F2"/>
            <w:tcMar>
              <w:top w:w="80" w:type="dxa"/>
              <w:left w:w="160" w:type="dxa"/>
              <w:bottom w:w="80" w:type="dxa"/>
              <w:right w:w="160" w:type="dxa"/>
            </w:tcMar>
            <w:vAlign w:val="center"/>
          </w:tcPr>
          <w:p w14:paraId="49D14EDA" w14:textId="77777777" w:rsidR="00097466" w:rsidRDefault="00000000">
            <w:pPr>
              <w:spacing w:before="0" w:after="0" w:line="240" w:lineRule="auto"/>
              <w:jc w:val="center"/>
              <w:rPr>
                <w:sz w:val="20"/>
                <w:szCs w:val="20"/>
              </w:rPr>
            </w:pPr>
            <w:proofErr w:type="spellStart"/>
            <w:r>
              <w:rPr>
                <w:b/>
                <w:bCs/>
                <w:color w:val="000000"/>
                <w:sz w:val="20"/>
                <w:szCs w:val="20"/>
              </w:rPr>
              <w:t>rCCA</w:t>
            </w:r>
            <w:proofErr w:type="spellEnd"/>
          </w:p>
        </w:tc>
        <w:tc>
          <w:tcPr>
            <w:tcW w:w="1420" w:type="dxa"/>
            <w:tcMar>
              <w:top w:w="80" w:type="dxa"/>
              <w:left w:w="160" w:type="dxa"/>
              <w:bottom w:w="80" w:type="dxa"/>
              <w:right w:w="160" w:type="dxa"/>
            </w:tcMar>
            <w:vAlign w:val="center"/>
          </w:tcPr>
          <w:p w14:paraId="7DCACFA4" w14:textId="77777777" w:rsidR="00097466" w:rsidRDefault="00000000">
            <w:pPr>
              <w:spacing w:before="0" w:after="0" w:line="240" w:lineRule="auto"/>
              <w:jc w:val="left"/>
              <w:rPr>
                <w:sz w:val="20"/>
                <w:szCs w:val="20"/>
              </w:rPr>
            </w:pPr>
            <w:r>
              <w:rPr>
                <w:color w:val="000000"/>
                <w:sz w:val="20"/>
                <w:szCs w:val="20"/>
              </w:rPr>
              <w:t>No supervisado (dos bloques)</w:t>
            </w:r>
          </w:p>
        </w:tc>
        <w:tc>
          <w:tcPr>
            <w:tcW w:w="1845" w:type="dxa"/>
            <w:tcMar>
              <w:top w:w="80" w:type="dxa"/>
              <w:left w:w="160" w:type="dxa"/>
              <w:bottom w:w="80" w:type="dxa"/>
              <w:right w:w="160" w:type="dxa"/>
            </w:tcMar>
            <w:vAlign w:val="center"/>
          </w:tcPr>
          <w:p w14:paraId="688CCD99" w14:textId="77777777" w:rsidR="00097466" w:rsidRDefault="00000000">
            <w:pPr>
              <w:spacing w:before="0" w:after="0" w:line="240" w:lineRule="auto"/>
              <w:jc w:val="left"/>
              <w:rPr>
                <w:sz w:val="20"/>
                <w:szCs w:val="20"/>
              </w:rPr>
            </w:pPr>
            <w:r>
              <w:rPr>
                <w:color w:val="000000"/>
                <w:sz w:val="20"/>
                <w:szCs w:val="20"/>
              </w:rPr>
              <w:t>Media (componentes canónicos)</w:t>
            </w:r>
          </w:p>
        </w:tc>
        <w:tc>
          <w:tcPr>
            <w:tcW w:w="1705" w:type="dxa"/>
            <w:tcMar>
              <w:top w:w="80" w:type="dxa"/>
              <w:left w:w="160" w:type="dxa"/>
              <w:bottom w:w="80" w:type="dxa"/>
              <w:right w:w="160" w:type="dxa"/>
            </w:tcMar>
            <w:vAlign w:val="center"/>
          </w:tcPr>
          <w:p w14:paraId="7CB84CB5" w14:textId="77777777" w:rsidR="00097466" w:rsidRDefault="00000000">
            <w:pPr>
              <w:spacing w:before="0" w:after="0" w:line="240" w:lineRule="auto"/>
              <w:jc w:val="left"/>
              <w:rPr>
                <w:sz w:val="20"/>
                <w:szCs w:val="20"/>
              </w:rPr>
            </w:pPr>
            <w:r>
              <w:rPr>
                <w:color w:val="000000"/>
                <w:sz w:val="20"/>
                <w:szCs w:val="20"/>
              </w:rPr>
              <w:t>Requiere imputación previa</w:t>
            </w:r>
          </w:p>
        </w:tc>
        <w:tc>
          <w:tcPr>
            <w:tcW w:w="1973" w:type="dxa"/>
            <w:tcMar>
              <w:top w:w="80" w:type="dxa"/>
              <w:left w:w="160" w:type="dxa"/>
              <w:bottom w:w="80" w:type="dxa"/>
              <w:right w:w="160" w:type="dxa"/>
            </w:tcMar>
            <w:vAlign w:val="center"/>
          </w:tcPr>
          <w:p w14:paraId="4563ABB2" w14:textId="77777777" w:rsidR="00097466" w:rsidRDefault="00000000">
            <w:pPr>
              <w:spacing w:before="0" w:after="0" w:line="240" w:lineRule="auto"/>
              <w:jc w:val="left"/>
              <w:rPr>
                <w:sz w:val="20"/>
                <w:szCs w:val="20"/>
              </w:rPr>
            </w:pPr>
            <w:r>
              <w:rPr>
                <w:color w:val="000000"/>
                <w:sz w:val="20"/>
                <w:szCs w:val="20"/>
              </w:rPr>
              <w:t>Maximizar correlación entre dos capas</w:t>
            </w:r>
          </w:p>
        </w:tc>
      </w:tr>
      <w:tr w:rsidR="00097466" w14:paraId="62CB6FC6" w14:textId="77777777">
        <w:trPr>
          <w:jc w:val="center"/>
        </w:trPr>
        <w:tc>
          <w:tcPr>
            <w:tcW w:w="1552" w:type="dxa"/>
            <w:shd w:val="clear" w:color="auto" w:fill="F2F2F2"/>
            <w:tcMar>
              <w:top w:w="80" w:type="dxa"/>
              <w:left w:w="160" w:type="dxa"/>
              <w:bottom w:w="80" w:type="dxa"/>
              <w:right w:w="160" w:type="dxa"/>
            </w:tcMar>
            <w:vAlign w:val="center"/>
          </w:tcPr>
          <w:p w14:paraId="7E07FEB3" w14:textId="77777777" w:rsidR="00097466" w:rsidRDefault="00000000">
            <w:pPr>
              <w:spacing w:before="0" w:after="0" w:line="240" w:lineRule="auto"/>
              <w:jc w:val="center"/>
              <w:rPr>
                <w:sz w:val="20"/>
                <w:szCs w:val="20"/>
              </w:rPr>
            </w:pPr>
            <w:r>
              <w:rPr>
                <w:b/>
                <w:bCs/>
                <w:color w:val="000000"/>
                <w:sz w:val="20"/>
                <w:szCs w:val="20"/>
              </w:rPr>
              <w:t>SNF</w:t>
            </w:r>
          </w:p>
        </w:tc>
        <w:tc>
          <w:tcPr>
            <w:tcW w:w="1420" w:type="dxa"/>
            <w:tcMar>
              <w:top w:w="80" w:type="dxa"/>
              <w:left w:w="160" w:type="dxa"/>
              <w:bottom w:w="80" w:type="dxa"/>
              <w:right w:w="160" w:type="dxa"/>
            </w:tcMar>
            <w:vAlign w:val="center"/>
          </w:tcPr>
          <w:p w14:paraId="13C3272B" w14:textId="77777777" w:rsidR="00097466" w:rsidRDefault="00000000">
            <w:pPr>
              <w:spacing w:before="0" w:after="0" w:line="240" w:lineRule="auto"/>
              <w:jc w:val="left"/>
              <w:rPr>
                <w:sz w:val="20"/>
                <w:szCs w:val="20"/>
              </w:rPr>
            </w:pPr>
            <w:r>
              <w:rPr>
                <w:color w:val="000000"/>
                <w:sz w:val="20"/>
                <w:szCs w:val="20"/>
              </w:rPr>
              <w:t>No supervisado</w:t>
            </w:r>
          </w:p>
        </w:tc>
        <w:tc>
          <w:tcPr>
            <w:tcW w:w="1845" w:type="dxa"/>
            <w:tcMar>
              <w:top w:w="80" w:type="dxa"/>
              <w:left w:w="160" w:type="dxa"/>
              <w:bottom w:w="80" w:type="dxa"/>
              <w:right w:w="160" w:type="dxa"/>
            </w:tcMar>
            <w:vAlign w:val="center"/>
          </w:tcPr>
          <w:p w14:paraId="40C26620" w14:textId="77777777" w:rsidR="00097466" w:rsidRDefault="00000000">
            <w:pPr>
              <w:spacing w:before="0" w:after="0" w:line="240" w:lineRule="auto"/>
              <w:jc w:val="left"/>
              <w:rPr>
                <w:sz w:val="20"/>
                <w:szCs w:val="20"/>
              </w:rPr>
            </w:pPr>
            <w:r>
              <w:rPr>
                <w:color w:val="000000"/>
                <w:sz w:val="20"/>
                <w:szCs w:val="20"/>
              </w:rPr>
              <w:t>Baja (red fusionada)</w:t>
            </w:r>
          </w:p>
        </w:tc>
        <w:tc>
          <w:tcPr>
            <w:tcW w:w="1705" w:type="dxa"/>
            <w:tcMar>
              <w:top w:w="80" w:type="dxa"/>
              <w:left w:w="160" w:type="dxa"/>
              <w:bottom w:w="80" w:type="dxa"/>
              <w:right w:w="160" w:type="dxa"/>
            </w:tcMar>
            <w:vAlign w:val="center"/>
          </w:tcPr>
          <w:p w14:paraId="7CD4BABB" w14:textId="77777777" w:rsidR="00097466" w:rsidRDefault="00000000">
            <w:pPr>
              <w:spacing w:before="0" w:after="0" w:line="240" w:lineRule="auto"/>
              <w:jc w:val="left"/>
              <w:rPr>
                <w:sz w:val="20"/>
                <w:szCs w:val="20"/>
              </w:rPr>
            </w:pPr>
            <w:r>
              <w:rPr>
                <w:color w:val="000000"/>
                <w:sz w:val="20"/>
                <w:szCs w:val="20"/>
              </w:rPr>
              <w:t>Requiere imputación previa</w:t>
            </w:r>
          </w:p>
        </w:tc>
        <w:tc>
          <w:tcPr>
            <w:tcW w:w="1973" w:type="dxa"/>
            <w:tcMar>
              <w:top w:w="80" w:type="dxa"/>
              <w:left w:w="160" w:type="dxa"/>
              <w:bottom w:w="80" w:type="dxa"/>
              <w:right w:w="160" w:type="dxa"/>
            </w:tcMar>
            <w:vAlign w:val="center"/>
          </w:tcPr>
          <w:p w14:paraId="080C815D" w14:textId="77777777" w:rsidR="00097466" w:rsidRDefault="00000000" w:rsidP="00C0709F">
            <w:pPr>
              <w:keepNext/>
              <w:spacing w:before="0" w:after="0" w:line="240" w:lineRule="auto"/>
              <w:jc w:val="left"/>
              <w:rPr>
                <w:sz w:val="20"/>
                <w:szCs w:val="20"/>
              </w:rPr>
            </w:pPr>
            <w:proofErr w:type="spellStart"/>
            <w:r>
              <w:rPr>
                <w:color w:val="000000"/>
                <w:sz w:val="20"/>
                <w:szCs w:val="20"/>
              </w:rPr>
              <w:t>Clustering</w:t>
            </w:r>
            <w:proofErr w:type="spellEnd"/>
            <w:r>
              <w:rPr>
                <w:color w:val="000000"/>
                <w:sz w:val="20"/>
                <w:szCs w:val="20"/>
              </w:rPr>
              <w:t xml:space="preserve"> integrado de muestras</w:t>
            </w:r>
          </w:p>
        </w:tc>
      </w:tr>
    </w:tbl>
    <w:p w14:paraId="42603EDD" w14:textId="62E7C351" w:rsidR="00C0709F" w:rsidRDefault="00C0709F" w:rsidP="00C67F76">
      <w:pPr>
        <w:pStyle w:val="Descripcin"/>
      </w:pPr>
      <w:bookmarkStart w:id="89" w:name="_Toc230792242"/>
      <w:r>
        <w:t xml:space="preserve">Tabla </w:t>
      </w:r>
      <w:fldSimple w:instr=" SEQ Tabla \* ARABIC ">
        <w:r w:rsidR="00716AEA">
          <w:rPr>
            <w:noProof/>
          </w:rPr>
          <w:t>5</w:t>
        </w:r>
      </w:fldSimple>
      <w:r>
        <w:t xml:space="preserve">. </w:t>
      </w:r>
      <w:r w:rsidRPr="00585716">
        <w:t>Comparación de métodos estadísticos de integración multi-</w:t>
      </w:r>
      <w:proofErr w:type="spellStart"/>
      <w:r w:rsidRPr="00585716">
        <w:t>ómica</w:t>
      </w:r>
      <w:proofErr w:type="spellEnd"/>
      <w:r w:rsidRPr="00585716">
        <w:t>.</w:t>
      </w:r>
      <w:bookmarkEnd w:id="89"/>
    </w:p>
    <w:p w14:paraId="61C7B888" w14:textId="7075AC3F" w:rsidR="00097466" w:rsidRDefault="007D2484">
      <w:bookmarkStart w:id="90" w:name="_heading=h.v10hxlw1l1ce" w:colFirst="0" w:colLast="0"/>
      <w:bookmarkEnd w:id="90"/>
      <w:r w:rsidRPr="007D2484">
        <w:t xml:space="preserve">En conjunto, la elección metodológica se justifica por sus objetivos: MOFA2 se utiliza para caracterizar de manera no supervisada la estructura natural de los datos e identificar ejes de </w:t>
      </w:r>
      <w:r w:rsidRPr="007D2484">
        <w:lastRenderedPageBreak/>
        <w:t>variación compartida y específica entre capas, y DIABLO se adopta como enfoque supervisado principal porque permite, además de explorar la estructura subyacente, seleccionar firmas multi</w:t>
      </w:r>
      <w:r w:rsidRPr="007D2484">
        <w:rPr>
          <w:rFonts w:ascii="Cambria Math" w:hAnsi="Cambria Math" w:cs="Cambria Math"/>
        </w:rPr>
        <w:t>‑</w:t>
      </w:r>
      <w:proofErr w:type="spellStart"/>
      <w:r w:rsidRPr="007D2484">
        <w:t>ómicas</w:t>
      </w:r>
      <w:proofErr w:type="spellEnd"/>
      <w:r w:rsidRPr="007D2484">
        <w:t xml:space="preserve"> predictivas de fenotipos clínicos de interés, proporcionando una estrategia robusta para la integración de datos transcriptómicos y proteómicos en el contexto del LES.</w:t>
      </w:r>
    </w:p>
    <w:p w14:paraId="45FF284D" w14:textId="77777777" w:rsidR="00097466" w:rsidRDefault="00000000">
      <w:pPr>
        <w:pStyle w:val="Ttulo2"/>
        <w:numPr>
          <w:ilvl w:val="1"/>
          <w:numId w:val="17"/>
        </w:numPr>
      </w:pPr>
      <w:bookmarkStart w:id="91" w:name="_Toc229237677"/>
      <w:bookmarkStart w:id="92" w:name="_Toc230792316"/>
      <w:r>
        <w:t>Objetivos y justificación del presente trabajo</w:t>
      </w:r>
      <w:bookmarkEnd w:id="91"/>
      <w:bookmarkEnd w:id="92"/>
    </w:p>
    <w:p w14:paraId="68B9E537" w14:textId="77777777" w:rsidR="00097466" w:rsidRDefault="00000000">
      <w:pPr>
        <w:pStyle w:val="Ttulo3"/>
        <w:numPr>
          <w:ilvl w:val="2"/>
          <w:numId w:val="17"/>
        </w:numPr>
      </w:pPr>
      <w:r>
        <w:t>Objetivos y justificación del presente trabajo</w:t>
      </w:r>
    </w:p>
    <w:p w14:paraId="3E9B679E" w14:textId="77777777" w:rsidR="00097466" w:rsidRDefault="00000000">
      <w:r>
        <w:t xml:space="preserve">El objetivo general del presente trabajo consiste en caracterizar la firma de interferón tipo I en una cohorte de pacientes con lupus eritematoso sistémico (LES), mediante el análisis de la expresión transcriptómica de genes estimulados por interferón (ISGs) cuantificados con la plataforma </w:t>
      </w:r>
      <w:proofErr w:type="spellStart"/>
      <w:r>
        <w:t>NanoString</w:t>
      </w:r>
      <w:proofErr w:type="spellEnd"/>
      <w:r>
        <w:t xml:space="preserve"> </w:t>
      </w:r>
      <w:proofErr w:type="spellStart"/>
      <w:r>
        <w:t>nCounter</w:t>
      </w:r>
      <w:proofErr w:type="spellEnd"/>
      <w:r>
        <w:t>, y evaluar su asociación con la actividad clínica de la enfermedad a través de un enfoque de integración multi-</w:t>
      </w:r>
      <w:proofErr w:type="spellStart"/>
      <w:r>
        <w:t>ómica</w:t>
      </w:r>
      <w:proofErr w:type="spellEnd"/>
      <w:r>
        <w:t xml:space="preserve"> que incorpore datos proteómicos séricos.</w:t>
      </w:r>
    </w:p>
    <w:p w14:paraId="6AE2DCCE" w14:textId="77777777" w:rsidR="00097466" w:rsidRDefault="00000000">
      <w:pPr>
        <w:pStyle w:val="Ttulo3"/>
        <w:numPr>
          <w:ilvl w:val="2"/>
          <w:numId w:val="17"/>
        </w:numPr>
      </w:pPr>
      <w:r>
        <w:t>Objetivos específicos</w:t>
      </w:r>
    </w:p>
    <w:p w14:paraId="1C3DC4D2" w14:textId="77777777" w:rsidR="00097466" w:rsidRDefault="00000000">
      <w:r>
        <w:t>Los objetivos específicos que articulan el desarrollo del presente trabajo son los siguientes:</w:t>
      </w:r>
    </w:p>
    <w:p w14:paraId="08B47B0B" w14:textId="77777777" w:rsidR="00097466" w:rsidRDefault="00000000">
      <w:r>
        <w:t>OE1. Preprocesamiento y control de calidad de los datos transcriptómicos</w:t>
      </w:r>
    </w:p>
    <w:p w14:paraId="0EE104CE" w14:textId="77777777" w:rsidR="00097466" w:rsidRDefault="00000000">
      <w:r>
        <w:t xml:space="preserve">Aplicar el pipeline de normalización estandarizado de </w:t>
      </w:r>
      <w:proofErr w:type="spellStart"/>
      <w:r>
        <w:t>NanoString</w:t>
      </w:r>
      <w:proofErr w:type="spellEnd"/>
      <w:r>
        <w:t xml:space="preserve"> </w:t>
      </w:r>
      <w:proofErr w:type="spellStart"/>
      <w:r>
        <w:t>nCounter</w:t>
      </w:r>
      <w:proofErr w:type="spellEnd"/>
      <w:r>
        <w:t xml:space="preserve"> —incluyendo la evaluación de controles internos (positivos, negativos y </w:t>
      </w:r>
      <w:proofErr w:type="spellStart"/>
      <w:r>
        <w:t>housekeeping</w:t>
      </w:r>
      <w:proofErr w:type="spellEnd"/>
      <w:r>
        <w:t>), la corrección del ruido de fondo (</w:t>
      </w:r>
      <w:proofErr w:type="spellStart"/>
      <w:r>
        <w:t>background</w:t>
      </w:r>
      <w:proofErr w:type="spellEnd"/>
      <w:r>
        <w:t xml:space="preserve"> </w:t>
      </w:r>
      <w:proofErr w:type="spellStart"/>
      <w:r>
        <w:t>thresholding</w:t>
      </w:r>
      <w:proofErr w:type="spellEnd"/>
      <w:r>
        <w:t>) y la normalización en dos etapas (técnica y biológica)— para obtener datos de expresión génica de alta calidad y comparabilidad entre muestras.</w:t>
      </w:r>
    </w:p>
    <w:p w14:paraId="698201F7" w14:textId="77777777" w:rsidR="00097466" w:rsidRDefault="00000000">
      <w:r>
        <w:t>OE2. Cálculo del IFN-score y clasificación de subgrupos</w:t>
      </w:r>
    </w:p>
    <w:p w14:paraId="3B92443C" w14:textId="77777777" w:rsidR="00097466" w:rsidRDefault="00000000">
      <w:r>
        <w:t>Calcular el índice IFN-score a partir de los 72 ISGs cuantificados, y clasificar a los pacientes en subgrupos IFN-alto (IFN-</w:t>
      </w:r>
      <w:proofErr w:type="spellStart"/>
      <w:r>
        <w:t>high</w:t>
      </w:r>
      <w:proofErr w:type="spellEnd"/>
      <w:r>
        <w:t>) e IFN-bajo (IFN-low), validando los criterios de punto de corte mediante análisis de sensibilidad y comparación con el score de 4 genes clásico.</w:t>
      </w:r>
    </w:p>
    <w:p w14:paraId="75509406" w14:textId="77777777" w:rsidR="00097466" w:rsidRDefault="00000000">
      <w:r>
        <w:t>OE3. Caracterización transcriptómica de los subgrupos</w:t>
      </w:r>
    </w:p>
    <w:p w14:paraId="2F4BAF67" w14:textId="7DAAFDB7" w:rsidR="00097466" w:rsidRDefault="00000000">
      <w:r>
        <w:t>Identificar los ISGs con expresión diferencial entre subgrupos IFN-</w:t>
      </w:r>
      <w:proofErr w:type="spellStart"/>
      <w:r>
        <w:t>high</w:t>
      </w:r>
      <w:proofErr w:type="spellEnd"/>
      <w:r>
        <w:t xml:space="preserve"> e IFN-low mediante pruebas estadísticas no paramétricas (Wilcoxon-Mann-Whitney) con corrección para comparaciones múltiples (FDR, </w:t>
      </w:r>
      <w:proofErr w:type="spellStart"/>
      <w:r>
        <w:t>Benjamini-Hochberg</w:t>
      </w:r>
      <w:proofErr w:type="spellEnd"/>
      <w:r>
        <w:t>).</w:t>
      </w:r>
    </w:p>
    <w:p w14:paraId="0594DAC3" w14:textId="77777777" w:rsidR="00097466" w:rsidRDefault="00000000">
      <w:r>
        <w:t>OE4. Análisis de asociación clínica</w:t>
      </w:r>
    </w:p>
    <w:p w14:paraId="3A99243C" w14:textId="77777777" w:rsidR="00097466" w:rsidRDefault="00000000">
      <w:r>
        <w:t>Evaluar las diferencias en variables de actividad clínica (SLEDAI-2K, SLE-DAS), remisión (LLDAS, DORIS) y parámetros séricos entre subgrupos IFN-</w:t>
      </w:r>
      <w:proofErr w:type="spellStart"/>
      <w:r>
        <w:t>high</w:t>
      </w:r>
      <w:proofErr w:type="spellEnd"/>
      <w:r>
        <w:t xml:space="preserve">/IFN-low, estimar correlaciones con el IFN-score mediante el coeficiente de Spearman, y construir modelos de regresión logística </w:t>
      </w:r>
      <w:proofErr w:type="spellStart"/>
      <w:r>
        <w:t>uni</w:t>
      </w:r>
      <w:proofErr w:type="spellEnd"/>
      <w:r>
        <w:t>- y multivariable con evaluación del rendimiento diagnóstico mediante curvas ROC.</w:t>
      </w:r>
    </w:p>
    <w:p w14:paraId="200FF0E2" w14:textId="77777777" w:rsidR="00663F4A" w:rsidRDefault="00663F4A" w:rsidP="00663F4A">
      <w:r>
        <w:lastRenderedPageBreak/>
        <w:t>OE5. Integración multi-</w:t>
      </w:r>
      <w:proofErr w:type="spellStart"/>
      <w:r>
        <w:t>ómica</w:t>
      </w:r>
      <w:proofErr w:type="spellEnd"/>
      <w:r>
        <w:t xml:space="preserve"> no supervisada mediante MOFA2</w:t>
      </w:r>
    </w:p>
    <w:p w14:paraId="1E98D4D6" w14:textId="77777777" w:rsidR="00663F4A" w:rsidRDefault="00663F4A">
      <w:r>
        <w:t>Aplicar el método de integración multi-</w:t>
      </w:r>
      <w:proofErr w:type="spellStart"/>
      <w:r>
        <w:t>ómica</w:t>
      </w:r>
      <w:proofErr w:type="spellEnd"/>
      <w:r>
        <w:t xml:space="preserve"> no supervisada MOFA2 sobre las capas transcriptómica (expresión de 72 ISGs) y proteómica sérica (panel de 18 variables con datos completos), con el fin de: (i) identificar factores latentes de variación compartida y específica de cada capa sin imponer ninguna variable respuesta; (</w:t>
      </w:r>
      <w:proofErr w:type="spellStart"/>
      <w:r>
        <w:t>ii</w:t>
      </w:r>
      <w:proofErr w:type="spellEnd"/>
      <w:r>
        <w:t>) caracterizar la estructura de varianza del espacio multi-</w:t>
      </w:r>
      <w:proofErr w:type="spellStart"/>
      <w:r>
        <w:t>ómico</w:t>
      </w:r>
      <w:proofErr w:type="spellEnd"/>
      <w:r>
        <w:t xml:space="preserve"> integrado antes de cualquier análisis supervisado; y (</w:t>
      </w:r>
      <w:proofErr w:type="spellStart"/>
      <w:r>
        <w:t>iii</w:t>
      </w:r>
      <w:proofErr w:type="spellEnd"/>
      <w:r>
        <w:t>) validar la coherencia biológica de los factores obtenidos mediante su asociación con covariables clínicas externas (SLEDAI-2K, SLE-DAS, DORIS,…) utilizadas exclusivamente como anotaciones post hoc.</w:t>
      </w:r>
    </w:p>
    <w:p w14:paraId="6829DB33" w14:textId="77777777" w:rsidR="00097466" w:rsidRDefault="00000000">
      <w:r>
        <w:t>OE</w:t>
      </w:r>
      <w:r w:rsidR="00663F4A">
        <w:t>6</w:t>
      </w:r>
      <w:r>
        <w:t>. Integración multi-</w:t>
      </w:r>
      <w:proofErr w:type="spellStart"/>
      <w:r>
        <w:t>ómica</w:t>
      </w:r>
      <w:proofErr w:type="spellEnd"/>
      <w:r w:rsidR="00827880" w:rsidRPr="00827880">
        <w:t xml:space="preserve"> </w:t>
      </w:r>
      <w:r w:rsidR="00827880">
        <w:t>supervisada mediante DIABLO</w:t>
      </w:r>
    </w:p>
    <w:p w14:paraId="28CB1BFB" w14:textId="77777777" w:rsidR="00663F4A" w:rsidRDefault="00000000">
      <w:r>
        <w:t>Aplicar el método de integración multi-</w:t>
      </w:r>
      <w:proofErr w:type="spellStart"/>
      <w:r>
        <w:t>ómica</w:t>
      </w:r>
      <w:proofErr w:type="spellEnd"/>
      <w:r>
        <w:t xml:space="preserve"> supervisada (DIABLO) sobre las capas transcriptómica (expresión de ISGs) y proteómica sérica, con el fin de identificar factores latentes compartidos entre ambas plataformas y explorar su asociación con la actividad clínica del LES.</w:t>
      </w:r>
    </w:p>
    <w:p w14:paraId="12FD279B" w14:textId="77777777" w:rsidR="00097466" w:rsidRDefault="00000000">
      <w:r>
        <w:t>OE</w:t>
      </w:r>
      <w:r w:rsidR="00663F4A">
        <w:t>7</w:t>
      </w:r>
      <w:r>
        <w:t>. Construcción de un modelo predictivo</w:t>
      </w:r>
    </w:p>
    <w:p w14:paraId="14E51A5C" w14:textId="647B9782" w:rsidR="00097466" w:rsidRDefault="00000000">
      <w:r>
        <w:t>Desarrollar y validar un modelo predictivo de variables clínicas de interés basado en regresión logística penalizada LASSO, integrando variables transcriptómicas y proteómicas seleccionadas, con validación cruzada interna para la estimación del rendimiento generalizable.</w:t>
      </w:r>
    </w:p>
    <w:p w14:paraId="343105FA" w14:textId="77777777" w:rsidR="00097466" w:rsidRDefault="00000000">
      <w:pPr>
        <w:pStyle w:val="Ttulo3"/>
        <w:numPr>
          <w:ilvl w:val="2"/>
          <w:numId w:val="17"/>
        </w:numPr>
      </w:pPr>
      <w:r>
        <w:t>Hipótesis de trabajo</w:t>
      </w:r>
    </w:p>
    <w:p w14:paraId="57BF1765" w14:textId="77777777" w:rsidR="00097466" w:rsidRDefault="00000000">
      <w:r>
        <w:t>El presente trabajo se sustenta en las siguientes hipótesis:</w:t>
      </w:r>
    </w:p>
    <w:p w14:paraId="58F153C8" w14:textId="389ED820" w:rsidR="00097466" w:rsidRDefault="00000000">
      <w:r>
        <w:t>H1. La firma de interferón tipo I (IFN-I) define subgrupos de pacientes con LES biológicamente distintos que se asocian de forma significativa con la actividad clínica medida por índices validados (SLEDAI-2K, SLE-DAS) y con la probabilidad de alcanzar estados de remisión profunda (LLDAS, DORIS). Se espera que la firma de IFN-I se correlacione positivamente con biomarcadores séricos del lupus activo —incluyendo los niveles de IFN-α sérico y consumo de complemento (C3/C4)— y que esta correlación refuerce su valor como clasificador de subgrupos con distinto pronóstico funcional.</w:t>
      </w:r>
    </w:p>
    <w:p w14:paraId="3D28148B" w14:textId="77777777" w:rsidR="00097466" w:rsidRDefault="00000000">
      <w:r>
        <w:t>H2. La integración de los datos transcriptómicos de ISGs con el panel proteómico sérico mediante métodos multi-</w:t>
      </w:r>
      <w:proofErr w:type="spellStart"/>
      <w:r>
        <w:t>ómicos</w:t>
      </w:r>
      <w:proofErr w:type="spellEnd"/>
      <w:r>
        <w:t xml:space="preserve"> (DIABLO) permite identificar factores latentes compartidos entre ambas capas moleculares que no son detectables mediante el análisis independiente de cada una de ellas.</w:t>
      </w:r>
    </w:p>
    <w:p w14:paraId="45A9001F" w14:textId="77777777" w:rsidR="00097466" w:rsidRDefault="00000000">
      <w:r>
        <w:t xml:space="preserve">H3. Los modelos predictivos que incorporan información transcriptómica y proteómica conjuntamente presentan mayor rendimiento diagnóstico —medido por el área bajo la curva ROC (AUC)— para la predicción de índices de actividad y remisión que los modelos basados en una única capa </w:t>
      </w:r>
      <w:proofErr w:type="spellStart"/>
      <w:r>
        <w:t>ómica</w:t>
      </w:r>
      <w:proofErr w:type="spellEnd"/>
      <w:r>
        <w:t>.</w:t>
      </w:r>
    </w:p>
    <w:p w14:paraId="200C68F0" w14:textId="560F7396" w:rsidR="00B26A35" w:rsidRDefault="00000000" w:rsidP="00B26A35">
      <w:pPr>
        <w:pStyle w:val="Ttulo3"/>
        <w:numPr>
          <w:ilvl w:val="2"/>
          <w:numId w:val="17"/>
        </w:numPr>
      </w:pPr>
      <w:r>
        <w:lastRenderedPageBreak/>
        <w:t>Alcance y limitaciones del estudio</w:t>
      </w:r>
    </w:p>
    <w:p w14:paraId="23A086E0" w14:textId="29D22526" w:rsidR="00B26A35" w:rsidRDefault="00B26A35" w:rsidP="00B26A35">
      <w:r>
        <w:t>El presente estudio presenta varias limitaciones que deben considerarse en la interpretación de sus resultados:</w:t>
      </w:r>
    </w:p>
    <w:p w14:paraId="4F052D57" w14:textId="77777777" w:rsidR="00B26A35" w:rsidRDefault="00B26A35" w:rsidP="00B26A35">
      <w:pPr>
        <w:pStyle w:val="Prrafodelista"/>
        <w:numPr>
          <w:ilvl w:val="0"/>
          <w:numId w:val="47"/>
        </w:numPr>
      </w:pPr>
      <w:r>
        <w:t>Diseño transversal</w:t>
      </w:r>
    </w:p>
    <w:p w14:paraId="3B781379" w14:textId="734FA21E" w:rsidR="00B26A35" w:rsidRDefault="00B26A35" w:rsidP="00B26A35">
      <w:r>
        <w:t>El diseño observacional transversal impide establecer relaciones causales y no permite evaluar la variabilidad longitudinal de la firma IFN</w:t>
      </w:r>
      <w:r>
        <w:rPr>
          <w:rFonts w:ascii="Cambria Math" w:hAnsi="Cambria Math" w:cs="Cambria Math"/>
        </w:rPr>
        <w:t>‑</w:t>
      </w:r>
      <w:r>
        <w:t>I, por lo que las asociaciones observadas (por ejemplo, IFN</w:t>
      </w:r>
      <w:r>
        <w:rPr>
          <w:rFonts w:ascii="Cambria Math" w:hAnsi="Cambria Math" w:cs="Cambria Math"/>
        </w:rPr>
        <w:t>‑</w:t>
      </w:r>
      <w:proofErr w:type="spellStart"/>
      <w:r>
        <w:t>high</w:t>
      </w:r>
      <w:proofErr w:type="spellEnd"/>
      <w:r>
        <w:t xml:space="preserve"> y daño SLICC) deben interpretarse como correlaciones y no como efectos causales.</w:t>
      </w:r>
    </w:p>
    <w:p w14:paraId="088FEEB7" w14:textId="77777777" w:rsidR="00B26A35" w:rsidRDefault="00B26A35" w:rsidP="00B26A35">
      <w:pPr>
        <w:pStyle w:val="Prrafodelista"/>
        <w:numPr>
          <w:ilvl w:val="0"/>
          <w:numId w:val="46"/>
        </w:numPr>
      </w:pPr>
      <w:r>
        <w:t>Efecto del tratamiento</w:t>
      </w:r>
    </w:p>
    <w:p w14:paraId="792DFFA8" w14:textId="6FF099B4" w:rsidR="00B26A35" w:rsidRDefault="00B26A35" w:rsidP="00B26A35">
      <w:r>
        <w:t>La expresión de ISGs se ha medido en pacientes ya tratados con antipalúdicos, glucocorticoides e inmunosupresores, fármacos que reducen la firma de interferón, de modo que el IFN</w:t>
      </w:r>
      <w:r>
        <w:rPr>
          <w:rFonts w:ascii="Cambria Math" w:hAnsi="Cambria Math" w:cs="Cambria Math"/>
        </w:rPr>
        <w:t>‑</w:t>
      </w:r>
      <w:r>
        <w:t>score podría estar infraestimado en los subgrupos con mayor carga terapéutica y atenuar las asociaciones reales.</w:t>
      </w:r>
    </w:p>
    <w:p w14:paraId="74B5D9D2" w14:textId="77777777" w:rsidR="00B26A35" w:rsidRDefault="00B26A35" w:rsidP="00B26A35">
      <w:pPr>
        <w:pStyle w:val="Prrafodelista"/>
        <w:numPr>
          <w:ilvl w:val="0"/>
          <w:numId w:val="45"/>
        </w:numPr>
      </w:pPr>
      <w:r>
        <w:t>Representatividad étnica limitada</w:t>
      </w:r>
    </w:p>
    <w:p w14:paraId="5F4D29EF" w14:textId="287DDB52" w:rsidR="00B26A35" w:rsidRDefault="00B26A35" w:rsidP="00B26A35">
      <w:r>
        <w:t>La cohorte, mayoritariamente española y caucásica, no captura toda la heterogeneidad ancestral del LES, por lo que puntos de corte y magnitudes de asociación de la vía IFN</w:t>
      </w:r>
      <w:r>
        <w:rPr>
          <w:rFonts w:ascii="Cambria Math" w:hAnsi="Cambria Math" w:cs="Cambria Math"/>
        </w:rPr>
        <w:t>‑</w:t>
      </w:r>
      <w:r>
        <w:t>I podrían no reproducirse en poblaciones con diferente origen étnico.</w:t>
      </w:r>
    </w:p>
    <w:p w14:paraId="2E4E9090" w14:textId="77777777" w:rsidR="00B26A35" w:rsidRDefault="00B26A35" w:rsidP="00B26A35">
      <w:pPr>
        <w:pStyle w:val="Prrafodelista"/>
        <w:numPr>
          <w:ilvl w:val="0"/>
          <w:numId w:val="44"/>
        </w:numPr>
      </w:pPr>
      <w:r>
        <w:t>Riesgo de sobreajuste en LASSO</w:t>
      </w:r>
    </w:p>
    <w:p w14:paraId="5EB6D209" w14:textId="031F53EB" w:rsidR="00B26A35" w:rsidRDefault="00B26A35" w:rsidP="00B26A35">
      <w:r>
        <w:t xml:space="preserve">El escenario p </w:t>
      </w:r>
      <w:r>
        <w:rPr>
          <w:rFonts w:ascii="Cambria Math" w:hAnsi="Cambria Math" w:cs="Cambria Math"/>
        </w:rPr>
        <w:t>≫</w:t>
      </w:r>
      <w:r>
        <w:t xml:space="preserve"> n (≈90 predictores para ~250 muestras) implica un riesgo de sobreajuste, de manera que las AUC obtenidas, incluso en validación cruzada interna, deben considerarse optimistas hasta disponer de validación externa.</w:t>
      </w:r>
    </w:p>
    <w:p w14:paraId="26A49C5B" w14:textId="250C560B" w:rsidR="00B26A35" w:rsidRDefault="00B26A35" w:rsidP="00B26A35">
      <w:pPr>
        <w:pStyle w:val="Prrafodelista"/>
        <w:numPr>
          <w:ilvl w:val="0"/>
          <w:numId w:val="43"/>
        </w:numPr>
      </w:pPr>
      <w:r>
        <w:t>Datos faltantes</w:t>
      </w:r>
    </w:p>
    <w:p w14:paraId="21EEF044" w14:textId="6D094B01" w:rsidR="00B26A35" w:rsidRDefault="00B26A35" w:rsidP="00B26A35">
      <w:r>
        <w:t>La elevada proporción de datos faltantes en algunas proteínas séricas limitan la robustez de las comparaciones y de los modelos.</w:t>
      </w:r>
    </w:p>
    <w:p w14:paraId="668431B3" w14:textId="77777777" w:rsidR="00B26A35" w:rsidRDefault="00B26A35" w:rsidP="00B26A35">
      <w:pPr>
        <w:pStyle w:val="Prrafodelista"/>
        <w:numPr>
          <w:ilvl w:val="0"/>
          <w:numId w:val="43"/>
        </w:numPr>
      </w:pPr>
      <w:r>
        <w:t>Cobertura transcriptómica parcial</w:t>
      </w:r>
    </w:p>
    <w:p w14:paraId="3773F91D" w14:textId="7873876D" w:rsidR="00097466" w:rsidRDefault="00B26A35" w:rsidP="00B26A35">
      <w:r>
        <w:t xml:space="preserve">El panel </w:t>
      </w:r>
      <w:proofErr w:type="spellStart"/>
      <w:r>
        <w:t>NanoString</w:t>
      </w:r>
      <w:proofErr w:type="spellEnd"/>
      <w:r>
        <w:t xml:space="preserve"> de 72 ISGs representa la firma IFN canónica pero no el transcriptoma completo, por lo que no permite identificar otros módulos transcripcionales potencialmente relevantes que podrían captarse mediante RNA</w:t>
      </w:r>
      <w:r>
        <w:rPr>
          <w:rFonts w:ascii="Cambria Math" w:hAnsi="Cambria Math" w:cs="Cambria Math"/>
        </w:rPr>
        <w:t>‑</w:t>
      </w:r>
      <w:proofErr w:type="spellStart"/>
      <w:r>
        <w:t>seq</w:t>
      </w:r>
      <w:proofErr w:type="spellEnd"/>
      <w:r>
        <w:t xml:space="preserve"> de transcriptoma total en trabajos posteriores.</w:t>
      </w:r>
    </w:p>
    <w:p w14:paraId="2344E6D7" w14:textId="77777777" w:rsidR="00B26A35" w:rsidRDefault="00B26A35"/>
    <w:p w14:paraId="772891A4" w14:textId="77777777" w:rsidR="00097466" w:rsidRDefault="00000000">
      <w:pPr>
        <w:pStyle w:val="Ttulo1"/>
        <w:numPr>
          <w:ilvl w:val="0"/>
          <w:numId w:val="17"/>
        </w:numPr>
      </w:pPr>
      <w:r>
        <w:br w:type="page"/>
      </w:r>
      <w:bookmarkStart w:id="93" w:name="_Toc229237678"/>
      <w:bookmarkStart w:id="94" w:name="_Toc230792317"/>
      <w:r>
        <w:lastRenderedPageBreak/>
        <w:t>Materiales y métodos</w:t>
      </w:r>
      <w:bookmarkEnd w:id="93"/>
      <w:bookmarkEnd w:id="94"/>
    </w:p>
    <w:p w14:paraId="6A68450D" w14:textId="77777777" w:rsidR="00097466" w:rsidRDefault="00000000">
      <w:pPr>
        <w:pStyle w:val="Ttulo2"/>
        <w:numPr>
          <w:ilvl w:val="1"/>
          <w:numId w:val="17"/>
        </w:numPr>
      </w:pPr>
      <w:bookmarkStart w:id="95" w:name="_Toc229237679"/>
      <w:bookmarkStart w:id="96" w:name="_Toc230792318"/>
      <w:r>
        <w:t>Diseño del estudio y población</w:t>
      </w:r>
      <w:bookmarkEnd w:id="95"/>
      <w:bookmarkEnd w:id="96"/>
    </w:p>
    <w:p w14:paraId="3D2DE2F5" w14:textId="43B941F5" w:rsidR="00097466" w:rsidRDefault="00000000">
      <w:r>
        <w:t xml:space="preserve">Se llevó a cabo un estudio observacional de corte transversal en una cohorte propia de pacientes con diagnóstico confirmado de lupus eritematoso sistémico (LES), reclutados en consulta especializada de Reumatología. </w:t>
      </w:r>
    </w:p>
    <w:p w14:paraId="5DA89B10" w14:textId="77777777" w:rsidR="00097466" w:rsidRDefault="00000000">
      <w:r>
        <w:t>La cohorte analítica principal estuvo compuesta por 252 pacientes con diagnóstico confirmado de LES. Adicionalmente, se incluyeron 24 controles sanos, seleccionados para ser comparables en distribución de edad y sexo con el grupo de pacientes, cuya expresión génica de los ISGs fue empleada exclusivamente como referencia basal para el cálculo del IFN-score (véase apartado 3.4.5). Los controles sanos no fueron incluidos en los análisis de actividad clínica, biomarcadores séricos ni en la integración multi-</w:t>
      </w:r>
      <w:proofErr w:type="spellStart"/>
      <w:r>
        <w:t>ómica</w:t>
      </w:r>
      <w:proofErr w:type="spellEnd"/>
      <w:r>
        <w:t>, dado que estas variables son inherentes a la condición patológica estudiada.</w:t>
      </w:r>
    </w:p>
    <w:p w14:paraId="28519E03" w14:textId="77777777" w:rsidR="00097466" w:rsidRDefault="00000000">
      <w:r>
        <w:t xml:space="preserve">Todos los análisis de laboratorio —incluyendo la cuantificación de citoquinas séricas mediante </w:t>
      </w:r>
      <w:proofErr w:type="spellStart"/>
      <w:r>
        <w:t>Simoa</w:t>
      </w:r>
      <w:proofErr w:type="spellEnd"/>
      <w:r>
        <w:t xml:space="preserve"> y el procesamiento de las muestras de expresión génica mediante </w:t>
      </w:r>
      <w:proofErr w:type="spellStart"/>
      <w:r>
        <w:t>NanoString</w:t>
      </w:r>
      <w:proofErr w:type="spellEnd"/>
      <w:r>
        <w:t xml:space="preserve"> </w:t>
      </w:r>
      <w:proofErr w:type="spellStart"/>
      <w:r>
        <w:t>nCounter</w:t>
      </w:r>
      <w:proofErr w:type="spellEnd"/>
      <w:r>
        <w:t xml:space="preserve">— se realizaron de forma centralizada, con el objetivo de garantizar la consistencia analítica y minimizar la variabilidad </w:t>
      </w:r>
      <w:proofErr w:type="spellStart"/>
      <w:r>
        <w:t>interlaboratorio</w:t>
      </w:r>
      <w:proofErr w:type="spellEnd"/>
      <w:r>
        <w:t>.</w:t>
      </w:r>
    </w:p>
    <w:p w14:paraId="5E27B3D4" w14:textId="77777777" w:rsidR="00097466" w:rsidRDefault="00000000">
      <w:pPr>
        <w:pStyle w:val="Ttulo3"/>
        <w:numPr>
          <w:ilvl w:val="2"/>
          <w:numId w:val="17"/>
        </w:numPr>
      </w:pPr>
      <w:r>
        <w:t>Criterios de inclusión y exclusión</w:t>
      </w:r>
    </w:p>
    <w:p w14:paraId="45A3E44D" w14:textId="35D8E685" w:rsidR="007D7F29" w:rsidRPr="007D7F29" w:rsidRDefault="007D7F29" w:rsidP="007D7F29">
      <w:r w:rsidRPr="007D7F29">
        <w:t xml:space="preserve">Se aplicaron criterios de inclusión estandarizados: edad ≥18 años, diagnóstico de LES cumpliendo ≥4 criterios de clasificación del American College of </w:t>
      </w:r>
      <w:proofErr w:type="spellStart"/>
      <w:r w:rsidRPr="007D7F29">
        <w:t>Rheumatology</w:t>
      </w:r>
      <w:proofErr w:type="spellEnd"/>
      <w:r w:rsidRPr="007D7F29">
        <w:t xml:space="preserve"> y seguimiento regular en consultas externas; se permitió el uso de prednisona ≤10 mg/día. Los criterios de exclusión fueron tratamiento activo con </w:t>
      </w:r>
      <w:proofErr w:type="spellStart"/>
      <w:r w:rsidRPr="007D7F29">
        <w:t>anifrolumab</w:t>
      </w:r>
      <w:proofErr w:type="spellEnd"/>
      <w:r w:rsidRPr="007D7F29">
        <w:t xml:space="preserve"> u otras terapias biológicas dirigidas a la vía del interferón, imposibilidad o negativa a firmar el consentimiento informado, muestras séricas inadecuadas para la cuantificación de interferones y presencia de enfermedades autoinmunes sistémicas solapadas potencialmente </w:t>
      </w:r>
      <w:proofErr w:type="spellStart"/>
      <w:r w:rsidRPr="007D7F29">
        <w:t>confusoras</w:t>
      </w:r>
      <w:proofErr w:type="spellEnd"/>
      <w:r w:rsidRPr="007D7F29">
        <w:t>.</w:t>
      </w:r>
    </w:p>
    <w:p w14:paraId="7A7B6CAE" w14:textId="77777777" w:rsidR="00097466" w:rsidRDefault="00000000">
      <w:pPr>
        <w:pStyle w:val="Ttulo3"/>
        <w:numPr>
          <w:ilvl w:val="2"/>
          <w:numId w:val="17"/>
        </w:numPr>
      </w:pPr>
      <w:r>
        <w:t>Proceso de selección y tamaño muestral</w:t>
      </w:r>
    </w:p>
    <w:p w14:paraId="6C053D6E" w14:textId="47F1490B" w:rsidR="00097466" w:rsidRDefault="00000000">
      <w:r>
        <w:t xml:space="preserve">Un total de 400 pacientes con diagnóstico clínico de LES fueron preseleccionados inicialmente. Tras la aplicación secuencial de los criterios de exclusión —no cumplimiento de ≥4 criterios ACR (n=45; 11,3%), documentación de consentimiento incompleta (n=20; 5,0%), tratamiento activo con </w:t>
      </w:r>
      <w:proofErr w:type="spellStart"/>
      <w:r>
        <w:t>anifrolumab</w:t>
      </w:r>
      <w:proofErr w:type="spellEnd"/>
      <w:r>
        <w:t xml:space="preserve"> (n=12; 3,0%) y muestras séricas inadecuadas (n=10; 2,5%)— se obtuvo una muestra elegible de 313 pacientes. De estos, 252 disponían de datos completos de expresión génica mediante </w:t>
      </w:r>
      <w:proofErr w:type="spellStart"/>
      <w:r>
        <w:t>NanoString</w:t>
      </w:r>
      <w:proofErr w:type="spellEnd"/>
      <w:r>
        <w:t xml:space="preserve"> </w:t>
      </w:r>
      <w:proofErr w:type="spellStart"/>
      <w:r>
        <w:t>nCounter</w:t>
      </w:r>
      <w:proofErr w:type="spellEnd"/>
      <w:r>
        <w:t xml:space="preserve"> con superación de los criterios de control de calidad (véase sección 3.4.3) y constituyeron la muestra analítica final del presente trabajo.</w:t>
      </w:r>
    </w:p>
    <w:p w14:paraId="74A1FF6F" w14:textId="77777777" w:rsidR="00C0709F" w:rsidRDefault="00000000" w:rsidP="00C0709F">
      <w:pPr>
        <w:keepNext/>
        <w:jc w:val="center"/>
      </w:pPr>
      <w:r>
        <w:rPr>
          <w:noProof/>
        </w:rPr>
        <w:lastRenderedPageBreak/>
        <w:drawing>
          <wp:inline distT="0" distB="0" distL="0" distR="0" wp14:anchorId="5B90E3B0" wp14:editId="4B992348">
            <wp:extent cx="4610911" cy="4036979"/>
            <wp:effectExtent l="0" t="0" r="0" b="1905"/>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5"/>
                    <a:srcRect l="6981" t="8251" r="8809" b="9245"/>
                    <a:stretch>
                      <a:fillRect/>
                    </a:stretch>
                  </pic:blipFill>
                  <pic:spPr>
                    <a:xfrm>
                      <a:off x="0" y="0"/>
                      <a:ext cx="4621781" cy="4046496"/>
                    </a:xfrm>
                    <a:prstGeom prst="rect">
                      <a:avLst/>
                    </a:prstGeom>
                    <a:ln/>
                  </pic:spPr>
                </pic:pic>
              </a:graphicData>
            </a:graphic>
          </wp:inline>
        </w:drawing>
      </w:r>
    </w:p>
    <w:p w14:paraId="40A69BC6" w14:textId="790755D6" w:rsidR="00097466" w:rsidRDefault="00C0709F" w:rsidP="00C67F76">
      <w:pPr>
        <w:pStyle w:val="Descripcin"/>
      </w:pPr>
      <w:bookmarkStart w:id="97" w:name="_Toc230792275"/>
      <w:r>
        <w:t xml:space="preserve">Ilustración </w:t>
      </w:r>
      <w:fldSimple w:instr=" SEQ Ilustración \* ARABIC ">
        <w:r w:rsidR="00E76F9C">
          <w:rPr>
            <w:noProof/>
          </w:rPr>
          <w:t>2</w:t>
        </w:r>
      </w:fldSimple>
      <w:r>
        <w:t xml:space="preserve">. </w:t>
      </w:r>
      <w:r w:rsidRPr="00402AC1">
        <w:t>Diagrama de flujo del proceso de selección de participantes</w:t>
      </w:r>
      <w:bookmarkEnd w:id="97"/>
    </w:p>
    <w:p w14:paraId="31F5571A" w14:textId="77777777" w:rsidR="00097466" w:rsidRDefault="00000000">
      <w:pPr>
        <w:pStyle w:val="Ttulo2"/>
        <w:numPr>
          <w:ilvl w:val="1"/>
          <w:numId w:val="17"/>
        </w:numPr>
      </w:pPr>
      <w:bookmarkStart w:id="98" w:name="_Toc229237680"/>
      <w:bookmarkStart w:id="99" w:name="_Toc230792319"/>
      <w:r>
        <w:t>Variables clínicas e índices de actividad</w:t>
      </w:r>
      <w:bookmarkEnd w:id="98"/>
      <w:bookmarkEnd w:id="99"/>
    </w:p>
    <w:p w14:paraId="2C1B490D" w14:textId="77777777" w:rsidR="00097466" w:rsidRDefault="00000000">
      <w:r>
        <w:t>Las variables demográficas y clínicas recogidas en la visita de estudio incluyeron sexo, fecha de nacimiento, fecha de visita y fecha de diagnóstico, a partir de las cuales se calcularon la edad en el momento del estudio, la edad al diagnóstico y la duración de la enfermedad en años.</w:t>
      </w:r>
    </w:p>
    <w:p w14:paraId="2DCE51F0" w14:textId="2B18BFCB" w:rsidR="00097466" w:rsidRDefault="00000000">
      <w:r>
        <w:t>La actividad de la enfermedad se evaluó mediante el índice SLEDAI-2K (</w:t>
      </w:r>
      <w:proofErr w:type="spellStart"/>
      <w:r>
        <w:rPr>
          <w:i/>
          <w:iCs/>
        </w:rPr>
        <w:t>Systemic</w:t>
      </w:r>
      <w:proofErr w:type="spellEnd"/>
      <w:r>
        <w:rPr>
          <w:i/>
          <w:iCs/>
        </w:rPr>
        <w:t xml:space="preserve"> Lupus </w:t>
      </w:r>
      <w:proofErr w:type="spellStart"/>
      <w:r>
        <w:rPr>
          <w:i/>
          <w:iCs/>
        </w:rPr>
        <w:t>Erythematosus</w:t>
      </w:r>
      <w:proofErr w:type="spellEnd"/>
      <w:r>
        <w:rPr>
          <w:i/>
          <w:iCs/>
        </w:rPr>
        <w:t xml:space="preserve"> </w:t>
      </w:r>
      <w:proofErr w:type="spellStart"/>
      <w:r>
        <w:rPr>
          <w:i/>
          <w:iCs/>
        </w:rPr>
        <w:t>Disease</w:t>
      </w:r>
      <w:proofErr w:type="spellEnd"/>
      <w:r>
        <w:rPr>
          <w:i/>
          <w:iCs/>
        </w:rPr>
        <w:t xml:space="preserve"> </w:t>
      </w:r>
      <w:proofErr w:type="spellStart"/>
      <w:r>
        <w:rPr>
          <w:i/>
          <w:iCs/>
        </w:rPr>
        <w:t>Activity</w:t>
      </w:r>
      <w:proofErr w:type="spellEnd"/>
      <w:r>
        <w:rPr>
          <w:i/>
          <w:iCs/>
        </w:rPr>
        <w:t xml:space="preserve"> </w:t>
      </w:r>
      <w:proofErr w:type="spellStart"/>
      <w:r>
        <w:rPr>
          <w:i/>
          <w:iCs/>
        </w:rPr>
        <w:t>Index</w:t>
      </w:r>
      <w:proofErr w:type="spellEnd"/>
      <w:r>
        <w:rPr>
          <w:i/>
          <w:iCs/>
        </w:rPr>
        <w:t xml:space="preserve"> 2000</w:t>
      </w:r>
      <w:r>
        <w:t xml:space="preserve">), que cuantifica la actividad clínica del LES en los 10 días previos a la visita a través de 24 ítems que abarcan manifestaciones neurológicas, vasculares, renales, musculoesqueléticas, serosas, cutáneas, inmunológicas y analíticas. Para los análisis del presente estudio, el SLEDAI-2K fue categorizado en cinco niveles de actividad: sin actividad (0 puntos), actividad leve (1–5 puntos), actividad moderada (6–10 puntos), actividad alta (11–19 puntos) y actividad muy alta (≥20 puntos), de acuerdo con las categorías establecidas en la literatura </w:t>
      </w:r>
      <w:sdt>
        <w:sdtPr>
          <w:rPr>
            <w:color w:val="000000"/>
          </w:rPr>
          <w:tag w:val="MENDELEY_CITATION_v3_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"/>
          <w:id w:val="-70282773"/>
          <w:placeholder>
            <w:docPart w:val="DefaultPlaceholder_-1854013440"/>
          </w:placeholder>
        </w:sdtPr>
        <w:sdtContent>
          <w:r w:rsidR="00667B28" w:rsidRPr="00667B28">
            <w:rPr>
              <w:color w:val="000000"/>
            </w:rPr>
            <w:t>[3]</w:t>
          </w:r>
        </w:sdtContent>
      </w:sdt>
      <w:r>
        <w:t>. El daño orgánico acumulado fue evaluado mediante el índice SDI (</w:t>
      </w:r>
      <w:r>
        <w:rPr>
          <w:i/>
          <w:iCs/>
        </w:rPr>
        <w:t xml:space="preserve">SLICC/ACR </w:t>
      </w:r>
      <w:proofErr w:type="spellStart"/>
      <w:r>
        <w:rPr>
          <w:i/>
          <w:iCs/>
        </w:rPr>
        <w:t>Damage</w:t>
      </w:r>
      <w:proofErr w:type="spellEnd"/>
      <w:r>
        <w:rPr>
          <w:i/>
          <w:iCs/>
        </w:rPr>
        <w:t xml:space="preserve"> </w:t>
      </w:r>
      <w:proofErr w:type="spellStart"/>
      <w:r>
        <w:rPr>
          <w:i/>
          <w:iCs/>
        </w:rPr>
        <w:t>Index</w:t>
      </w:r>
      <w:proofErr w:type="spellEnd"/>
      <w:r>
        <w:t xml:space="preserve">), que recoge el daño irreversible en 12 sistemas orgánicos </w:t>
      </w:r>
      <w:sdt>
        <w:sdtPr>
          <w:rPr>
            <w:color w:val="000000"/>
          </w:rPr>
          <w:tag w:val="MENDELEY_CITATION_v3_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"/>
          <w:id w:val="-2141171577"/>
          <w:placeholder>
            <w:docPart w:val="DefaultPlaceholder_-1854013440"/>
          </w:placeholder>
        </w:sdtPr>
        <w:sdtContent>
          <w:r w:rsidR="00667B28" w:rsidRPr="00667B28">
            <w:rPr>
              <w:color w:val="000000"/>
            </w:rPr>
            <w:t>[10]</w:t>
          </w:r>
        </w:sdtContent>
      </w:sdt>
    </w:p>
    <w:p w14:paraId="5F2A3256" w14:textId="364DFD37" w:rsidR="00097466" w:rsidRDefault="00000000">
      <w:r>
        <w:t>Adicionalmente, se calculó el índice SLE-DAS (</w:t>
      </w:r>
      <w:r>
        <w:rPr>
          <w:i/>
          <w:iCs/>
        </w:rPr>
        <w:t xml:space="preserve">SLE </w:t>
      </w:r>
      <w:proofErr w:type="spellStart"/>
      <w:r>
        <w:rPr>
          <w:i/>
          <w:iCs/>
        </w:rPr>
        <w:t>Disease</w:t>
      </w:r>
      <w:proofErr w:type="spellEnd"/>
      <w:r>
        <w:rPr>
          <w:i/>
          <w:iCs/>
        </w:rPr>
        <w:t xml:space="preserve"> </w:t>
      </w:r>
      <w:proofErr w:type="spellStart"/>
      <w:r>
        <w:rPr>
          <w:i/>
          <w:iCs/>
        </w:rPr>
        <w:t>Activity</w:t>
      </w:r>
      <w:proofErr w:type="spellEnd"/>
      <w:r>
        <w:rPr>
          <w:i/>
          <w:iCs/>
        </w:rPr>
        <w:t xml:space="preserve"> Score</w:t>
      </w:r>
      <w:r>
        <w:t xml:space="preserve">), una medida continua de actividad que integra manifestaciones clínicas y parámetros de laboratorio, categorizado como: remisión (SLE-DAS ≤ 2,08), actividad leve (2,08 &lt; SLE-DAS ≤ 7,64) y actividad moderada-grave (SLE-DAS &gt; 7,64), según las definiciones establecidas </w:t>
      </w:r>
      <w:sdt>
        <w:sdtPr>
          <w:rPr>
            <w:color w:val="000000"/>
          </w:rPr>
          <w:tag w:val="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"/>
          <w:id w:val="1220171315"/>
          <w:placeholder>
            <w:docPart w:val="DefaultPlaceholder_-1854013440"/>
          </w:placeholder>
        </w:sdtPr>
        <w:sdtContent>
          <w:r w:rsidR="00667B28" w:rsidRPr="00667B28">
            <w:rPr>
              <w:color w:val="000000"/>
            </w:rPr>
            <w:t>[7,9]</w:t>
          </w:r>
        </w:sdtContent>
      </w:sdt>
      <w:r>
        <w:t>.</w:t>
      </w:r>
    </w:p>
    <w:p w14:paraId="70D9F863" w14:textId="17031753" w:rsidR="00097466" w:rsidRDefault="00000000">
      <w:r>
        <w:lastRenderedPageBreak/>
        <w:t>Se evaluaron asimismo los estados definidos de baja actividad y remisión. El estado de baja actividad lúpica (</w:t>
      </w:r>
      <w:r>
        <w:rPr>
          <w:i/>
          <w:iCs/>
        </w:rPr>
        <w:t xml:space="preserve">Lupus Low </w:t>
      </w:r>
      <w:proofErr w:type="spellStart"/>
      <w:r>
        <w:rPr>
          <w:i/>
          <w:iCs/>
        </w:rPr>
        <w:t>Disease</w:t>
      </w:r>
      <w:proofErr w:type="spellEnd"/>
      <w:r>
        <w:rPr>
          <w:i/>
          <w:iCs/>
        </w:rPr>
        <w:t xml:space="preserve"> </w:t>
      </w:r>
      <w:proofErr w:type="spellStart"/>
      <w:r>
        <w:rPr>
          <w:i/>
          <w:iCs/>
        </w:rPr>
        <w:t>Activity</w:t>
      </w:r>
      <w:proofErr w:type="spellEnd"/>
      <w:r>
        <w:rPr>
          <w:i/>
          <w:iCs/>
        </w:rPr>
        <w:t xml:space="preserve"> </w:t>
      </w:r>
      <w:proofErr w:type="spellStart"/>
      <w:r>
        <w:rPr>
          <w:i/>
          <w:iCs/>
        </w:rPr>
        <w:t>State</w:t>
      </w:r>
      <w:proofErr w:type="spellEnd"/>
      <w:r>
        <w:t>, LLDAS) se definió por la presencia simultánea de SLEDAI-2K ≤4 sin actividad en órganos mayores, ausencia de nueva actividad clínica respecto a la visita previa, evaluación global del médico (</w:t>
      </w:r>
      <w:proofErr w:type="spellStart"/>
      <w:r>
        <w:rPr>
          <w:i/>
          <w:iCs/>
        </w:rPr>
        <w:t>Physician</w:t>
      </w:r>
      <w:proofErr w:type="spellEnd"/>
      <w:r>
        <w:rPr>
          <w:i/>
          <w:iCs/>
        </w:rPr>
        <w:t xml:space="preserve"> Global </w:t>
      </w:r>
      <w:proofErr w:type="spellStart"/>
      <w:r>
        <w:rPr>
          <w:i/>
          <w:iCs/>
        </w:rPr>
        <w:t>Assessment</w:t>
      </w:r>
      <w:proofErr w:type="spellEnd"/>
      <w:r>
        <w:t>, PGA) ≤1, dosis de prednisona ≤7,5 mg/día y dosis de mantenimiento de antipalúdicos e inmunosupresores</w:t>
      </w:r>
      <w:r>
        <w:rPr>
          <w:color w:val="000000"/>
        </w:rPr>
        <w:t xml:space="preserve"> </w:t>
      </w:r>
      <w:sdt>
        <w:sdtPr>
          <w:rPr>
            <w:color w:val="000000"/>
          </w:rPr>
          <w:tag w:val="MENDELEY_CITATION_v3_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"/>
          <w:id w:val="-2050136234"/>
          <w:placeholder>
            <w:docPart w:val="DefaultPlaceholder_-1854013440"/>
          </w:placeholder>
        </w:sdtPr>
        <w:sdtContent>
          <w:r w:rsidR="00667B28" w:rsidRPr="00667B28">
            <w:rPr>
              <w:color w:val="000000"/>
            </w:rPr>
            <w:t>[5]</w:t>
          </w:r>
        </w:sdtContent>
      </w:sdt>
      <w:r>
        <w:t>. Adicionalmente, se calculó un LLDAS modificado empleando el criterio de prednisona ≤5 mg/día. La remisión se definió según los criterios DORIS (</w:t>
      </w:r>
      <w:proofErr w:type="spellStart"/>
      <w:r>
        <w:rPr>
          <w:i/>
          <w:iCs/>
        </w:rPr>
        <w:t>Definition</w:t>
      </w:r>
      <w:proofErr w:type="spellEnd"/>
      <w:r>
        <w:rPr>
          <w:i/>
          <w:iCs/>
        </w:rPr>
        <w:t xml:space="preserve"> Of </w:t>
      </w:r>
      <w:proofErr w:type="spellStart"/>
      <w:r>
        <w:rPr>
          <w:i/>
          <w:iCs/>
        </w:rPr>
        <w:t>Remission</w:t>
      </w:r>
      <w:proofErr w:type="spellEnd"/>
      <w:r>
        <w:rPr>
          <w:i/>
          <w:iCs/>
        </w:rPr>
        <w:t xml:space="preserve"> In SLE</w:t>
      </w:r>
      <w:r>
        <w:t>), que requieren SLEDAI-2K clínico = 0 y PGA &lt; 0,5, permitiéndose el uso de antipalúdicos, glucocorticoides a dosis bajas (prednisona ≤5 mg/día) y dosis de mantenimiento de inmunosupresores</w:t>
      </w:r>
      <w:r w:rsidR="00827880">
        <w:t xml:space="preserve"> </w:t>
      </w:r>
      <w:sdt>
        <w:sdtPr>
          <w:rPr>
            <w:color w:val="000000"/>
          </w:rPr>
          <w:tag w:val="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"/>
          <w:id w:val="-341697210"/>
          <w:placeholder>
            <w:docPart w:val="DefaultPlaceholder_-1854013440"/>
          </w:placeholder>
        </w:sdtPr>
        <w:sdtContent>
          <w:r w:rsidR="00667B28" w:rsidRPr="00667B28">
            <w:rPr>
              <w:color w:val="000000"/>
            </w:rPr>
            <w:t>[11]</w:t>
          </w:r>
        </w:sdtContent>
      </w:sdt>
      <w:r>
        <w:t>.</w:t>
      </w:r>
    </w:p>
    <w:p w14:paraId="751AE46C" w14:textId="77777777" w:rsidR="00097466" w:rsidRDefault="00000000">
      <w:r>
        <w:t>Para una descripción detallada de los fundamentos conceptuales, la validación clínica y las propiedades psicométricas de estos índices, se remite al apartado 2.2 del Estado del Arte.</w:t>
      </w:r>
    </w:p>
    <w:p w14:paraId="23BA0A2F" w14:textId="77777777" w:rsidR="00097466" w:rsidRDefault="00000000">
      <w:pPr>
        <w:pStyle w:val="Ttulo2"/>
        <w:numPr>
          <w:ilvl w:val="1"/>
          <w:numId w:val="17"/>
        </w:numPr>
      </w:pPr>
      <w:bookmarkStart w:id="100" w:name="_Toc229237681"/>
      <w:bookmarkStart w:id="101" w:name="_Toc230792320"/>
      <w:r>
        <w:t>Análisis descriptivo</w:t>
      </w:r>
      <w:bookmarkEnd w:id="100"/>
      <w:bookmarkEnd w:id="101"/>
    </w:p>
    <w:p w14:paraId="332565CC" w14:textId="77777777" w:rsidR="00097466" w:rsidRDefault="00000000">
      <w:r>
        <w:t>El análisis descriptivo se realizó de forma estratificada por grupo (pacientes con LES y controles sanos). Las variables continuas se describieron como media ± desviación estándar (DE) cuando seguían una distribución normal, o como mediana con rango intercuartílico [IQR] cuando no la seguían, según el resultado del test de normalidad de Shapiro-Wilk (α = 0,05), complementado con inspección visual mediante histogramas de densidad y gráficos Q-Q. Las variables categóricas se expresaron como frecuencia absoluta y porcentaje, N (%).</w:t>
      </w:r>
    </w:p>
    <w:p w14:paraId="3CBF09D8" w14:textId="6FBD7C7C" w:rsidR="00097466" w:rsidRDefault="00000000">
      <w:r>
        <w:t>Dado el incumplimiento generalizado del supuesto de normalidad en la mayoría de las variables clínicas, analíticas y de expresión génica, todos los análisis comparativos posteriores se realizaron mediante pruebas no paramétricas: la U de Mann-Whitney para comparaciones entre dos grupos independientes, la prueba de Kruskal-Wallis para comparaciones entre tres o más grupos, y el coeficiente de correlación de Spearman para el análisis de asociación entre variables continuas. Las comparaciones de variables categóricas se realizaron mediante la prueba chi-cuadrado de Pearson o la prueba exacta de Fisher, según las condiciones de aplicabilidad</w:t>
      </w:r>
      <w:r w:rsidR="00D06CDD">
        <w:t>, tal y como se muestra en la Tabla 6</w:t>
      </w:r>
      <w:r>
        <w:t>.</w:t>
      </w:r>
    </w:p>
    <w:tbl>
      <w:tblPr>
        <w:tblStyle w:val="a6"/>
        <w:tblW w:w="8341" w:type="dxa"/>
        <w:tblInd w:w="0" w:type="dxa"/>
        <w:tblLayout w:type="fixed"/>
        <w:tblLook w:val="0400" w:firstRow="0" w:lastRow="0" w:firstColumn="0" w:lastColumn="0" w:noHBand="0" w:noVBand="1"/>
      </w:tblPr>
      <w:tblGrid>
        <w:gridCol w:w="1551"/>
        <w:gridCol w:w="1560"/>
        <w:gridCol w:w="1276"/>
        <w:gridCol w:w="1416"/>
        <w:gridCol w:w="1410"/>
        <w:gridCol w:w="1128"/>
      </w:tblGrid>
      <w:tr w:rsidR="00097466" w14:paraId="6F6F4AF2" w14:textId="77777777">
        <w:trPr>
          <w:trHeight w:val="567"/>
          <w:tblHeader/>
        </w:trPr>
        <w:tc>
          <w:tcPr>
            <w:tcW w:w="1551"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07E968EE" w14:textId="77777777" w:rsidR="00097466" w:rsidRDefault="00000000">
            <w:pPr>
              <w:spacing w:before="0" w:after="0" w:line="240" w:lineRule="auto"/>
              <w:jc w:val="center"/>
              <w:rPr>
                <w:b/>
                <w:bCs/>
                <w:sz w:val="20"/>
                <w:szCs w:val="20"/>
              </w:rPr>
            </w:pPr>
            <w:r>
              <w:rPr>
                <w:b/>
                <w:bCs/>
                <w:sz w:val="20"/>
                <w:szCs w:val="20"/>
              </w:rPr>
              <w:t>Tipo de variable</w:t>
            </w:r>
          </w:p>
        </w:tc>
        <w:tc>
          <w:tcPr>
            <w:tcW w:w="156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206B348D" w14:textId="77777777" w:rsidR="00097466" w:rsidRDefault="00000000">
            <w:pPr>
              <w:spacing w:before="0" w:after="0" w:line="240" w:lineRule="auto"/>
              <w:jc w:val="center"/>
              <w:rPr>
                <w:b/>
                <w:bCs/>
                <w:sz w:val="20"/>
                <w:szCs w:val="20"/>
              </w:rPr>
            </w:pPr>
            <w:r>
              <w:rPr>
                <w:b/>
                <w:bCs/>
                <w:sz w:val="20"/>
                <w:szCs w:val="20"/>
              </w:rPr>
              <w:t>Ejemplos</w:t>
            </w:r>
          </w:p>
        </w:tc>
        <w:tc>
          <w:tcPr>
            <w:tcW w:w="1276"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4BCBC0A4" w14:textId="77777777" w:rsidR="00097466" w:rsidRDefault="00000000">
            <w:pPr>
              <w:spacing w:before="0" w:after="0" w:line="240" w:lineRule="auto"/>
              <w:jc w:val="center"/>
              <w:rPr>
                <w:b/>
                <w:bCs/>
                <w:sz w:val="20"/>
                <w:szCs w:val="20"/>
              </w:rPr>
            </w:pPr>
            <w:r>
              <w:rPr>
                <w:b/>
                <w:bCs/>
                <w:sz w:val="20"/>
                <w:szCs w:val="20"/>
              </w:rPr>
              <w:t>Estadístico descriptivo</w:t>
            </w:r>
          </w:p>
        </w:tc>
        <w:tc>
          <w:tcPr>
            <w:tcW w:w="1416"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62AA2EFD" w14:textId="77777777" w:rsidR="00097466" w:rsidRDefault="00000000">
            <w:pPr>
              <w:spacing w:before="0" w:after="0" w:line="240" w:lineRule="auto"/>
              <w:jc w:val="center"/>
              <w:rPr>
                <w:b/>
                <w:bCs/>
                <w:sz w:val="20"/>
                <w:szCs w:val="20"/>
              </w:rPr>
            </w:pPr>
            <w:r>
              <w:rPr>
                <w:b/>
                <w:bCs/>
                <w:sz w:val="20"/>
                <w:szCs w:val="20"/>
              </w:rPr>
              <w:t>Prueba comparativa (2 grupos)</w:t>
            </w:r>
          </w:p>
        </w:tc>
        <w:tc>
          <w:tcPr>
            <w:tcW w:w="141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35D990D4" w14:textId="77777777" w:rsidR="00097466" w:rsidRDefault="00000000">
            <w:pPr>
              <w:spacing w:before="0" w:after="0" w:line="240" w:lineRule="auto"/>
              <w:jc w:val="center"/>
              <w:rPr>
                <w:b/>
                <w:bCs/>
                <w:sz w:val="20"/>
                <w:szCs w:val="20"/>
              </w:rPr>
            </w:pPr>
            <w:r>
              <w:rPr>
                <w:b/>
                <w:bCs/>
                <w:sz w:val="20"/>
                <w:szCs w:val="20"/>
              </w:rPr>
              <w:t>Prueba comparativa (&gt;2 grupos)</w:t>
            </w:r>
          </w:p>
        </w:tc>
        <w:tc>
          <w:tcPr>
            <w:tcW w:w="112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tcPr>
          <w:p w14:paraId="7695E496" w14:textId="77777777" w:rsidR="00097466" w:rsidRDefault="00000000">
            <w:pPr>
              <w:spacing w:before="0" w:after="0" w:line="240" w:lineRule="auto"/>
              <w:jc w:val="center"/>
              <w:rPr>
                <w:b/>
                <w:bCs/>
                <w:sz w:val="20"/>
                <w:szCs w:val="20"/>
              </w:rPr>
            </w:pPr>
            <w:r>
              <w:rPr>
                <w:b/>
                <w:bCs/>
                <w:sz w:val="20"/>
                <w:szCs w:val="20"/>
              </w:rPr>
              <w:t>Asociación</w:t>
            </w:r>
          </w:p>
        </w:tc>
      </w:tr>
      <w:tr w:rsidR="00097466" w14:paraId="3B0C36CE" w14:textId="77777777">
        <w:trPr>
          <w:trHeight w:val="567"/>
        </w:trPr>
        <w:tc>
          <w:tcPr>
            <w:tcW w:w="15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9B1AE1" w14:textId="77777777" w:rsidR="00097466" w:rsidRDefault="00000000">
            <w:pPr>
              <w:spacing w:before="0" w:after="0" w:line="240" w:lineRule="auto"/>
              <w:jc w:val="center"/>
              <w:rPr>
                <w:sz w:val="20"/>
                <w:szCs w:val="20"/>
              </w:rPr>
            </w:pPr>
            <w:r>
              <w:rPr>
                <w:sz w:val="20"/>
                <w:szCs w:val="20"/>
              </w:rPr>
              <w:t>Continua normal</w:t>
            </w:r>
          </w:p>
        </w:tc>
        <w:tc>
          <w:tcPr>
            <w:tcW w:w="15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862F20C" w14:textId="77777777" w:rsidR="00097466" w:rsidRDefault="00000000">
            <w:pPr>
              <w:spacing w:before="0" w:after="0" w:line="240" w:lineRule="auto"/>
              <w:jc w:val="center"/>
              <w:rPr>
                <w:sz w:val="20"/>
                <w:szCs w:val="20"/>
              </w:rPr>
            </w:pPr>
            <w:r>
              <w:rPr>
                <w:sz w:val="20"/>
                <w:szCs w:val="20"/>
              </w:rPr>
              <w:t>Edad, IMC</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6EC74B2" w14:textId="77777777" w:rsidR="00097466" w:rsidRDefault="00000000">
            <w:pPr>
              <w:spacing w:before="0" w:after="0" w:line="240" w:lineRule="auto"/>
              <w:jc w:val="center"/>
              <w:rPr>
                <w:sz w:val="20"/>
                <w:szCs w:val="20"/>
              </w:rPr>
            </w:pPr>
            <w:r>
              <w:rPr>
                <w:sz w:val="20"/>
                <w:szCs w:val="20"/>
              </w:rPr>
              <w:t>Media ± DE</w:t>
            </w:r>
          </w:p>
        </w:tc>
        <w:tc>
          <w:tcPr>
            <w:tcW w:w="14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45D5A9" w14:textId="77777777" w:rsidR="00097466" w:rsidRDefault="00000000">
            <w:pPr>
              <w:spacing w:before="0" w:after="0" w:line="240" w:lineRule="auto"/>
              <w:jc w:val="center"/>
              <w:rPr>
                <w:sz w:val="20"/>
                <w:szCs w:val="20"/>
              </w:rPr>
            </w:pPr>
            <w:r>
              <w:rPr>
                <w:sz w:val="20"/>
                <w:szCs w:val="20"/>
              </w:rPr>
              <w:t xml:space="preserve">t de </w:t>
            </w:r>
            <w:proofErr w:type="spellStart"/>
            <w:r>
              <w:rPr>
                <w:sz w:val="20"/>
                <w:szCs w:val="20"/>
              </w:rPr>
              <w:t>Student</w:t>
            </w:r>
            <w:proofErr w:type="spellEnd"/>
          </w:p>
        </w:tc>
        <w:tc>
          <w:tcPr>
            <w:tcW w:w="14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229E1E" w14:textId="77777777" w:rsidR="00097466" w:rsidRDefault="00000000">
            <w:pPr>
              <w:spacing w:before="0" w:after="0" w:line="240" w:lineRule="auto"/>
              <w:jc w:val="center"/>
              <w:rPr>
                <w:sz w:val="20"/>
                <w:szCs w:val="20"/>
              </w:rPr>
            </w:pPr>
            <w:r>
              <w:rPr>
                <w:sz w:val="20"/>
                <w:szCs w:val="20"/>
              </w:rPr>
              <w:t>ANOVA</w:t>
            </w:r>
          </w:p>
        </w:tc>
        <w:tc>
          <w:tcPr>
            <w:tcW w:w="112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18CA0C" w14:textId="77777777" w:rsidR="00097466" w:rsidRDefault="00000000">
            <w:pPr>
              <w:spacing w:before="0" w:after="0" w:line="240" w:lineRule="auto"/>
              <w:jc w:val="center"/>
              <w:rPr>
                <w:sz w:val="20"/>
                <w:szCs w:val="20"/>
              </w:rPr>
            </w:pPr>
            <w:r>
              <w:rPr>
                <w:sz w:val="20"/>
                <w:szCs w:val="20"/>
              </w:rPr>
              <w:t>Pearson</w:t>
            </w:r>
          </w:p>
        </w:tc>
      </w:tr>
      <w:tr w:rsidR="00097466" w14:paraId="64AC50B2" w14:textId="77777777">
        <w:trPr>
          <w:trHeight w:val="567"/>
        </w:trPr>
        <w:tc>
          <w:tcPr>
            <w:tcW w:w="15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9F4DD5" w14:textId="77777777" w:rsidR="00097466" w:rsidRDefault="00000000">
            <w:pPr>
              <w:spacing w:before="0" w:after="0" w:line="240" w:lineRule="auto"/>
              <w:jc w:val="center"/>
              <w:rPr>
                <w:sz w:val="20"/>
                <w:szCs w:val="20"/>
              </w:rPr>
            </w:pPr>
            <w:r>
              <w:rPr>
                <w:sz w:val="20"/>
                <w:szCs w:val="20"/>
              </w:rPr>
              <w:t>Continua no normal</w:t>
            </w:r>
          </w:p>
        </w:tc>
        <w:tc>
          <w:tcPr>
            <w:tcW w:w="15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79CBC8" w14:textId="77777777" w:rsidR="00097466" w:rsidRPr="009008F7" w:rsidRDefault="00000000">
            <w:pPr>
              <w:spacing w:before="0" w:after="0" w:line="240" w:lineRule="auto"/>
              <w:jc w:val="center"/>
              <w:rPr>
                <w:sz w:val="20"/>
                <w:szCs w:val="20"/>
                <w:lang w:val="en-US"/>
              </w:rPr>
            </w:pPr>
            <w:r w:rsidRPr="009008F7">
              <w:rPr>
                <w:sz w:val="20"/>
                <w:szCs w:val="20"/>
                <w:lang w:val="en-US"/>
              </w:rPr>
              <w:t>SLEDAI-2K, SLE-DAS, IFN-score, IFN-</w:t>
            </w:r>
            <w:r>
              <w:rPr>
                <w:sz w:val="20"/>
                <w:szCs w:val="20"/>
              </w:rPr>
              <w:t>α</w:t>
            </w:r>
            <w:r w:rsidRPr="009008F7">
              <w:rPr>
                <w:sz w:val="20"/>
                <w:szCs w:val="20"/>
                <w:lang w:val="en-US"/>
              </w:rPr>
              <w:t>, C3, C4</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B8B849B" w14:textId="77777777" w:rsidR="00097466" w:rsidRDefault="00000000">
            <w:pPr>
              <w:spacing w:before="0" w:after="0" w:line="240" w:lineRule="auto"/>
              <w:jc w:val="center"/>
              <w:rPr>
                <w:sz w:val="20"/>
                <w:szCs w:val="20"/>
              </w:rPr>
            </w:pPr>
            <w:r>
              <w:rPr>
                <w:sz w:val="20"/>
                <w:szCs w:val="20"/>
              </w:rPr>
              <w:t>Mediana [IQR]</w:t>
            </w:r>
          </w:p>
        </w:tc>
        <w:tc>
          <w:tcPr>
            <w:tcW w:w="14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26B1D0E" w14:textId="77777777" w:rsidR="00097466" w:rsidRDefault="00000000">
            <w:pPr>
              <w:spacing w:before="0" w:after="0" w:line="240" w:lineRule="auto"/>
              <w:jc w:val="center"/>
              <w:rPr>
                <w:sz w:val="20"/>
                <w:szCs w:val="20"/>
              </w:rPr>
            </w:pPr>
            <w:r>
              <w:rPr>
                <w:sz w:val="20"/>
                <w:szCs w:val="20"/>
              </w:rPr>
              <w:t>U de Mann-Whitney</w:t>
            </w:r>
          </w:p>
        </w:tc>
        <w:tc>
          <w:tcPr>
            <w:tcW w:w="14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246678B" w14:textId="77777777" w:rsidR="00097466" w:rsidRDefault="00000000">
            <w:pPr>
              <w:spacing w:before="0" w:after="0" w:line="240" w:lineRule="auto"/>
              <w:jc w:val="center"/>
              <w:rPr>
                <w:sz w:val="20"/>
                <w:szCs w:val="20"/>
              </w:rPr>
            </w:pPr>
            <w:r>
              <w:rPr>
                <w:sz w:val="20"/>
                <w:szCs w:val="20"/>
              </w:rPr>
              <w:t>Kruskal-Wallis</w:t>
            </w:r>
          </w:p>
        </w:tc>
        <w:tc>
          <w:tcPr>
            <w:tcW w:w="112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FF27F2" w14:textId="77777777" w:rsidR="00097466" w:rsidRDefault="00000000">
            <w:pPr>
              <w:spacing w:before="0" w:after="0" w:line="240" w:lineRule="auto"/>
              <w:jc w:val="center"/>
              <w:rPr>
                <w:sz w:val="20"/>
                <w:szCs w:val="20"/>
              </w:rPr>
            </w:pPr>
            <w:r>
              <w:rPr>
                <w:sz w:val="20"/>
                <w:szCs w:val="20"/>
              </w:rPr>
              <w:t>Spearman</w:t>
            </w:r>
          </w:p>
        </w:tc>
      </w:tr>
      <w:tr w:rsidR="00097466" w14:paraId="1F9AEE1D" w14:textId="77777777">
        <w:trPr>
          <w:trHeight w:val="567"/>
        </w:trPr>
        <w:tc>
          <w:tcPr>
            <w:tcW w:w="15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A09827" w14:textId="77777777" w:rsidR="00097466" w:rsidRDefault="00000000">
            <w:pPr>
              <w:spacing w:before="0" w:after="0" w:line="240" w:lineRule="auto"/>
              <w:jc w:val="center"/>
              <w:rPr>
                <w:sz w:val="20"/>
                <w:szCs w:val="20"/>
              </w:rPr>
            </w:pPr>
            <w:r>
              <w:rPr>
                <w:sz w:val="20"/>
                <w:szCs w:val="20"/>
              </w:rPr>
              <w:t>Categórica nominal</w:t>
            </w:r>
          </w:p>
        </w:tc>
        <w:tc>
          <w:tcPr>
            <w:tcW w:w="15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F9E1B1" w14:textId="77777777" w:rsidR="00097466" w:rsidRDefault="00000000">
            <w:pPr>
              <w:spacing w:before="0" w:after="0" w:line="240" w:lineRule="auto"/>
              <w:jc w:val="center"/>
              <w:rPr>
                <w:sz w:val="20"/>
                <w:szCs w:val="20"/>
              </w:rPr>
            </w:pPr>
            <w:r>
              <w:rPr>
                <w:sz w:val="20"/>
                <w:szCs w:val="20"/>
              </w:rPr>
              <w:t xml:space="preserve">Sexo, LLDAS, DORIS </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5540EC1" w14:textId="77777777" w:rsidR="00097466" w:rsidRDefault="00000000">
            <w:pPr>
              <w:spacing w:before="0" w:after="0" w:line="240" w:lineRule="auto"/>
              <w:jc w:val="center"/>
              <w:rPr>
                <w:sz w:val="20"/>
                <w:szCs w:val="20"/>
              </w:rPr>
            </w:pPr>
            <w:r>
              <w:rPr>
                <w:sz w:val="20"/>
                <w:szCs w:val="20"/>
              </w:rPr>
              <w:t>N (%)</w:t>
            </w:r>
          </w:p>
        </w:tc>
        <w:tc>
          <w:tcPr>
            <w:tcW w:w="14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4C6D894" w14:textId="77777777" w:rsidR="00097466" w:rsidRDefault="00000000">
            <w:pPr>
              <w:spacing w:before="0" w:after="0" w:line="240" w:lineRule="auto"/>
              <w:jc w:val="center"/>
              <w:rPr>
                <w:sz w:val="20"/>
                <w:szCs w:val="20"/>
              </w:rPr>
            </w:pPr>
            <w:r>
              <w:rPr>
                <w:sz w:val="20"/>
                <w:szCs w:val="20"/>
              </w:rPr>
              <w:t>Chi-cuadrado / Fisher exacta</w:t>
            </w:r>
          </w:p>
        </w:tc>
        <w:tc>
          <w:tcPr>
            <w:tcW w:w="14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B6F9723" w14:textId="77777777" w:rsidR="00097466" w:rsidRDefault="00000000">
            <w:pPr>
              <w:spacing w:before="0" w:after="0" w:line="240" w:lineRule="auto"/>
              <w:jc w:val="center"/>
              <w:rPr>
                <w:sz w:val="20"/>
                <w:szCs w:val="20"/>
              </w:rPr>
            </w:pPr>
            <w:r>
              <w:rPr>
                <w:sz w:val="20"/>
                <w:szCs w:val="20"/>
              </w:rPr>
              <w:t>Chi-cuadrado</w:t>
            </w:r>
          </w:p>
        </w:tc>
        <w:tc>
          <w:tcPr>
            <w:tcW w:w="112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05C672" w14:textId="77777777" w:rsidR="00097466" w:rsidRDefault="00000000">
            <w:pPr>
              <w:spacing w:before="0" w:after="0" w:line="240" w:lineRule="auto"/>
              <w:jc w:val="center"/>
              <w:rPr>
                <w:sz w:val="20"/>
                <w:szCs w:val="20"/>
              </w:rPr>
            </w:pPr>
            <w:r>
              <w:rPr>
                <w:sz w:val="20"/>
                <w:szCs w:val="20"/>
              </w:rPr>
              <w:t>—</w:t>
            </w:r>
          </w:p>
        </w:tc>
      </w:tr>
      <w:tr w:rsidR="00097466" w14:paraId="3E353E4F" w14:textId="77777777">
        <w:trPr>
          <w:trHeight w:val="567"/>
        </w:trPr>
        <w:tc>
          <w:tcPr>
            <w:tcW w:w="15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AD9B31" w14:textId="77777777" w:rsidR="00097466" w:rsidRDefault="00000000">
            <w:pPr>
              <w:spacing w:before="0" w:after="0" w:line="240" w:lineRule="auto"/>
              <w:jc w:val="center"/>
              <w:rPr>
                <w:sz w:val="20"/>
                <w:szCs w:val="20"/>
              </w:rPr>
            </w:pPr>
            <w:r>
              <w:rPr>
                <w:sz w:val="20"/>
                <w:szCs w:val="20"/>
              </w:rPr>
              <w:lastRenderedPageBreak/>
              <w:t>Categórica ordinal</w:t>
            </w:r>
          </w:p>
        </w:tc>
        <w:tc>
          <w:tcPr>
            <w:tcW w:w="15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027534F" w14:textId="77777777" w:rsidR="00097466" w:rsidRDefault="00000000">
            <w:pPr>
              <w:spacing w:before="0" w:after="0" w:line="240" w:lineRule="auto"/>
              <w:jc w:val="center"/>
              <w:rPr>
                <w:sz w:val="20"/>
                <w:szCs w:val="20"/>
              </w:rPr>
            </w:pPr>
            <w:r>
              <w:rPr>
                <w:sz w:val="20"/>
                <w:szCs w:val="20"/>
              </w:rPr>
              <w:t xml:space="preserve">Niveles SLEDAI-2K, SLE-DAS </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FB3D37E" w14:textId="77777777" w:rsidR="00097466" w:rsidRDefault="00000000">
            <w:pPr>
              <w:spacing w:before="0" w:after="0" w:line="240" w:lineRule="auto"/>
              <w:jc w:val="center"/>
              <w:rPr>
                <w:sz w:val="20"/>
                <w:szCs w:val="20"/>
              </w:rPr>
            </w:pPr>
            <w:r>
              <w:rPr>
                <w:sz w:val="20"/>
                <w:szCs w:val="20"/>
              </w:rPr>
              <w:t>N (%) + mediana</w:t>
            </w:r>
          </w:p>
        </w:tc>
        <w:tc>
          <w:tcPr>
            <w:tcW w:w="14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0C561C9" w14:textId="77777777" w:rsidR="00097466" w:rsidRDefault="00000000">
            <w:pPr>
              <w:spacing w:before="0" w:after="0" w:line="240" w:lineRule="auto"/>
              <w:jc w:val="center"/>
              <w:rPr>
                <w:sz w:val="20"/>
                <w:szCs w:val="20"/>
              </w:rPr>
            </w:pPr>
            <w:r>
              <w:rPr>
                <w:sz w:val="20"/>
                <w:szCs w:val="20"/>
              </w:rPr>
              <w:t>Mann-Whitney</w:t>
            </w:r>
          </w:p>
        </w:tc>
        <w:tc>
          <w:tcPr>
            <w:tcW w:w="14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455421" w14:textId="77777777" w:rsidR="00097466" w:rsidRDefault="00000000">
            <w:pPr>
              <w:spacing w:before="0" w:after="0" w:line="240" w:lineRule="auto"/>
              <w:jc w:val="center"/>
              <w:rPr>
                <w:sz w:val="20"/>
                <w:szCs w:val="20"/>
              </w:rPr>
            </w:pPr>
            <w:r>
              <w:rPr>
                <w:sz w:val="20"/>
                <w:szCs w:val="20"/>
              </w:rPr>
              <w:t>Kruskal-Wallis</w:t>
            </w:r>
          </w:p>
        </w:tc>
        <w:tc>
          <w:tcPr>
            <w:tcW w:w="112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1B9566D" w14:textId="77777777" w:rsidR="00097466" w:rsidRDefault="00000000">
            <w:pPr>
              <w:spacing w:before="0" w:after="0" w:line="240" w:lineRule="auto"/>
              <w:jc w:val="center"/>
              <w:rPr>
                <w:sz w:val="20"/>
                <w:szCs w:val="20"/>
              </w:rPr>
            </w:pPr>
            <w:r>
              <w:rPr>
                <w:sz w:val="20"/>
                <w:szCs w:val="20"/>
              </w:rPr>
              <w:t>Spearman</w:t>
            </w:r>
          </w:p>
        </w:tc>
      </w:tr>
      <w:tr w:rsidR="00097466" w14:paraId="3CA70FAC" w14:textId="77777777">
        <w:trPr>
          <w:trHeight w:val="567"/>
        </w:trPr>
        <w:tc>
          <w:tcPr>
            <w:tcW w:w="15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A424B6" w14:textId="77777777" w:rsidR="00097466" w:rsidRDefault="00000000">
            <w:pPr>
              <w:spacing w:before="0" w:after="0" w:line="240" w:lineRule="auto"/>
              <w:jc w:val="center"/>
              <w:rPr>
                <w:sz w:val="20"/>
                <w:szCs w:val="20"/>
              </w:rPr>
            </w:pPr>
            <w:r>
              <w:rPr>
                <w:sz w:val="20"/>
                <w:szCs w:val="20"/>
              </w:rPr>
              <w:t>Binaria (</w:t>
            </w:r>
            <w:proofErr w:type="spellStart"/>
            <w:r>
              <w:rPr>
                <w:sz w:val="20"/>
                <w:szCs w:val="20"/>
              </w:rPr>
              <w:t>outcome</w:t>
            </w:r>
            <w:proofErr w:type="spellEnd"/>
            <w:r>
              <w:rPr>
                <w:sz w:val="20"/>
                <w:szCs w:val="20"/>
              </w:rPr>
              <w:t xml:space="preserve"> regresión)</w:t>
            </w:r>
          </w:p>
        </w:tc>
        <w:tc>
          <w:tcPr>
            <w:tcW w:w="15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211397" w14:textId="77777777" w:rsidR="00097466" w:rsidRPr="009008F7" w:rsidRDefault="00000000">
            <w:pPr>
              <w:spacing w:before="0" w:after="0" w:line="240" w:lineRule="auto"/>
              <w:jc w:val="center"/>
              <w:rPr>
                <w:sz w:val="20"/>
                <w:szCs w:val="20"/>
                <w:lang w:val="en-US"/>
              </w:rPr>
            </w:pPr>
            <w:r w:rsidRPr="009008F7">
              <w:rPr>
                <w:sz w:val="20"/>
                <w:szCs w:val="20"/>
                <w:lang w:val="en-US"/>
              </w:rPr>
              <w:t>IFN-high/IFN-low, LLDAS, DORIS</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F9478C" w14:textId="77777777" w:rsidR="00097466" w:rsidRDefault="00000000">
            <w:pPr>
              <w:spacing w:before="0" w:after="0" w:line="240" w:lineRule="auto"/>
              <w:jc w:val="center"/>
              <w:rPr>
                <w:sz w:val="20"/>
                <w:szCs w:val="20"/>
              </w:rPr>
            </w:pPr>
            <w:r>
              <w:rPr>
                <w:sz w:val="20"/>
                <w:szCs w:val="20"/>
              </w:rPr>
              <w:t>N (%)</w:t>
            </w:r>
          </w:p>
        </w:tc>
        <w:tc>
          <w:tcPr>
            <w:tcW w:w="14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43A8879" w14:textId="77777777" w:rsidR="00097466" w:rsidRDefault="00000000">
            <w:pPr>
              <w:spacing w:before="0" w:after="0" w:line="240" w:lineRule="auto"/>
              <w:jc w:val="center"/>
              <w:rPr>
                <w:sz w:val="20"/>
                <w:szCs w:val="20"/>
              </w:rPr>
            </w:pPr>
            <w:r>
              <w:rPr>
                <w:sz w:val="20"/>
                <w:szCs w:val="20"/>
              </w:rPr>
              <w:t>—</w:t>
            </w:r>
          </w:p>
        </w:tc>
        <w:tc>
          <w:tcPr>
            <w:tcW w:w="14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9266CC" w14:textId="77777777" w:rsidR="00097466" w:rsidRDefault="00000000">
            <w:pPr>
              <w:spacing w:before="0" w:after="0" w:line="240" w:lineRule="auto"/>
              <w:jc w:val="center"/>
              <w:rPr>
                <w:sz w:val="20"/>
                <w:szCs w:val="20"/>
              </w:rPr>
            </w:pPr>
            <w:r>
              <w:rPr>
                <w:sz w:val="20"/>
                <w:szCs w:val="20"/>
              </w:rPr>
              <w:t>—</w:t>
            </w:r>
          </w:p>
        </w:tc>
        <w:tc>
          <w:tcPr>
            <w:tcW w:w="112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7E559C" w14:textId="77777777" w:rsidR="00097466" w:rsidRDefault="00000000">
            <w:pPr>
              <w:spacing w:before="0" w:after="0" w:line="240" w:lineRule="auto"/>
              <w:jc w:val="center"/>
              <w:rPr>
                <w:sz w:val="20"/>
                <w:szCs w:val="20"/>
              </w:rPr>
            </w:pPr>
            <w:r>
              <w:rPr>
                <w:sz w:val="20"/>
                <w:szCs w:val="20"/>
              </w:rPr>
              <w:t>OR (regresión logística)</w:t>
            </w:r>
          </w:p>
        </w:tc>
      </w:tr>
      <w:tr w:rsidR="00097466" w14:paraId="5496F9AB" w14:textId="77777777">
        <w:trPr>
          <w:trHeight w:val="567"/>
        </w:trPr>
        <w:tc>
          <w:tcPr>
            <w:tcW w:w="1551"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01116B1" w14:textId="77777777" w:rsidR="00097466" w:rsidRDefault="00000000">
            <w:pPr>
              <w:spacing w:before="0" w:after="0" w:line="240" w:lineRule="auto"/>
              <w:jc w:val="center"/>
              <w:rPr>
                <w:sz w:val="20"/>
                <w:szCs w:val="20"/>
              </w:rPr>
            </w:pPr>
            <w:r>
              <w:rPr>
                <w:sz w:val="20"/>
                <w:szCs w:val="20"/>
              </w:rPr>
              <w:t>Expresión génica (ISGs)</w:t>
            </w:r>
          </w:p>
        </w:tc>
        <w:tc>
          <w:tcPr>
            <w:tcW w:w="156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A08301" w14:textId="77777777" w:rsidR="00097466" w:rsidRDefault="00000000">
            <w:pPr>
              <w:spacing w:before="0" w:after="0" w:line="240" w:lineRule="auto"/>
              <w:jc w:val="center"/>
              <w:rPr>
                <w:sz w:val="20"/>
                <w:szCs w:val="20"/>
              </w:rPr>
            </w:pPr>
            <w:r>
              <w:rPr>
                <w:sz w:val="20"/>
                <w:szCs w:val="20"/>
              </w:rPr>
              <w:t xml:space="preserve">72 genes </w:t>
            </w:r>
            <w:proofErr w:type="spellStart"/>
            <w:r>
              <w:rPr>
                <w:sz w:val="20"/>
                <w:szCs w:val="20"/>
              </w:rPr>
              <w:t>NanoString</w:t>
            </w:r>
            <w:proofErr w:type="spellEnd"/>
            <w:r>
              <w:rPr>
                <w:sz w:val="20"/>
                <w:szCs w:val="20"/>
              </w:rPr>
              <w:t xml:space="preserve"> normalizados</w:t>
            </w:r>
          </w:p>
        </w:tc>
        <w:tc>
          <w:tcPr>
            <w:tcW w:w="127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ACE9D32" w14:textId="77777777" w:rsidR="00097466" w:rsidRDefault="00000000">
            <w:pPr>
              <w:spacing w:before="0" w:after="0" w:line="240" w:lineRule="auto"/>
              <w:jc w:val="center"/>
              <w:rPr>
                <w:sz w:val="20"/>
                <w:szCs w:val="20"/>
              </w:rPr>
            </w:pPr>
            <w:r>
              <w:rPr>
                <w:sz w:val="20"/>
                <w:szCs w:val="20"/>
              </w:rPr>
              <w:t>Mediana [IQR]</w:t>
            </w:r>
          </w:p>
        </w:tc>
        <w:tc>
          <w:tcPr>
            <w:tcW w:w="1416"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716D37" w14:textId="77777777" w:rsidR="00097466" w:rsidRDefault="00000000">
            <w:pPr>
              <w:spacing w:before="0" w:after="0" w:line="240" w:lineRule="auto"/>
              <w:jc w:val="center"/>
              <w:rPr>
                <w:sz w:val="20"/>
                <w:szCs w:val="20"/>
              </w:rPr>
            </w:pPr>
            <w:r>
              <w:rPr>
                <w:sz w:val="20"/>
                <w:szCs w:val="20"/>
              </w:rPr>
              <w:t>U de Mann-Whitney (FDR BH)</w:t>
            </w:r>
          </w:p>
        </w:tc>
        <w:tc>
          <w:tcPr>
            <w:tcW w:w="141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77BFF4" w14:textId="77777777" w:rsidR="00097466" w:rsidRDefault="00000000">
            <w:pPr>
              <w:spacing w:before="0" w:after="0" w:line="240" w:lineRule="auto"/>
              <w:jc w:val="center"/>
              <w:rPr>
                <w:sz w:val="20"/>
                <w:szCs w:val="20"/>
              </w:rPr>
            </w:pPr>
            <w:r>
              <w:rPr>
                <w:sz w:val="20"/>
                <w:szCs w:val="20"/>
              </w:rPr>
              <w:t>Kruskal-Wallis</w:t>
            </w:r>
          </w:p>
        </w:tc>
        <w:tc>
          <w:tcPr>
            <w:tcW w:w="112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0BDFD7" w14:textId="77777777" w:rsidR="00097466" w:rsidRDefault="00000000" w:rsidP="00C0709F">
            <w:pPr>
              <w:keepNext/>
              <w:spacing w:before="0" w:after="0" w:line="240" w:lineRule="auto"/>
              <w:jc w:val="center"/>
              <w:rPr>
                <w:sz w:val="20"/>
                <w:szCs w:val="20"/>
              </w:rPr>
            </w:pPr>
            <w:r>
              <w:rPr>
                <w:sz w:val="20"/>
                <w:szCs w:val="20"/>
              </w:rPr>
              <w:t>Spearman</w:t>
            </w:r>
          </w:p>
        </w:tc>
      </w:tr>
    </w:tbl>
    <w:p w14:paraId="1498EABE" w14:textId="3AFB18D2" w:rsidR="00C0709F" w:rsidRDefault="00C0709F" w:rsidP="00C67F76">
      <w:pPr>
        <w:pStyle w:val="Descripcin"/>
      </w:pPr>
      <w:bookmarkStart w:id="102" w:name="_Toc230792243"/>
      <w:r>
        <w:t xml:space="preserve">Tabla </w:t>
      </w:r>
      <w:fldSimple w:instr=" SEQ Tabla \* ARABIC ">
        <w:r w:rsidR="00716AEA">
          <w:rPr>
            <w:noProof/>
          </w:rPr>
          <w:t>6</w:t>
        </w:r>
      </w:fldSimple>
      <w:r>
        <w:t xml:space="preserve">. </w:t>
      </w:r>
      <w:r w:rsidRPr="004A5A04">
        <w:t>Estadísticos descriptivos y pruebas de contraste empleados según el tipo de variable</w:t>
      </w:r>
      <w:bookmarkEnd w:id="102"/>
    </w:p>
    <w:p w14:paraId="595A18AE" w14:textId="5D104200" w:rsidR="00097466" w:rsidRDefault="00000000">
      <w:r>
        <w:t xml:space="preserve">Los datos faltantes fueron identificados y documentados para cada variable antes del análisis. Las variables con un porcentaje elevado de valores faltantes —entre las que se incluyen GOT/AST, GPT/ALT, GGT, proteínas totales y BAFF (&gt;70% de datos faltantes)— se incluyeron en los análisis descriptivos pero sus resultados se interpretan con cautela y se señalan explícitamente en las tablas correspondientes. </w:t>
      </w:r>
    </w:p>
    <w:p w14:paraId="7071AA84" w14:textId="77777777" w:rsidR="00097466" w:rsidRDefault="00000000">
      <w:r>
        <w:t xml:space="preserve">Todos los índices clínicos, variables séricas y datos de expresión génica fueron integrados en un único objeto analítico denominado </w:t>
      </w:r>
      <w:proofErr w:type="spellStart"/>
      <w:r>
        <w:rPr>
          <w:i/>
          <w:iCs/>
        </w:rPr>
        <w:t>DataSet_scores</w:t>
      </w:r>
      <w:proofErr w:type="spellEnd"/>
      <w:r>
        <w:t xml:space="preserve">, generado mediante un pipeline reproducible implementado en R (versión 4.4.2) y documentado en formato R </w:t>
      </w:r>
      <w:proofErr w:type="spellStart"/>
      <w:r>
        <w:t>Markdown</w:t>
      </w:r>
      <w:proofErr w:type="spellEnd"/>
      <w:r>
        <w:t xml:space="preserve"> (</w:t>
      </w:r>
      <w:r>
        <w:rPr>
          <w:i/>
          <w:iCs/>
        </w:rPr>
        <w:t xml:space="preserve">Preparación y Cálculo de Índices </w:t>
      </w:r>
      <w:proofErr w:type="spellStart"/>
      <w:r>
        <w:rPr>
          <w:i/>
          <w:iCs/>
        </w:rPr>
        <w:t>Clínicos.Rmd</w:t>
      </w:r>
      <w:proofErr w:type="spellEnd"/>
      <w:r>
        <w:t xml:space="preserve">). Este </w:t>
      </w:r>
      <w:proofErr w:type="spellStart"/>
      <w:r>
        <w:t>dataset</w:t>
      </w:r>
      <w:proofErr w:type="spellEnd"/>
      <w:r>
        <w:t xml:space="preserve"> consolidado constituye la estructura de datos de partida para todos los análisis posteriores e incluye las variables de identificación, los cinco índices de actividad y daño (SLEDAI-2K, SLE-DAS, SLICC/SDI, LLDAS y DORIS), las variables séricas y analíticas, los 72 genes ISG del panel </w:t>
      </w:r>
      <w:proofErr w:type="spellStart"/>
      <w:r>
        <w:t>NanoString</w:t>
      </w:r>
      <w:proofErr w:type="spellEnd"/>
      <w:r>
        <w:t xml:space="preserve">, los 5 genes </w:t>
      </w:r>
      <w:proofErr w:type="spellStart"/>
      <w:r>
        <w:t>housekeeping</w:t>
      </w:r>
      <w:proofErr w:type="spellEnd"/>
      <w:r>
        <w:t xml:space="preserve"> empleados en la normalización (ALAS1, G6PD, HPRT1, POLR2A y TBP) y las 12 sondas de control técnico interno de la plataforma.</w:t>
      </w:r>
    </w:p>
    <w:p w14:paraId="53A78BF4" w14:textId="77777777" w:rsidR="00097466" w:rsidRDefault="00000000">
      <w:pPr>
        <w:pStyle w:val="Ttulo2"/>
        <w:numPr>
          <w:ilvl w:val="1"/>
          <w:numId w:val="17"/>
        </w:numPr>
      </w:pPr>
      <w:bookmarkStart w:id="103" w:name="_Toc229237682"/>
      <w:bookmarkStart w:id="104" w:name="_Toc230792321"/>
      <w:r>
        <w:t xml:space="preserve">Análisis de expresión génica mediante </w:t>
      </w:r>
      <w:proofErr w:type="spellStart"/>
      <w:r>
        <w:t>NanoString</w:t>
      </w:r>
      <w:proofErr w:type="spellEnd"/>
      <w:r>
        <w:t xml:space="preserve"> </w:t>
      </w:r>
      <w:proofErr w:type="spellStart"/>
      <w:r>
        <w:t>nCounter</w:t>
      </w:r>
      <w:bookmarkEnd w:id="103"/>
      <w:bookmarkEnd w:id="104"/>
      <w:proofErr w:type="spellEnd"/>
    </w:p>
    <w:p w14:paraId="5DB0EF2C" w14:textId="77777777" w:rsidR="00097466" w:rsidRDefault="00000000">
      <w:pPr>
        <w:pStyle w:val="Ttulo3"/>
        <w:numPr>
          <w:ilvl w:val="2"/>
          <w:numId w:val="17"/>
        </w:numPr>
      </w:pPr>
      <w:r>
        <w:t>Obtención y procesamiento de las muestras</w:t>
      </w:r>
    </w:p>
    <w:p w14:paraId="67D45B86" w14:textId="52A058D9" w:rsidR="00097466" w:rsidRDefault="00000000">
      <w:r>
        <w:t xml:space="preserve">El perfil transcriptómico se determinó mediante la plataforma </w:t>
      </w:r>
      <w:proofErr w:type="spellStart"/>
      <w:r>
        <w:t>NanoString</w:t>
      </w:r>
      <w:proofErr w:type="spellEnd"/>
      <w:r>
        <w:t xml:space="preserve"> </w:t>
      </w:r>
      <w:proofErr w:type="spellStart"/>
      <w:r>
        <w:t>nCounter</w:t>
      </w:r>
      <w:proofErr w:type="spellEnd"/>
      <w:r>
        <w:t xml:space="preserve"> (</w:t>
      </w:r>
      <w:proofErr w:type="spellStart"/>
      <w:r>
        <w:t>NanoString</w:t>
      </w:r>
      <w:proofErr w:type="spellEnd"/>
      <w:r>
        <w:t xml:space="preserve"> Technologies, Seattle, WA, USA). Esta tecnología se basa en la hibridación directa de sondas moleculares fluorescentes sin amplificación previa, lo que minimiza el sesgo técnico y permite la cuantificación simultánea de múltiples transcritos a partir de cantidades mínimas de ARN </w:t>
      </w:r>
      <w:sdt>
        <w:sdtPr>
          <w:rPr>
            <w:color w:val="000000"/>
          </w:rPr>
          <w:tag w:val="MENDELEY_CITATION_v3_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"/>
          <w:id w:val="-1500192550"/>
          <w:placeholder>
            <w:docPart w:val="DefaultPlaceholder_-1854013440"/>
          </w:placeholder>
        </w:sdtPr>
        <w:sdtContent>
          <w:r w:rsidR="00667B28" w:rsidRPr="00667B28">
            <w:rPr>
              <w:color w:val="000000"/>
            </w:rPr>
            <w:t>[26]</w:t>
          </w:r>
        </w:sdtContent>
      </w:sdt>
      <w:r>
        <w:t>.</w:t>
      </w:r>
    </w:p>
    <w:p w14:paraId="58C81D23" w14:textId="77777777" w:rsidR="00097466" w:rsidRDefault="00000000">
      <w:pPr>
        <w:pStyle w:val="Ttulo3"/>
        <w:numPr>
          <w:ilvl w:val="2"/>
          <w:numId w:val="17"/>
        </w:numPr>
      </w:pPr>
      <w:r>
        <w:t>Panel de genes</w:t>
      </w:r>
    </w:p>
    <w:p w14:paraId="1012B26A" w14:textId="77777777" w:rsidR="00097466" w:rsidRDefault="00000000">
      <w:r>
        <w:t xml:space="preserve">Se cuantificaron los niveles de expresión de 72 genes estimulados por interferón (ISGs), previamente descritos como integrantes de la firma de interferón tipo I en LES </w:t>
      </w:r>
      <w:r>
        <w:rPr>
          <w:color w:val="000000"/>
        </w:rPr>
        <w:t>[21]</w:t>
      </w:r>
      <w:r>
        <w:t xml:space="preserve">: BDCA1, BST2, CEACAM1, CMPK2, CXCL10, CXCL9, DDX60, DNAJA1, EIFAK2, EPSTI1, GBP1, GBP4, GBP5, </w:t>
      </w:r>
      <w:r>
        <w:lastRenderedPageBreak/>
        <w:t>HERC5, HERC6, IFI16, IFI27, IFI35, IFI44, IFI44L, IFI6, IFIH1, IFIT1, IFIT2, IFIT3, IFIT5, IFITM1, IFITM3, IL1RN, IL6, IRF1, IRF7, ISG15, ISG20, LAMP3, LGALS3BP, LY6E, MX1, MX2, MYD88, NC0A7, NT5C3B, OAS1, OAS2, OAS3, OASL, PARP12, PARP9, PHF11, PLSCR1, PRKR, PSMB9, RSAD2, RTP4, SAMD9L, SERPING1, SIGLEC1, SOCS1, SP100, SP140, SPATS2L, STAT1, TAP1, TNFAIP6, TNFSF10, TRIM38, TYK2, UB2L6, UNC93B1, USP18, XAF1 y ZBP1. El panel incluyó además 5 genes de referencia (</w:t>
      </w:r>
      <w:proofErr w:type="spellStart"/>
      <w:r>
        <w:t>housekeeping</w:t>
      </w:r>
      <w:proofErr w:type="spellEnd"/>
      <w:r>
        <w:t>): ALAS1, G6PD, HPRT1, POLR2A y TBP, y 12 sondas de control interno de la plataforma (6 controles negativos NEG_A–NEG_F y 6 controles positivos POS_A–POS_F).</w:t>
      </w:r>
    </w:p>
    <w:p w14:paraId="38535929" w14:textId="77777777" w:rsidR="00097466" w:rsidRDefault="00000000">
      <w:pPr>
        <w:pStyle w:val="Ttulo3"/>
        <w:numPr>
          <w:ilvl w:val="2"/>
          <w:numId w:val="17"/>
        </w:numPr>
      </w:pPr>
      <w:r>
        <w:t>Control de calidad</w:t>
      </w:r>
    </w:p>
    <w:p w14:paraId="70904CC3" w14:textId="77777777" w:rsidR="00097466" w:rsidRDefault="00000000">
      <w:r>
        <w:t>Previamente a la normalización se evaluaron los tres tipos de sondas de control interno:</w:t>
      </w:r>
    </w:p>
    <w:p w14:paraId="6ADDD0FE" w14:textId="77777777" w:rsidR="00097466" w:rsidRDefault="00000000">
      <w:pPr>
        <w:numPr>
          <w:ilvl w:val="0"/>
          <w:numId w:val="5"/>
        </w:numPr>
        <w:pBdr>
          <w:top w:val="nil"/>
          <w:left w:val="nil"/>
          <w:bottom w:val="nil"/>
          <w:right w:val="nil"/>
          <w:between w:val="nil"/>
        </w:pBdr>
        <w:spacing w:after="0"/>
        <w:rPr>
          <w:color w:val="000000"/>
        </w:rPr>
      </w:pPr>
      <w:r>
        <w:rPr>
          <w:color w:val="000000"/>
        </w:rPr>
        <w:t>Controles negativos: se calcularon estadísticos descriptivos (media, desviación estándar, mediana y máximo) de las sondas NEG_A–NEG_F para estimar el nivel de señal inespecífica del ensayo.</w:t>
      </w:r>
    </w:p>
    <w:p w14:paraId="5AA79FBA" w14:textId="77777777" w:rsidR="00097466" w:rsidRDefault="00000000">
      <w:pPr>
        <w:numPr>
          <w:ilvl w:val="0"/>
          <w:numId w:val="5"/>
        </w:numPr>
        <w:pBdr>
          <w:top w:val="nil"/>
          <w:left w:val="nil"/>
          <w:bottom w:val="nil"/>
          <w:right w:val="nil"/>
          <w:between w:val="nil"/>
        </w:pBdr>
        <w:spacing w:before="0" w:after="0"/>
        <w:rPr>
          <w:color w:val="000000"/>
        </w:rPr>
      </w:pPr>
      <w:r>
        <w:rPr>
          <w:color w:val="000000"/>
        </w:rPr>
        <w:t xml:space="preserve">Controles positivos: se revisó la linealidad de los recuentos de POS_A–POS_E respecto a sus concentraciones conocidas (0,5–128 </w:t>
      </w:r>
      <w:proofErr w:type="spellStart"/>
      <w:r>
        <w:rPr>
          <w:color w:val="000000"/>
        </w:rPr>
        <w:t>fM</w:t>
      </w:r>
      <w:proofErr w:type="spellEnd"/>
      <w:r>
        <w:rPr>
          <w:color w:val="000000"/>
        </w:rPr>
        <w:t>). La sonda POS_F fue excluida por situarse habitualmente por debajo del límite de detección del sistema.</w:t>
      </w:r>
    </w:p>
    <w:p w14:paraId="6BA77B5C" w14:textId="77777777" w:rsidR="00097466" w:rsidRDefault="00000000">
      <w:pPr>
        <w:numPr>
          <w:ilvl w:val="0"/>
          <w:numId w:val="5"/>
        </w:numPr>
        <w:pBdr>
          <w:top w:val="nil"/>
          <w:left w:val="nil"/>
          <w:bottom w:val="nil"/>
          <w:right w:val="nil"/>
          <w:between w:val="nil"/>
        </w:pBdr>
        <w:spacing w:before="0"/>
        <w:rPr>
          <w:color w:val="000000"/>
        </w:rPr>
      </w:pPr>
      <w:r>
        <w:rPr>
          <w:color w:val="000000"/>
        </w:rPr>
        <w:t xml:space="preserve">Genes </w:t>
      </w:r>
      <w:proofErr w:type="spellStart"/>
      <w:r>
        <w:rPr>
          <w:color w:val="000000"/>
        </w:rPr>
        <w:t>housekeeping</w:t>
      </w:r>
      <w:proofErr w:type="spellEnd"/>
      <w:r>
        <w:rPr>
          <w:color w:val="000000"/>
        </w:rPr>
        <w:t>: se calculó el coeficiente de variación (CV%) de cada gen de referencia para evaluar su estabilidad entre muestras.</w:t>
      </w:r>
    </w:p>
    <w:p w14:paraId="13345BA1" w14:textId="77777777" w:rsidR="00097466" w:rsidRDefault="00000000">
      <w:pPr>
        <w:pStyle w:val="Ttulo3"/>
        <w:numPr>
          <w:ilvl w:val="2"/>
          <w:numId w:val="17"/>
        </w:numPr>
      </w:pPr>
      <w:r>
        <w:t>Normalización</w:t>
      </w:r>
    </w:p>
    <w:p w14:paraId="5AABF5D8" w14:textId="77777777" w:rsidR="00097466" w:rsidRDefault="00000000">
      <w:r>
        <w:t>El procesamiento de los recuentos brutos siguió las siguientes etapas:</w:t>
      </w:r>
    </w:p>
    <w:p w14:paraId="12034ED1" w14:textId="271E75B2" w:rsidR="00097466" w:rsidRDefault="00000000">
      <w:pPr>
        <w:numPr>
          <w:ilvl w:val="0"/>
          <w:numId w:val="6"/>
        </w:numPr>
        <w:pBdr>
          <w:top w:val="nil"/>
          <w:left w:val="nil"/>
          <w:bottom w:val="nil"/>
          <w:right w:val="nil"/>
          <w:between w:val="nil"/>
        </w:pBdr>
        <w:spacing w:after="0"/>
        <w:rPr>
          <w:color w:val="000000"/>
        </w:rPr>
      </w:pPr>
      <w:r>
        <w:rPr>
          <w:color w:val="000000"/>
        </w:rPr>
        <w:t xml:space="preserve">Corrección de </w:t>
      </w:r>
      <w:proofErr w:type="spellStart"/>
      <w:r>
        <w:rPr>
          <w:color w:val="000000"/>
        </w:rPr>
        <w:t>background</w:t>
      </w:r>
      <w:proofErr w:type="spellEnd"/>
      <w:r>
        <w:rPr>
          <w:color w:val="000000"/>
        </w:rPr>
        <w:t xml:space="preserve">. Se aplicó </w:t>
      </w:r>
      <w:proofErr w:type="spellStart"/>
      <w:r>
        <w:rPr>
          <w:color w:val="000000"/>
        </w:rPr>
        <w:t>background</w:t>
      </w:r>
      <w:proofErr w:type="spellEnd"/>
      <w:r>
        <w:rPr>
          <w:color w:val="000000"/>
        </w:rPr>
        <w:t xml:space="preserve"> </w:t>
      </w:r>
      <w:proofErr w:type="spellStart"/>
      <w:r>
        <w:rPr>
          <w:color w:val="000000"/>
        </w:rPr>
        <w:t>thresholding</w:t>
      </w:r>
      <w:proofErr w:type="spellEnd"/>
      <w:r>
        <w:rPr>
          <w:color w:val="000000"/>
        </w:rPr>
        <w:t xml:space="preserve"> fijando como umbral por muestra la media más dos desviaciones estándar de las sondas negativas. Los recuentos inferiores a dicho umbral se igualaron al valor del umbral, y los valores inferiores a 1 se fijaron en 1 para evitar valores negativos o indefinidos en la escala logarítmica posterior. </w:t>
      </w:r>
    </w:p>
    <w:p w14:paraId="23F35842" w14:textId="77777777" w:rsidR="00097466" w:rsidRDefault="00000000">
      <w:pPr>
        <w:numPr>
          <w:ilvl w:val="0"/>
          <w:numId w:val="6"/>
        </w:numPr>
        <w:pBdr>
          <w:top w:val="nil"/>
          <w:left w:val="nil"/>
          <w:bottom w:val="nil"/>
          <w:right w:val="nil"/>
          <w:between w:val="nil"/>
        </w:pBdr>
        <w:spacing w:before="0" w:after="0"/>
        <w:rPr>
          <w:color w:val="000000"/>
        </w:rPr>
      </w:pPr>
      <w:r>
        <w:rPr>
          <w:color w:val="000000"/>
        </w:rPr>
        <w:t xml:space="preserve">Normalización técnica por controles positivos. Se calculó la media geométrica de los controles positivos POS_A–POS_E para cada muestra. A continuación, se calculó la media aritmética de dichas medias geométricas entre todas las muestras, y se dividió este valor global entre la media geométrica individual de cada muestra para obtener un factor de normalización específico por muestra. Los recuentos de cada gen se multiplicaron por el factor correspondiente. Factores fuera del rango 0,3–3 se consideraron indicativos de posibles problemas de calidad. </w:t>
      </w:r>
    </w:p>
    <w:p w14:paraId="498D9585" w14:textId="77777777" w:rsidR="00097466" w:rsidRDefault="00000000">
      <w:pPr>
        <w:numPr>
          <w:ilvl w:val="0"/>
          <w:numId w:val="6"/>
        </w:numPr>
        <w:pBdr>
          <w:top w:val="nil"/>
          <w:left w:val="nil"/>
          <w:bottom w:val="nil"/>
          <w:right w:val="nil"/>
          <w:between w:val="nil"/>
        </w:pBdr>
        <w:spacing w:before="0" w:after="0"/>
        <w:rPr>
          <w:color w:val="000000"/>
        </w:rPr>
      </w:pPr>
      <w:r>
        <w:rPr>
          <w:color w:val="000000"/>
        </w:rPr>
        <w:t xml:space="preserve">Normalización biológica por genes </w:t>
      </w:r>
      <w:proofErr w:type="spellStart"/>
      <w:r>
        <w:rPr>
          <w:color w:val="000000"/>
        </w:rPr>
        <w:t>housekeeping</w:t>
      </w:r>
      <w:proofErr w:type="spellEnd"/>
      <w:r>
        <w:rPr>
          <w:color w:val="000000"/>
        </w:rPr>
        <w:t xml:space="preserve">. Se calculó la media geométrica de los 5 genes </w:t>
      </w:r>
      <w:proofErr w:type="spellStart"/>
      <w:r>
        <w:rPr>
          <w:color w:val="000000"/>
        </w:rPr>
        <w:t>housekeeping</w:t>
      </w:r>
      <w:proofErr w:type="spellEnd"/>
      <w:r>
        <w:rPr>
          <w:color w:val="000000"/>
        </w:rPr>
        <w:t xml:space="preserve"> para cada muestra, siguiendo el mismo procedimiento que en la normalización técnica. Factores fuera del rango 0,1–10 se consideraron problemáticos. Una muestra presentó un factor de 11,67, indicativo de baja calidad o cantidad insuficiente de ARN, y fue excluida del análisis, quedando la cohorte final compuesta por 251 pacientes con LES y 24 controles sanos.</w:t>
      </w:r>
    </w:p>
    <w:p w14:paraId="57ADFC56" w14:textId="77777777" w:rsidR="00097466" w:rsidRDefault="00000000">
      <w:pPr>
        <w:numPr>
          <w:ilvl w:val="0"/>
          <w:numId w:val="6"/>
        </w:numPr>
        <w:pBdr>
          <w:top w:val="nil"/>
          <w:left w:val="nil"/>
          <w:bottom w:val="nil"/>
          <w:right w:val="nil"/>
          <w:between w:val="nil"/>
        </w:pBdr>
        <w:spacing w:before="0"/>
        <w:rPr>
          <w:color w:val="000000"/>
        </w:rPr>
      </w:pPr>
      <w:r>
        <w:rPr>
          <w:color w:val="000000"/>
        </w:rPr>
        <w:lastRenderedPageBreak/>
        <w:t xml:space="preserve">Transformación logarítmica. Los datos normalizados se transformaron a escala log2, estabilizando la varianza y permitiendo expresar las diferencias de expresión como </w:t>
      </w:r>
      <w:proofErr w:type="spellStart"/>
      <w:r>
        <w:rPr>
          <w:color w:val="000000"/>
        </w:rPr>
        <w:t>fold-changes</w:t>
      </w:r>
      <w:proofErr w:type="spellEnd"/>
      <w:r>
        <w:rPr>
          <w:color w:val="000000"/>
        </w:rPr>
        <w:t xml:space="preserve"> aditivos.</w:t>
      </w:r>
    </w:p>
    <w:p w14:paraId="48B65418" w14:textId="77777777" w:rsidR="00097466" w:rsidRDefault="00000000">
      <w:pPr>
        <w:pStyle w:val="Ttulo3"/>
        <w:numPr>
          <w:ilvl w:val="2"/>
          <w:numId w:val="17"/>
        </w:numPr>
      </w:pPr>
      <w:r>
        <w:t>Cálculo del IFN-score</w:t>
      </w:r>
    </w:p>
    <w:p w14:paraId="15C5094B" w14:textId="77777777" w:rsidR="00097466" w:rsidRDefault="00000000">
      <w:r>
        <w:t>Se calcularon dos índices de expresión de la firma de interferón tipo I:</w:t>
      </w:r>
    </w:p>
    <w:p w14:paraId="43023D4A" w14:textId="77777777" w:rsidR="00097466" w:rsidRDefault="00000000">
      <w:pPr>
        <w:numPr>
          <w:ilvl w:val="0"/>
          <w:numId w:val="7"/>
        </w:numPr>
        <w:pBdr>
          <w:top w:val="nil"/>
          <w:left w:val="nil"/>
          <w:bottom w:val="nil"/>
          <w:right w:val="nil"/>
          <w:between w:val="nil"/>
        </w:pBdr>
        <w:spacing w:after="0"/>
        <w:rPr>
          <w:color w:val="000000"/>
        </w:rPr>
      </w:pPr>
      <w:r w:rsidRPr="009008F7">
        <w:rPr>
          <w:color w:val="000000"/>
          <w:lang w:val="en-US"/>
        </w:rPr>
        <w:t xml:space="preserve">IFN-score principal (72 genes ISG). </w:t>
      </w:r>
      <w:r>
        <w:rPr>
          <w:color w:val="000000"/>
        </w:rPr>
        <w:t xml:space="preserve">Para cada gen, se calculó la expresión relativa de cada muestra como la diferencia entre su valor log2 normalizado y la mediana de expresión log2 del gen en los controles sanos. El IFN-score de cada sujeto se definió como la mediana de estas expresiones relativas a lo largo de los 72 ISGs del panel, siguiendo el enfoque descrito por </w:t>
      </w:r>
      <w:proofErr w:type="spellStart"/>
      <w:r>
        <w:rPr>
          <w:color w:val="000000"/>
        </w:rPr>
        <w:t>Chasset</w:t>
      </w:r>
      <w:proofErr w:type="spellEnd"/>
      <w:r>
        <w:rPr>
          <w:color w:val="000000"/>
        </w:rPr>
        <w:t xml:space="preserve"> </w:t>
      </w:r>
      <w:proofErr w:type="gramStart"/>
      <w:r>
        <w:rPr>
          <w:color w:val="000000"/>
        </w:rPr>
        <w:t>et al.[</w:t>
      </w:r>
      <w:proofErr w:type="gramEnd"/>
      <w:r>
        <w:rPr>
          <w:color w:val="000000"/>
        </w:rPr>
        <w:t>25]. Este score constituye el biomarcador principal del estudio.</w:t>
      </w:r>
    </w:p>
    <w:p w14:paraId="47F61ED1" w14:textId="5741DDBB" w:rsidR="00097466" w:rsidRDefault="00000000">
      <w:pPr>
        <w:numPr>
          <w:ilvl w:val="0"/>
          <w:numId w:val="7"/>
        </w:numPr>
        <w:pBdr>
          <w:top w:val="nil"/>
          <w:left w:val="nil"/>
          <w:bottom w:val="nil"/>
          <w:right w:val="nil"/>
          <w:between w:val="nil"/>
        </w:pBdr>
        <w:spacing w:before="0"/>
        <w:rPr>
          <w:color w:val="000000"/>
        </w:rPr>
      </w:pPr>
      <w:r>
        <w:rPr>
          <w:color w:val="000000"/>
        </w:rPr>
        <w:t xml:space="preserve">IFN-score de validación (4 genes clásicos). Como análisis de concordancia con la literatura, se calculó adicionalmente el IFN-score basado en los genes IFI27, IFI44, IFI44L y RSAD2, los más frecuentemente empleados en estudios previos </w:t>
      </w:r>
      <w:sdt>
        <w:sdtPr>
          <w:rPr>
            <w:color w:val="000000"/>
          </w:rPr>
          <w:tag w:val="MENDELEY_CITATION_v3_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"/>
          <w:id w:val="-658764741"/>
          <w:placeholder>
            <w:docPart w:val="DefaultPlaceholder_-1854013440"/>
          </w:placeholder>
        </w:sdtPr>
        <w:sdtContent>
          <w:r w:rsidR="00667B28" w:rsidRPr="00667B28">
            <w:rPr>
              <w:color w:val="000000"/>
            </w:rPr>
            <w:t>[12,25]</w:t>
          </w:r>
        </w:sdtContent>
      </w:sdt>
      <w:r>
        <w:rPr>
          <w:color w:val="000000"/>
        </w:rPr>
        <w:t xml:space="preserve"> aplicando el mismo procedimiento de cálculo.</w:t>
      </w:r>
    </w:p>
    <w:p w14:paraId="48091716" w14:textId="77777777" w:rsidR="00097466" w:rsidRDefault="00000000">
      <w:pPr>
        <w:pStyle w:val="Ttulo3"/>
        <w:numPr>
          <w:ilvl w:val="2"/>
          <w:numId w:val="17"/>
        </w:numPr>
      </w:pPr>
      <w:r>
        <w:t>Clasificación IFN-</w:t>
      </w:r>
      <w:proofErr w:type="spellStart"/>
      <w:r>
        <w:t>high</w:t>
      </w:r>
      <w:proofErr w:type="spellEnd"/>
      <w:r>
        <w:t xml:space="preserve"> / IFN-low</w:t>
      </w:r>
    </w:p>
    <w:p w14:paraId="1FC774B2" w14:textId="48971213" w:rsidR="00097466" w:rsidRDefault="00000000">
      <w:r>
        <w:t>Los pacientes con LES se clasificaron en dos subgrupos según el IFN-score principal: IFN-</w:t>
      </w:r>
      <w:proofErr w:type="spellStart"/>
      <w:r>
        <w:t>high</w:t>
      </w:r>
      <w:proofErr w:type="spellEnd"/>
      <w:r>
        <w:t xml:space="preserve">, con un score igual o superior a la media más dos desviaciones estándar de los controles sanos, e IFN-low, con un score por debajo de dicho umbral. Este criterio es consistente con el empleado en estudios previos </w:t>
      </w:r>
      <w:sdt>
        <w:sdtPr>
          <w:rPr>
            <w:color w:val="000000"/>
          </w:rPr>
          <w:tag w:val="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"/>
          <w:id w:val="965081933"/>
          <w:placeholder>
            <w:docPart w:val="DefaultPlaceholder_-1854013440"/>
          </w:placeholder>
        </w:sdtPr>
        <w:sdtContent>
          <w:r w:rsidR="00667B28" w:rsidRPr="00667B28">
            <w:rPr>
              <w:color w:val="000000"/>
            </w:rPr>
            <w:t>[12,22,25]</w:t>
          </w:r>
        </w:sdtContent>
      </w:sdt>
      <w:r>
        <w:t>.</w:t>
      </w:r>
    </w:p>
    <w:p w14:paraId="41D49200" w14:textId="77777777" w:rsidR="00097466" w:rsidRDefault="00000000">
      <w:r>
        <w:t xml:space="preserve">Se realizó adicionalmente un análisis de sensibilidad del umbral comparando cuatro criterios alternativos (media + 1,5 DE, media + 2 DE, percentil 90 y percentil 95 de los controles sanos), con estimación del intervalo de confianza al 95% del punto de corte principal mediante </w:t>
      </w:r>
      <w:proofErr w:type="spellStart"/>
      <w:r>
        <w:rPr>
          <w:i/>
          <w:iCs/>
        </w:rPr>
        <w:t>bootstrapping</w:t>
      </w:r>
      <w:proofErr w:type="spellEnd"/>
      <w:r>
        <w:t xml:space="preserve"> (n = 1.000 </w:t>
      </w:r>
      <w:proofErr w:type="spellStart"/>
      <w:r>
        <w:t>remuestras</w:t>
      </w:r>
      <w:proofErr w:type="spellEnd"/>
      <w:r>
        <w:t xml:space="preserve">). </w:t>
      </w:r>
    </w:p>
    <w:p w14:paraId="12F1F2D4" w14:textId="77777777" w:rsidR="00097466" w:rsidRDefault="00000000">
      <w:pPr>
        <w:pStyle w:val="Ttulo3"/>
        <w:numPr>
          <w:ilvl w:val="2"/>
          <w:numId w:val="17"/>
        </w:numPr>
      </w:pPr>
      <w:r>
        <w:t>Análisis de normalidad y selección de pruebas estadísticas</w:t>
      </w:r>
    </w:p>
    <w:p w14:paraId="66FD66E9" w14:textId="77777777" w:rsidR="00097466" w:rsidRDefault="00000000">
      <w:r>
        <w:t>La normalidad de la distribución del IFN-score de 72 genes se evaluó en cada grupo de estudio (controles sanos, pacientes LES IFN-</w:t>
      </w:r>
      <w:proofErr w:type="spellStart"/>
      <w:r>
        <w:t>high</w:t>
      </w:r>
      <w:proofErr w:type="spellEnd"/>
      <w:r>
        <w:t xml:space="preserve"> y LES IFN-low) mediante el test de Shapiro-Wilk, complementado con inspección visual de histogramas de densidad y gráficos Q-Q. Dado que ningún grupo presentó distribución normal (p &lt; 0,05 en todos los casos), todos los análisis comparativos posteriores se realizaron mediante pruebas no paramétricas: U de Mann-Whitney para comparaciones entre dos grupos, Kruskal-Wallis para comparaciones múltiples, y correlación de Spearman para el análisis de asociación entre variables continuas.</w:t>
      </w:r>
    </w:p>
    <w:p w14:paraId="26831407" w14:textId="77777777" w:rsidR="00097466" w:rsidRDefault="00000000" w:rsidP="00E41202">
      <w:pPr>
        <w:pStyle w:val="Ttulo3"/>
        <w:numPr>
          <w:ilvl w:val="2"/>
          <w:numId w:val="17"/>
        </w:numPr>
        <w:jc w:val="left"/>
      </w:pPr>
      <w:r>
        <w:t>Comparación del IFN-score entre pacientes y controles</w:t>
      </w:r>
    </w:p>
    <w:p w14:paraId="0DA40C57" w14:textId="77777777" w:rsidR="00097466" w:rsidRDefault="00000000">
      <w:r>
        <w:t xml:space="preserve">La distribución del IFN-score principal se comparó entre pacientes con LES y controles sanos mediante el test de Wilcoxon-Mann-Whitney, con estimación del tamaño del efecto mediante </w:t>
      </w:r>
      <w:r>
        <w:lastRenderedPageBreak/>
        <w:t xml:space="preserve">la r de Rosenthal. Los resultados se visualizaron mediante </w:t>
      </w:r>
      <w:proofErr w:type="spellStart"/>
      <w:r>
        <w:t>boxplot</w:t>
      </w:r>
      <w:proofErr w:type="spellEnd"/>
      <w:r>
        <w:t xml:space="preserve"> con superposición de puntos individuales. Cabe señalar que el grupo control presenta un tamaño muestral reducido (n = 24), por lo que su uso queda restringido al establecimiento del umbral de clasificación y al cálculo de la expresión de referencia para cada gen. No se realizó comparación formal del nivel de expresión gen a gen entre pacientes y controles; el análisis diferencial a nivel génico individual se llevó a cabo exclusivamente dentro de la cohorte LES, comparando los subgrupos IFN-</w:t>
      </w:r>
      <w:proofErr w:type="spellStart"/>
      <w:r>
        <w:t>high</w:t>
      </w:r>
      <w:proofErr w:type="spellEnd"/>
      <w:r>
        <w:t xml:space="preserve"> e IFN-low.</w:t>
      </w:r>
    </w:p>
    <w:p w14:paraId="697A1722" w14:textId="77777777" w:rsidR="00097466" w:rsidRDefault="00000000" w:rsidP="00E41202">
      <w:pPr>
        <w:pStyle w:val="Ttulo3"/>
        <w:numPr>
          <w:ilvl w:val="2"/>
          <w:numId w:val="17"/>
        </w:numPr>
        <w:jc w:val="left"/>
      </w:pPr>
      <w:r>
        <w:t>Caracterización de los subgrupos IFN-</w:t>
      </w:r>
      <w:proofErr w:type="spellStart"/>
      <w:r>
        <w:t>high</w:t>
      </w:r>
      <w:proofErr w:type="spellEnd"/>
      <w:r>
        <w:t xml:space="preserve"> e IFN-low </w:t>
      </w:r>
    </w:p>
    <w:p w14:paraId="0BD64FAB" w14:textId="63E6935B" w:rsidR="00097466" w:rsidRDefault="00000000">
      <w:r>
        <w:t>Para identificar los genes con expresión diferencial entre los subgrupos IFN-</w:t>
      </w:r>
      <w:proofErr w:type="spellStart"/>
      <w:r>
        <w:t>high</w:t>
      </w:r>
      <w:proofErr w:type="spellEnd"/>
      <w:r>
        <w:t xml:space="preserve"> e IFN-low, se aplicó el test de Wilcoxon-Mann-Whitney a cada uno de los 72 ISGs del panel, con corrección de la tasa de falsos positivos mediante el método de </w:t>
      </w:r>
      <w:proofErr w:type="spellStart"/>
      <w:r>
        <w:t>Benjamini-Hochberg</w:t>
      </w:r>
      <w:proofErr w:type="spellEnd"/>
      <w:r>
        <w:t xml:space="preserve"> (FDR &lt; 0,05) y estimación del tamaño del efecto mediante la r de Rosenthal. Los resultados se visualizaron mediante </w:t>
      </w:r>
      <w:proofErr w:type="spellStart"/>
      <w:r>
        <w:t>volcano</w:t>
      </w:r>
      <w:proofErr w:type="spellEnd"/>
      <w:r>
        <w:t xml:space="preserve"> </w:t>
      </w:r>
      <w:proofErr w:type="spellStart"/>
      <w:r>
        <w:t>plot</w:t>
      </w:r>
      <w:proofErr w:type="spellEnd"/>
      <w:r>
        <w:t xml:space="preserve"> (log2 </w:t>
      </w:r>
      <w:proofErr w:type="spellStart"/>
      <w:r>
        <w:t>fold-change</w:t>
      </w:r>
      <w:proofErr w:type="spellEnd"/>
      <w:r>
        <w:t xml:space="preserve"> frente a –log10 del p-valor ajustado). Finalmente, se construyó un </w:t>
      </w:r>
      <w:proofErr w:type="spellStart"/>
      <w:r>
        <w:t>heatmap</w:t>
      </w:r>
      <w:proofErr w:type="spellEnd"/>
      <w:r>
        <w:t xml:space="preserve"> supervisado (genes × subgrupos IFN-</w:t>
      </w:r>
      <w:proofErr w:type="spellStart"/>
      <w:r>
        <w:t>high</w:t>
      </w:r>
      <w:proofErr w:type="spellEnd"/>
      <w:r>
        <w:t xml:space="preserve"> e IFN-low) con </w:t>
      </w:r>
      <w:proofErr w:type="spellStart"/>
      <w:r>
        <w:t>clustering</w:t>
      </w:r>
      <w:proofErr w:type="spellEnd"/>
      <w:r>
        <w:t xml:space="preserve"> jerárquico mediante el método </w:t>
      </w:r>
      <w:proofErr w:type="gramStart"/>
      <w:r>
        <w:t>ward.D</w:t>
      </w:r>
      <w:proofErr w:type="gramEnd"/>
      <w:r>
        <w:t xml:space="preserve">2 sobre distancias euclídeas, para visualizar los módulos de </w:t>
      </w:r>
      <w:proofErr w:type="spellStart"/>
      <w:r>
        <w:t>co</w:t>
      </w:r>
      <w:proofErr w:type="spellEnd"/>
      <w:r>
        <w:t>-expresión génica y confirmar la separación entre subgrupos.</w:t>
      </w:r>
    </w:p>
    <w:p w14:paraId="37BAFE35" w14:textId="77777777" w:rsidR="00097466" w:rsidRDefault="00000000">
      <w:r>
        <w:t>Una vez completado el procesamiento, la normalización y el cálculo de los IFN-scores, todos los datos de expresión génica, los IFN-scores derivados y la clasificación IFN-</w:t>
      </w:r>
      <w:proofErr w:type="spellStart"/>
      <w:r>
        <w:t>high</w:t>
      </w:r>
      <w:proofErr w:type="spellEnd"/>
      <w:r>
        <w:t xml:space="preserve">/IFN-low fueron integrados junto con las variables clínicas e índices de actividad en un único objeto analítico denominado </w:t>
      </w:r>
      <w:proofErr w:type="spellStart"/>
      <w:r>
        <w:rPr>
          <w:i/>
          <w:iCs/>
        </w:rPr>
        <w:t>DataSet_scores_prot_genes</w:t>
      </w:r>
      <w:proofErr w:type="spellEnd"/>
      <w:r>
        <w:t xml:space="preserve">, generado mediante un pipeline reproducible implementado en R (versión 4.4.2) y documentado en formato R </w:t>
      </w:r>
      <w:proofErr w:type="spellStart"/>
      <w:r>
        <w:t>Markdown</w:t>
      </w:r>
      <w:proofErr w:type="spellEnd"/>
      <w:r>
        <w:t xml:space="preserve"> (</w:t>
      </w:r>
      <w:r>
        <w:rPr>
          <w:i/>
          <w:iCs/>
        </w:rPr>
        <w:t xml:space="preserve">Análisis de Expresión Génica y Firma de </w:t>
      </w:r>
      <w:proofErr w:type="spellStart"/>
      <w:r>
        <w:rPr>
          <w:i/>
          <w:iCs/>
        </w:rPr>
        <w:t>Interferón.Rmd</w:t>
      </w:r>
      <w:proofErr w:type="spellEnd"/>
      <w:r>
        <w:t xml:space="preserve">). Este </w:t>
      </w:r>
      <w:proofErr w:type="spellStart"/>
      <w:r>
        <w:t>dataset</w:t>
      </w:r>
      <w:proofErr w:type="spellEnd"/>
      <w:r>
        <w:t xml:space="preserve"> consolidado constituye la estructura de datos de partida para los análisis de asociación de la firma de interferón tipo I con índices de actividad y biomarcadores e integración </w:t>
      </w:r>
      <w:proofErr w:type="spellStart"/>
      <w:r>
        <w:t>multiómica</w:t>
      </w:r>
      <w:proofErr w:type="spellEnd"/>
      <w:r>
        <w:t xml:space="preserve"> posteriores.</w:t>
      </w:r>
    </w:p>
    <w:p w14:paraId="1BB6FBBE" w14:textId="6D1E7D51" w:rsidR="00097466" w:rsidRDefault="00000000">
      <w:pPr>
        <w:pStyle w:val="Ttulo2"/>
        <w:numPr>
          <w:ilvl w:val="1"/>
          <w:numId w:val="17"/>
        </w:numPr>
      </w:pPr>
      <w:bookmarkStart w:id="105" w:name="_Toc229237683"/>
      <w:bookmarkStart w:id="106" w:name="_Toc230792322"/>
      <w:r>
        <w:t xml:space="preserve">Asociación de la firma transcriptómica de </w:t>
      </w:r>
      <w:r w:rsidR="00544557">
        <w:t>IFN-</w:t>
      </w:r>
      <w:r>
        <w:t>I con el resto de variables</w:t>
      </w:r>
      <w:bookmarkEnd w:id="105"/>
      <w:bookmarkEnd w:id="106"/>
    </w:p>
    <w:p w14:paraId="55E45C3F" w14:textId="77777777" w:rsidR="00097466" w:rsidRDefault="00000000">
      <w:r>
        <w:t xml:space="preserve">Las variables categóricas fueron codificadas como factores ordenados cuando presentaban una estructura ordinal natural (niveles de actividad del SLEDAI-2K y SLE-DAS) y como factores nominales en el resto de casos. El SLEDAI-2K se estratificó en cinco niveles de actividad (inactivo: 0; leve: 1–5; moderado: 6–10; alto: 11–19; muy alto: ≥ 20). El SLE-DAS se categorizó en remisión (≤ 2,08), actividad leve (2.08–7.64) y actividad moderada-grave (&gt; 7.64). </w:t>
      </w:r>
    </w:p>
    <w:p w14:paraId="34B3CDE1" w14:textId="77777777" w:rsidR="00097466" w:rsidRDefault="00000000">
      <w:r>
        <w:t>Los análisis de asociación de la firma transcriptómica de interferón tipo I con las variables clínicas, bioquímicas y proteómicas se realizaron con los mismos criterios estadísticos descritos en el apartado 3.3, empleando pruebas no paramétricas dado el incumplimiento generalizado del supuesto de normalidad. La codificación de las variables categóricas ordinales (niveles de actividad SLEDAI-2K y SLE-DAS) siguió los umbrales detallados en el apartado 3.2.</w:t>
      </w:r>
    </w:p>
    <w:p w14:paraId="70EE0747" w14:textId="77777777" w:rsidR="00097466" w:rsidRDefault="00000000">
      <w:pPr>
        <w:pStyle w:val="Ttulo3"/>
        <w:numPr>
          <w:ilvl w:val="2"/>
          <w:numId w:val="17"/>
        </w:numPr>
      </w:pPr>
      <w:r>
        <w:lastRenderedPageBreak/>
        <w:t>Comparativa IFN-</w:t>
      </w:r>
      <w:proofErr w:type="spellStart"/>
      <w:r>
        <w:t>high</w:t>
      </w:r>
      <w:proofErr w:type="spellEnd"/>
      <w:r>
        <w:t xml:space="preserve"> vs. IFN-low con índices de actividad y biomarcadores séricos</w:t>
      </w:r>
    </w:p>
    <w:p w14:paraId="769A2720" w14:textId="4F526F18" w:rsidR="00097466" w:rsidRDefault="00000000">
      <w:r>
        <w:t>Se realizó un análisis bivariante para comparar las características demográficas, clínicas, bioquímicas y proteómicas entre los grupos IFN-</w:t>
      </w:r>
      <w:proofErr w:type="spellStart"/>
      <w:r>
        <w:t>high</w:t>
      </w:r>
      <w:proofErr w:type="spellEnd"/>
      <w:r>
        <w:t xml:space="preserve"> e IFN-low, definidos a partir del IFN-score de 72 genes estimuladores de interferón (ISGs). </w:t>
      </w:r>
    </w:p>
    <w:p w14:paraId="12DBEC0A" w14:textId="287CCA35" w:rsidR="00097466" w:rsidRDefault="00000000">
      <w:r>
        <w:t xml:space="preserve">Las variables continuas se describen mediante mediana e intervalo intercuartílico [IQR] y se compararon mediante el test de Mann-Whitney (Wilcoxon </w:t>
      </w:r>
      <w:proofErr w:type="spellStart"/>
      <w:r>
        <w:t>rank</w:t>
      </w:r>
      <w:proofErr w:type="spellEnd"/>
      <w:r>
        <w:t xml:space="preserve">-sum test), dado el incumplimiento generalizado del supuesto de normalidad evaluado mediante el test de Shapiro-Wilk. Las variables categóricas se presentan como frecuencia absoluta y porcentaje, y se compararon mediante el test exacto de Fisher cuando alguna celda esperada fue inferior a 5. Para controlar la inflación del error de tipo I derivada de la realización de comparaciones múltiples simultáneas, los p-valores de las pruebas de Mann-Whitney se corrigieron mediante el método de </w:t>
      </w:r>
      <w:proofErr w:type="spellStart"/>
      <w:r>
        <w:t>Benjamini-Hochberg</w:t>
      </w:r>
      <w:proofErr w:type="spellEnd"/>
      <w:r>
        <w:t xml:space="preserve"> (False Discovery </w:t>
      </w:r>
      <w:proofErr w:type="spellStart"/>
      <w:r>
        <w:t>Rate</w:t>
      </w:r>
      <w:proofErr w:type="spellEnd"/>
      <w:r>
        <w:t xml:space="preserve">, FDR). Se consideraron estadísticamente significativas las diferencias con p-valor ajustado &lt; 0.05. </w:t>
      </w:r>
    </w:p>
    <w:p w14:paraId="19FB0763" w14:textId="77777777" w:rsidR="00097466" w:rsidRDefault="00000000">
      <w:pPr>
        <w:pStyle w:val="Ttulo3"/>
        <w:numPr>
          <w:ilvl w:val="2"/>
          <w:numId w:val="17"/>
        </w:numPr>
      </w:pPr>
      <w:r>
        <w:t>Correlaciones entre IFN-score e índices de actividad y biomarcadores séricos</w:t>
      </w:r>
    </w:p>
    <w:p w14:paraId="0163FA70" w14:textId="0C00EFA0" w:rsidR="00097466" w:rsidRDefault="00000000">
      <w:r>
        <w:t>Con el objetivo de explorar la asociación lineal monótona entre el IFN-score de 72 ISGs y el conjunto de variables continuas clínicas, bioquímicas y proteómicas, se empleó el coeficiente de correlación de Spearman (ρ), método no paramétrico adecuado para variables que no cumplen el supuesto de normalidad. Este coeficiente cuantifica la fuerza y dirección de la asociación a partir de los rangos de los valores observados, sin asumir una distribución subyacente específica.</w:t>
      </w:r>
    </w:p>
    <w:p w14:paraId="738B48D7" w14:textId="1AF59176" w:rsidR="00097466" w:rsidRDefault="00000000">
      <w:r>
        <w:t xml:space="preserve">Dado el elevado número de pruebas realizadas de forma simultánea, se aplicó corrección por comparaciones múltiples mediante el método de </w:t>
      </w:r>
      <w:proofErr w:type="spellStart"/>
      <w:r>
        <w:t>Benjamini-Hochberg</w:t>
      </w:r>
      <w:proofErr w:type="spellEnd"/>
      <w:r>
        <w:t xml:space="preserve"> (FDR) sobre el conjunto global de p-valores. Se consideraron estadísticamente significativas aquellas correlaciones con p-valor ajustado &lt; 0.05. </w:t>
      </w:r>
    </w:p>
    <w:p w14:paraId="41765C1D" w14:textId="77777777" w:rsidR="00097466" w:rsidRDefault="00000000">
      <w:pPr>
        <w:pStyle w:val="Ttulo3"/>
        <w:numPr>
          <w:ilvl w:val="2"/>
          <w:numId w:val="17"/>
        </w:numPr>
      </w:pPr>
      <w:r>
        <w:t>Regresión logística univariable y multivariable. Predictores de la clasificación IFN-</w:t>
      </w:r>
      <w:proofErr w:type="spellStart"/>
      <w:r>
        <w:t>high</w:t>
      </w:r>
      <w:proofErr w:type="spellEnd"/>
    </w:p>
    <w:p w14:paraId="74B89B39" w14:textId="77777777" w:rsidR="00097466" w:rsidRDefault="00000000">
      <w:r>
        <w:t>Con el fin de identificar los factores clínicos y bioquímicos asociados a la pertenencia al grupo IFN-</w:t>
      </w:r>
      <w:proofErr w:type="spellStart"/>
      <w:r>
        <w:t>high</w:t>
      </w:r>
      <w:proofErr w:type="spellEnd"/>
      <w:r>
        <w:t>, se llevó a cabo un análisis de regresión logística binaria, tomando como variable respuesta la clasificación dicotómica de los pacientes en IFN-</w:t>
      </w:r>
      <w:proofErr w:type="spellStart"/>
      <w:r>
        <w:t>high</w:t>
      </w:r>
      <w:proofErr w:type="spellEnd"/>
      <w:r>
        <w:t xml:space="preserve"> (codificado como 1) e IFN-low (codificado como 0), derivada del índice de puntuación de genes estimulados por interferón (IGS).</w:t>
      </w:r>
    </w:p>
    <w:p w14:paraId="6927DFFA" w14:textId="0D1D8C74" w:rsidR="00097466" w:rsidRDefault="00000000">
      <w:r>
        <w:t xml:space="preserve">En una primera etapa, se ajustaron modelos de </w:t>
      </w:r>
      <w:r>
        <w:rPr>
          <w:b/>
          <w:bCs/>
        </w:rPr>
        <w:t>regresión logística univariable</w:t>
      </w:r>
      <w:r>
        <w:t xml:space="preserve"> para cada una de las siguientes variables independientes: edad, edad al diagnóstico, SLEDAI-2K, SLE-DAS, SLICC-DI, colesterol HDL, apolipoproteína A-I (Apo A-I), IFN-α sérico, IFN-γ sérico, IL-2 sérica y GOT/AST. Para cada modelo se estimaron los </w:t>
      </w:r>
      <w:proofErr w:type="spellStart"/>
      <w:r>
        <w:t>odds</w:t>
      </w:r>
      <w:proofErr w:type="spellEnd"/>
      <w:r>
        <w:t xml:space="preserve"> ratios (OR) con sus intervalos de confianza al 95% mediante el método de perfil de verosimilitud (</w:t>
      </w:r>
      <w:proofErr w:type="spellStart"/>
      <w:r>
        <w:t>profile</w:t>
      </w:r>
      <w:proofErr w:type="spellEnd"/>
      <w:r>
        <w:t xml:space="preserve"> </w:t>
      </w:r>
      <w:proofErr w:type="spellStart"/>
      <w:r>
        <w:t>likelihood</w:t>
      </w:r>
      <w:proofErr w:type="spellEnd"/>
      <w:r>
        <w:t xml:space="preserve">), dada su mayor precisión respecto al método de Wald en muestras moderadas. La significación estadística se evaluó </w:t>
      </w:r>
      <w:r>
        <w:lastRenderedPageBreak/>
        <w:t xml:space="preserve">mediante el estadístico de Wald, y los p-valores resultantes se corrigieron por comparaciones múltiples aplicando el método de </w:t>
      </w:r>
      <w:proofErr w:type="spellStart"/>
      <w:r>
        <w:t>Benjamini-Hochberg</w:t>
      </w:r>
      <w:proofErr w:type="spellEnd"/>
      <w:r>
        <w:t xml:space="preserve"> para el control de la tasa de falso descubrimiento (FDR).</w:t>
      </w:r>
    </w:p>
    <w:p w14:paraId="39C866D7" w14:textId="59DA2885" w:rsidR="00097466" w:rsidRDefault="00000000">
      <w:r>
        <w:t xml:space="preserve">En una segunda etapa, se construyó un modelo de </w:t>
      </w:r>
      <w:r>
        <w:rPr>
          <w:b/>
          <w:bCs/>
        </w:rPr>
        <w:t>regresión logística multivariable</w:t>
      </w:r>
      <w:r>
        <w:t xml:space="preserve"> incluyendo como candidatas aquellas variables con p-</w:t>
      </w:r>
      <w:proofErr w:type="spellStart"/>
      <w:r>
        <w:t>adj</w:t>
      </w:r>
      <w:proofErr w:type="spellEnd"/>
      <w:r>
        <w:t xml:space="preserve"> &lt; 0,05 en el análisis univariable: edad, SLEDAI-2K, SLICC-DI, HDL, IFN-α e IFN-γ. </w:t>
      </w:r>
    </w:p>
    <w:p w14:paraId="581E2AF5" w14:textId="77777777" w:rsidR="00097466" w:rsidRDefault="00000000">
      <w:r>
        <w:t>La selección final de variables se realizó mediante un procedimiento de eliminación hacia atrás (</w:t>
      </w:r>
      <w:proofErr w:type="spellStart"/>
      <w:r>
        <w:t>backward</w:t>
      </w:r>
      <w:proofErr w:type="spellEnd"/>
      <w:r>
        <w:t xml:space="preserve"> </w:t>
      </w:r>
      <w:proofErr w:type="spellStart"/>
      <w:r>
        <w:t>stepwise</w:t>
      </w:r>
      <w:proofErr w:type="spellEnd"/>
      <w:r>
        <w:t xml:space="preserve">) basado en el criterio de información de Akaike (AIC), que elimina iterativamente las variables cuya exclusión no incrementa el AIC del modelo. Los OR ajustados e IC 95% del modelo final se estimaron igualmente por perfil de verosimilitud, y los p-valores se corrigieron por FDR mediante el método de </w:t>
      </w:r>
      <w:proofErr w:type="spellStart"/>
      <w:r>
        <w:t>Benjamini-Hochberg</w:t>
      </w:r>
      <w:proofErr w:type="spellEnd"/>
      <w:r>
        <w:t xml:space="preserve">. </w:t>
      </w:r>
    </w:p>
    <w:p w14:paraId="1862E594" w14:textId="77777777" w:rsidR="00097466" w:rsidRDefault="00000000">
      <w:pPr>
        <w:pStyle w:val="Ttulo3"/>
        <w:numPr>
          <w:ilvl w:val="2"/>
          <w:numId w:val="17"/>
        </w:numPr>
      </w:pPr>
      <w:r>
        <w:t>Regresión lineal múltiple del IFN-score</w:t>
      </w:r>
    </w:p>
    <w:p w14:paraId="2900F923" w14:textId="64A926B5" w:rsidR="00046BB8" w:rsidRDefault="00000000" w:rsidP="00046BB8">
      <w:r>
        <w:t>Para explorar los determinantes clínicos y bioquímicos de la magnitud de la firma de interferón tipo I, se planteó un modelo de regresión lineal múltiple tomando como variable dependiente el IFN</w:t>
      </w:r>
      <w:r>
        <w:rPr>
          <w:rFonts w:ascii="Cambria Math" w:eastAsia="Cambria Math" w:hAnsi="Cambria Math" w:cs="Cambria Math"/>
        </w:rPr>
        <w:t>‑</w:t>
      </w:r>
      <w:r>
        <w:t>score continuo de 72 ISGs.</w:t>
      </w:r>
      <w:r w:rsidR="00046BB8">
        <w:t xml:space="preserve"> </w:t>
      </w:r>
      <w:r>
        <w:t>Como posibles predictores se consideraron variables demográficas, índices de actividad de la enfermedad, parámetros del perfil lipídico y citocinas séricas que habían mostrado asociación con el IFN</w:t>
      </w:r>
      <w:r>
        <w:rPr>
          <w:rFonts w:ascii="Cambria Math" w:eastAsia="Cambria Math" w:hAnsi="Cambria Math" w:cs="Cambria Math"/>
        </w:rPr>
        <w:t>‑</w:t>
      </w:r>
      <w:r>
        <w:t xml:space="preserve">score en los análisis </w:t>
      </w:r>
      <w:proofErr w:type="spellStart"/>
      <w:r>
        <w:t>univariables</w:t>
      </w:r>
      <w:proofErr w:type="spellEnd"/>
      <w:r>
        <w:t xml:space="preserve"> (correlaciones de Spearman). </w:t>
      </w:r>
    </w:p>
    <w:p w14:paraId="4BE9AB4A" w14:textId="428A3BBD" w:rsidR="00097466" w:rsidRDefault="00000000">
      <w:r>
        <w:t>A partir de un modelo inicial que incluía todas las variables candidatas no colineales, se aplicó un procedimiento de selección hacia atrás (</w:t>
      </w:r>
      <w:proofErr w:type="spellStart"/>
      <w:r>
        <w:t>backward</w:t>
      </w:r>
      <w:proofErr w:type="spellEnd"/>
      <w:r>
        <w:t xml:space="preserve"> </w:t>
      </w:r>
      <w:proofErr w:type="spellStart"/>
      <w:r>
        <w:t>stepwise</w:t>
      </w:r>
      <w:proofErr w:type="spellEnd"/>
      <w:r>
        <w:t>) basado en el criterio de información de Akaike (AIC). En cada iteración se eliminó la covariable cuya exclusión producía la menor pérdida de ajuste según el AIC, deteniéndose el proceso cuando ninguna eliminación adicional mejoraba este criterio.</w:t>
      </w:r>
    </w:p>
    <w:p w14:paraId="5E5D1D95" w14:textId="77777777" w:rsidR="00097466" w:rsidRDefault="00000000">
      <w:r>
        <w:t>Los resultados del modelo final se planificaron para ser presentados como coeficientes de regresión (β) con sus intervalos de confianza al 95 %, junto con los p</w:t>
      </w:r>
      <w:r>
        <w:rPr>
          <w:rFonts w:ascii="Cambria Math" w:eastAsia="Cambria Math" w:hAnsi="Cambria Math" w:cs="Cambria Math"/>
        </w:rPr>
        <w:t>‑</w:t>
      </w:r>
      <w:r>
        <w:t xml:space="preserve">valores bilaterales de cada predictor. Adicionalmente, se contempló el cálculo del R² y R² ajustado como medidas globales de capacidad explicativa, y la aplicación de una corrección por comparaciones múltiples mediante el método de </w:t>
      </w:r>
      <w:proofErr w:type="spellStart"/>
      <w:r>
        <w:t>Benjamini</w:t>
      </w:r>
      <w:proofErr w:type="spellEnd"/>
      <w:r>
        <w:t>–</w:t>
      </w:r>
      <w:proofErr w:type="spellStart"/>
      <w:r>
        <w:t>Hochberg</w:t>
      </w:r>
      <w:proofErr w:type="spellEnd"/>
      <w:r>
        <w:t xml:space="preserve"> (FDR) sobre el conjunto de coeficientes del modelo, cuando se considerara necesario para la interpretación de la significación estadística.</w:t>
      </w:r>
    </w:p>
    <w:p w14:paraId="3544C5F4" w14:textId="77777777" w:rsidR="00097466" w:rsidRDefault="00000000">
      <w:pPr>
        <w:pStyle w:val="Ttulo3"/>
        <w:numPr>
          <w:ilvl w:val="2"/>
          <w:numId w:val="17"/>
        </w:numPr>
      </w:pPr>
      <w:r>
        <w:t>Curvas ROC y AUC</w:t>
      </w:r>
    </w:p>
    <w:p w14:paraId="2A6AFFE7" w14:textId="2ECCA50B" w:rsidR="00097466" w:rsidRDefault="00000000">
      <w:r>
        <w:t>La capacidad discriminativa de cada biomarcador para identificar a los pacientes IFN</w:t>
      </w:r>
      <w:r>
        <w:rPr>
          <w:rFonts w:ascii="Cambria Math" w:eastAsia="Cambria Math" w:hAnsi="Cambria Math" w:cs="Cambria Math"/>
        </w:rPr>
        <w:t>‑</w:t>
      </w:r>
      <w:proofErr w:type="spellStart"/>
      <w:r>
        <w:t>high</w:t>
      </w:r>
      <w:proofErr w:type="spellEnd"/>
      <w:r>
        <w:t xml:space="preserve"> se evaluó mediante análisis de curvas ROC (</w:t>
      </w:r>
      <w:r>
        <w:rPr>
          <w:i/>
          <w:iCs/>
        </w:rPr>
        <w:t xml:space="preserve">Receiver </w:t>
      </w:r>
      <w:proofErr w:type="spellStart"/>
      <w:r>
        <w:rPr>
          <w:i/>
          <w:iCs/>
        </w:rPr>
        <w:t>Operating</w:t>
      </w:r>
      <w:proofErr w:type="spellEnd"/>
      <w:r>
        <w:rPr>
          <w:i/>
          <w:iCs/>
        </w:rPr>
        <w:t xml:space="preserve"> </w:t>
      </w:r>
      <w:proofErr w:type="spellStart"/>
      <w:r>
        <w:rPr>
          <w:i/>
          <w:iCs/>
        </w:rPr>
        <w:t>Characteristic</w:t>
      </w:r>
      <w:proofErr w:type="spellEnd"/>
      <w:r>
        <w:t xml:space="preserve">), utilizando como variable respuesta la clasificación binaria </w:t>
      </w:r>
      <w:proofErr w:type="spellStart"/>
      <w:r>
        <w:t>ifn_bin</w:t>
      </w:r>
      <w:proofErr w:type="spellEnd"/>
      <w:r>
        <w:t xml:space="preserve"> (IFN</w:t>
      </w:r>
      <w:r>
        <w:rPr>
          <w:rFonts w:ascii="Cambria Math" w:eastAsia="Cambria Math" w:hAnsi="Cambria Math" w:cs="Cambria Math"/>
        </w:rPr>
        <w:t>‑</w:t>
      </w:r>
      <w:proofErr w:type="spellStart"/>
      <w:r>
        <w:t>high</w:t>
      </w:r>
      <w:proofErr w:type="spellEnd"/>
      <w:r>
        <w:t xml:space="preserve"> vs. IFN</w:t>
      </w:r>
      <w:r>
        <w:rPr>
          <w:rFonts w:ascii="Cambria Math" w:eastAsia="Cambria Math" w:hAnsi="Cambria Math" w:cs="Cambria Math"/>
        </w:rPr>
        <w:t>‑</w:t>
      </w:r>
      <w:r>
        <w:t xml:space="preserve">low). </w:t>
      </w:r>
      <w:r w:rsidR="00046BB8">
        <w:t>S</w:t>
      </w:r>
      <w:r>
        <w:t>e evaluó la capacidad discriminativa de biomarcadores clínicos y séricos independientes —el IFN</w:t>
      </w:r>
      <w:r>
        <w:rPr>
          <w:rFonts w:ascii="Cambria Math" w:eastAsia="Cambria Math" w:hAnsi="Cambria Math" w:cs="Cambria Math"/>
        </w:rPr>
        <w:t>‑</w:t>
      </w:r>
      <w:r>
        <w:t>α sérico (</w:t>
      </w:r>
      <w:proofErr w:type="spellStart"/>
      <w:r>
        <w:t>IFNapgml</w:t>
      </w:r>
      <w:proofErr w:type="spellEnd"/>
      <w:r>
        <w:t>), el índice de actividad global SLEDAI</w:t>
      </w:r>
      <w:r>
        <w:rPr>
          <w:rFonts w:ascii="Cambria Math" w:eastAsia="Cambria Math" w:hAnsi="Cambria Math" w:cs="Cambria Math"/>
        </w:rPr>
        <w:t>‑</w:t>
      </w:r>
      <w:r>
        <w:t>2K y las fracciones del complemento C3 y C4 — para reproducir la categorización basada en la firma transcriptómica.</w:t>
      </w:r>
    </w:p>
    <w:p w14:paraId="117D3700" w14:textId="77777777" w:rsidR="00097466" w:rsidRDefault="00000000">
      <w:r>
        <w:lastRenderedPageBreak/>
        <w:t xml:space="preserve">El AUC de cada curva se estimó mediante el método no paramétrico de </w:t>
      </w:r>
      <w:proofErr w:type="spellStart"/>
      <w:r>
        <w:t>DeLong</w:t>
      </w:r>
      <w:proofErr w:type="spellEnd"/>
      <w:r>
        <w:t xml:space="preserve">, obteniéndose el intervalo de confianza al 95%. Los análisis se realizaron sobre los casos con datos disponibles para cada biomarcador, excluyendo </w:t>
      </w:r>
      <w:proofErr w:type="spellStart"/>
      <w:r>
        <w:t>pairwise</w:t>
      </w:r>
      <w:proofErr w:type="spellEnd"/>
      <w:r>
        <w:t xml:space="preserve"> los valores perdidos.</w:t>
      </w:r>
    </w:p>
    <w:p w14:paraId="0BB3B8F8" w14:textId="77777777" w:rsidR="00097466" w:rsidRDefault="00000000">
      <w:r>
        <w:t xml:space="preserve">Las diferencias entre el AUC de cada biomarcador comparador y el AUC de referencia se evaluaron mediante el test de </w:t>
      </w:r>
      <w:proofErr w:type="spellStart"/>
      <w:r>
        <w:t>DeLong</w:t>
      </w:r>
      <w:proofErr w:type="spellEnd"/>
      <w:r>
        <w:t xml:space="preserve"> para curvas ROC dependientes, implementado en la función </w:t>
      </w:r>
      <w:proofErr w:type="spellStart"/>
      <w:r>
        <w:t>roc.</w:t>
      </w:r>
      <w:proofErr w:type="gramStart"/>
      <w:r>
        <w:t>test</w:t>
      </w:r>
      <w:proofErr w:type="spellEnd"/>
      <w:r>
        <w:t>(</w:t>
      </w:r>
      <w:proofErr w:type="gramEnd"/>
      <w:r>
        <w:t xml:space="preserve">) de </w:t>
      </w:r>
      <w:proofErr w:type="spellStart"/>
      <w:r>
        <w:t>pROC</w:t>
      </w:r>
      <w:proofErr w:type="spellEnd"/>
      <w:r>
        <w:t xml:space="preserve">. Dado que las curvas comparten la misma muestra de pacientes, las comparaciones son dependientes y la prueba de </w:t>
      </w:r>
      <w:proofErr w:type="spellStart"/>
      <w:r>
        <w:t>DeLong</w:t>
      </w:r>
      <w:proofErr w:type="spellEnd"/>
      <w:r>
        <w:t xml:space="preserve"> tiene en cuenta la covarianza entre las AUC estimadas.</w:t>
      </w:r>
    </w:p>
    <w:p w14:paraId="08CBBDE4" w14:textId="77777777" w:rsidR="00097466" w:rsidRDefault="00000000">
      <w:r>
        <w:t>Se consideraron estadísticamente significativas las diferencias con p &lt; 0,05 (contraste bilateral). No se aplicó corrección por comparaciones múltiples en este bloque, dado que el número de comparadores fue limitado y preespecificado (n = 4), lo que minimiza el riesgo de inflación del error de tipo I.</w:t>
      </w:r>
    </w:p>
    <w:p w14:paraId="7ADD47C8" w14:textId="487073DD" w:rsidR="00097466" w:rsidRDefault="00000000">
      <w:r>
        <w:t>Una vez completados los análisis de asociación bivariante, multivariable y de discriminación diagnóstica, todos los resultados derivados —incluyendo las tablas de comparación IFN-</w:t>
      </w:r>
      <w:proofErr w:type="spellStart"/>
      <w:r>
        <w:t>high</w:t>
      </w:r>
      <w:proofErr w:type="spellEnd"/>
      <w:r>
        <w:t xml:space="preserve">/IFN-low, los coeficientes de correlación de Spearman, los modelos de regresión logística y lineal, y las curvas ROC— fueron integrados junto con las variables clínicas, bioquímicas y de expresión génica en un único objeto analítico denominado </w:t>
      </w:r>
      <w:proofErr w:type="spellStart"/>
      <w:r>
        <w:t>DataSet_CorrelacionBivariada</w:t>
      </w:r>
      <w:proofErr w:type="spellEnd"/>
      <w:r>
        <w:t xml:space="preserve">, generado mediante un pipeline reproducible implementado en R (versión 4.4.2) y documentado en formato R </w:t>
      </w:r>
      <w:proofErr w:type="spellStart"/>
      <w:r>
        <w:t>Markdown</w:t>
      </w:r>
      <w:proofErr w:type="spellEnd"/>
      <w:r>
        <w:t xml:space="preserve"> (</w:t>
      </w:r>
      <w:r>
        <w:rPr>
          <w:i/>
          <w:iCs/>
        </w:rPr>
        <w:t xml:space="preserve">Asociación de la firma transcriptómica de interferón tipo I con índices de actividad y biomarcadores séricos en </w:t>
      </w:r>
      <w:proofErr w:type="spellStart"/>
      <w:r>
        <w:rPr>
          <w:i/>
          <w:iCs/>
        </w:rPr>
        <w:t>LES.Rmd</w:t>
      </w:r>
      <w:proofErr w:type="spellEnd"/>
      <w:r>
        <w:t xml:space="preserve">). Este </w:t>
      </w:r>
      <w:proofErr w:type="spellStart"/>
      <w:r>
        <w:t>dataset</w:t>
      </w:r>
      <w:proofErr w:type="spellEnd"/>
      <w:r>
        <w:t xml:space="preserve"> consolidado constituye la estructura de datos de partida para la integración </w:t>
      </w:r>
      <w:proofErr w:type="spellStart"/>
      <w:r>
        <w:t>multiómica</w:t>
      </w:r>
      <w:proofErr w:type="spellEnd"/>
      <w:r w:rsidR="00046BB8">
        <w:t xml:space="preserve"> y construcción del modelo predictivo</w:t>
      </w:r>
      <w:r>
        <w:t>.</w:t>
      </w:r>
    </w:p>
    <w:p w14:paraId="1617B4A7" w14:textId="77777777" w:rsidR="00CF1223" w:rsidRDefault="0045279C" w:rsidP="00CF1223">
      <w:pPr>
        <w:pStyle w:val="Ttulo2"/>
        <w:numPr>
          <w:ilvl w:val="1"/>
          <w:numId w:val="17"/>
        </w:numPr>
      </w:pPr>
      <w:bookmarkStart w:id="107" w:name="_Toc229237684"/>
      <w:bookmarkStart w:id="108" w:name="_Toc230792323"/>
      <w:r w:rsidRPr="0045279C">
        <w:t>Integración multi-</w:t>
      </w:r>
      <w:proofErr w:type="spellStart"/>
      <w:r w:rsidRPr="0045279C">
        <w:t>ómica</w:t>
      </w:r>
      <w:proofErr w:type="spellEnd"/>
      <w:r w:rsidRPr="0045279C">
        <w:t xml:space="preserve"> no supervisada: MOFA2</w:t>
      </w:r>
      <w:bookmarkEnd w:id="107"/>
      <w:bookmarkEnd w:id="108"/>
    </w:p>
    <w:p w14:paraId="267A1AD9" w14:textId="77777777" w:rsidR="00A34650" w:rsidRDefault="00A34650" w:rsidP="00CF1223">
      <w:pPr>
        <w:pStyle w:val="Ttulo3"/>
        <w:numPr>
          <w:ilvl w:val="2"/>
          <w:numId w:val="17"/>
        </w:numPr>
      </w:pPr>
      <w:r>
        <w:t>Población a estudio</w:t>
      </w:r>
    </w:p>
    <w:p w14:paraId="3564C8CE" w14:textId="77777777" w:rsidR="00A34650" w:rsidRPr="00A34650" w:rsidRDefault="00A34650" w:rsidP="00A34650">
      <w:r w:rsidRPr="00A34650">
        <w:t>Se incluyeron en el análisis los 251 pacientes con diagnóstico confirmado de LES. Los controles sanos (n = 24) fueron excluidos por carecer de variables clínicas de actividad y remisión lúpica, que constituyen el marco de validación externa del modelo.</w:t>
      </w:r>
    </w:p>
    <w:p w14:paraId="767855BC" w14:textId="77777777" w:rsidR="0045279C" w:rsidRDefault="0045279C" w:rsidP="00CF1223">
      <w:pPr>
        <w:pStyle w:val="Ttulo3"/>
        <w:numPr>
          <w:ilvl w:val="2"/>
          <w:numId w:val="17"/>
        </w:numPr>
      </w:pPr>
      <w:r w:rsidRPr="00CF1223">
        <w:t>Preparación de los datos de entrada</w:t>
      </w:r>
    </w:p>
    <w:p w14:paraId="017DF168" w14:textId="77777777" w:rsidR="00CF1223" w:rsidRDefault="00CF1223" w:rsidP="00CF1223">
      <w:r>
        <w:t>El modelo MOFA2 se entrenó sobre dos bloques de datos multi-</w:t>
      </w:r>
      <w:proofErr w:type="spellStart"/>
      <w:r>
        <w:t>ómicos</w:t>
      </w:r>
      <w:proofErr w:type="spellEnd"/>
      <w:r>
        <w:t xml:space="preserve"> medidos en las mismas 251 muestras de pacientes con LES con datos completos en ambas capas:</w:t>
      </w:r>
    </w:p>
    <w:p w14:paraId="57A2C9AB" w14:textId="77777777" w:rsidR="00CF1223" w:rsidRDefault="00CF1223" w:rsidP="00CF1223">
      <w:pPr>
        <w:pStyle w:val="Prrafodelista"/>
        <w:numPr>
          <w:ilvl w:val="0"/>
          <w:numId w:val="23"/>
        </w:numPr>
      </w:pPr>
      <w:r>
        <w:t>Bloque 1 — Transcriptómica ISGs: matriz de expresión normalizada de los 72 genes estimulados por interferón (ISGs). Los valores de expresión se transformaron logarítmicamente (log₂) antes de su incorporación al modelo.</w:t>
      </w:r>
    </w:p>
    <w:p w14:paraId="1B1F8961" w14:textId="01BAFEA1" w:rsidR="00CF1223" w:rsidRDefault="00CF1223" w:rsidP="00CF1223">
      <w:pPr>
        <w:pStyle w:val="Prrafodelista"/>
        <w:numPr>
          <w:ilvl w:val="0"/>
          <w:numId w:val="23"/>
        </w:numPr>
      </w:pPr>
      <w:r>
        <w:t>Bloque 2 — Proteómica sérica: panel proteómico sérico multicomponente, del que se retuvieron las 18 variables con un porcentaje de valores faltantes inferior al 70%: IFN-α, IFN-</w:t>
      </w:r>
      <w:r w:rsidR="00D953E8" w:rsidRPr="00731B2C">
        <w:rPr>
          <w:rFonts w:eastAsia="Times New Roman"/>
          <w:color w:val="000000"/>
          <w:sz w:val="20"/>
          <w:szCs w:val="20"/>
          <w:lang w:val="es-ES"/>
        </w:rPr>
        <w:t>γ</w:t>
      </w:r>
      <w:r>
        <w:t xml:space="preserve">, IL-2, IL-6, IL-8, BAFF, C3, C4, glucosa, insulina, péptido C, índice HOMA-IR, </w:t>
      </w:r>
      <w:r>
        <w:lastRenderedPageBreak/>
        <w:t>colesterol total, triglicéridos, HDL, Apo A1, creatinina y lipoproteína(a). Las variables con &gt;70% de datos faltantes (GOT/AST, GPT/ALT, GGT, proteínas totales y BAFF en algunos subconjuntos) fueron excluidas del modelo MOFA2. Los valores proteómicos se estandarizaron (media 0, desviación típica 1) por variable antes del entrenamiento.</w:t>
      </w:r>
    </w:p>
    <w:p w14:paraId="23E60E87" w14:textId="1B2A73E2" w:rsidR="00CF1223" w:rsidRPr="00CF1223" w:rsidRDefault="00CF1223" w:rsidP="00CF1223">
      <w:r>
        <w:t xml:space="preserve">No se realizó imputación de valores faltantes en el bloque proteómico; el mecanismo de inferencia variacional de MOFA2 gestiona </w:t>
      </w:r>
      <w:r w:rsidR="00972B10">
        <w:t>nativamente los</w:t>
      </w:r>
      <w:r>
        <w:t xml:space="preserve"> datos ausentes mediante la integración sobre los valores no observados durante la optimización del ELBO.</w:t>
      </w:r>
    </w:p>
    <w:p w14:paraId="4BC8250A" w14:textId="77777777" w:rsidR="00CF1223" w:rsidRDefault="00CF1223" w:rsidP="00CF1223">
      <w:pPr>
        <w:pStyle w:val="Ttulo3"/>
        <w:numPr>
          <w:ilvl w:val="2"/>
          <w:numId w:val="17"/>
        </w:numPr>
      </w:pPr>
      <w:r>
        <w:t>Entrenamiento del modelo</w:t>
      </w:r>
    </w:p>
    <w:p w14:paraId="5841BBDC" w14:textId="75573D90" w:rsidR="00CF1223" w:rsidRDefault="00CF1223" w:rsidP="00A34650">
      <w:r>
        <w:t xml:space="preserve">El modelo se entrenó con el paquete MOFA2 (versión 1.x) de </w:t>
      </w:r>
      <w:proofErr w:type="spellStart"/>
      <w:r>
        <w:t>Bioconductor</w:t>
      </w:r>
      <w:proofErr w:type="spellEnd"/>
      <w:r>
        <w:t xml:space="preserve"> bajo R 4.4.2, utilizando la función </w:t>
      </w:r>
      <w:proofErr w:type="spellStart"/>
      <w:r>
        <w:t>create_</w:t>
      </w:r>
      <w:proofErr w:type="gramStart"/>
      <w:r>
        <w:t>mofa</w:t>
      </w:r>
      <w:proofErr w:type="spellEnd"/>
      <w:r>
        <w:t>(</w:t>
      </w:r>
      <w:proofErr w:type="gramEnd"/>
      <w:r>
        <w:t>) para construir el objeto multi-</w:t>
      </w:r>
      <w:proofErr w:type="spellStart"/>
      <w:r>
        <w:t>ómico</w:t>
      </w:r>
      <w:proofErr w:type="spellEnd"/>
      <w:r>
        <w:t xml:space="preserve"> y </w:t>
      </w:r>
      <w:proofErr w:type="spellStart"/>
      <w:r>
        <w:t>run_mofa</w:t>
      </w:r>
      <w:proofErr w:type="spellEnd"/>
      <w:r>
        <w:t xml:space="preserve">() para la optimización variacional. Los </w:t>
      </w:r>
      <w:proofErr w:type="spellStart"/>
      <w:r>
        <w:t>hiperparámetros</w:t>
      </w:r>
      <w:proofErr w:type="spellEnd"/>
      <w:r>
        <w:t xml:space="preserve"> se fijaron de acuerdo con las recomendaciones de los desarrolladores </w:t>
      </w:r>
      <w:sdt>
        <w:sdtPr>
          <w:rPr>
            <w:color w:val="000000"/>
          </w:rPr>
          <w:tag w:val="MENDELEY_CITATION_v3_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"/>
          <w:id w:val="2060977545"/>
          <w:placeholder>
            <w:docPart w:val="DefaultPlaceholder_-1854013440"/>
          </w:placeholder>
        </w:sdtPr>
        <w:sdtContent>
          <w:r w:rsidR="00667B28" w:rsidRPr="00667B28">
            <w:rPr>
              <w:color w:val="000000"/>
            </w:rPr>
            <w:t>[35]</w:t>
          </w:r>
        </w:sdtContent>
      </w:sdt>
      <w:r w:rsidR="00A34650">
        <w:t xml:space="preserve">; </w:t>
      </w:r>
      <w:r w:rsidR="00A34650" w:rsidRPr="00A34650">
        <w:t xml:space="preserve">El modelo se configuró con un máximo de 10 factores latentes, permitiendo que el mecanismo de </w:t>
      </w:r>
      <w:proofErr w:type="spellStart"/>
      <w:r w:rsidR="00A34650" w:rsidRPr="00A34650">
        <w:t>Automatic</w:t>
      </w:r>
      <w:proofErr w:type="spellEnd"/>
      <w:r w:rsidR="00A34650" w:rsidRPr="00A34650">
        <w:t xml:space="preserve"> </w:t>
      </w:r>
      <w:proofErr w:type="spellStart"/>
      <w:r w:rsidR="00A34650" w:rsidRPr="00A34650">
        <w:t>Relevance</w:t>
      </w:r>
      <w:proofErr w:type="spellEnd"/>
      <w:r w:rsidR="00A34650" w:rsidRPr="00A34650">
        <w:t xml:space="preserve"> </w:t>
      </w:r>
      <w:proofErr w:type="spellStart"/>
      <w:r w:rsidR="00A34650" w:rsidRPr="00A34650">
        <w:t>Determination</w:t>
      </w:r>
      <w:proofErr w:type="spellEnd"/>
      <w:r w:rsidR="00A34650" w:rsidRPr="00A34650">
        <w:t xml:space="preserve"> (ARD) eliminara automáticamente los factores no informativos durante el entrenamiento. Se activó la regularización </w:t>
      </w:r>
      <w:proofErr w:type="spellStart"/>
      <w:r w:rsidR="00A34650" w:rsidRPr="00A34650">
        <w:t>spike</w:t>
      </w:r>
      <w:proofErr w:type="spellEnd"/>
      <w:r w:rsidR="00A34650" w:rsidRPr="00A34650">
        <w:t>-and-</w:t>
      </w:r>
      <w:proofErr w:type="spellStart"/>
      <w:r w:rsidR="00A34650" w:rsidRPr="00A34650">
        <w:t>slab</w:t>
      </w:r>
      <w:proofErr w:type="spellEnd"/>
      <w:r w:rsidR="00A34650" w:rsidRPr="00A34650">
        <w:t xml:space="preserve"> sobre los </w:t>
      </w:r>
      <w:proofErr w:type="spellStart"/>
      <w:r w:rsidR="00A34650" w:rsidRPr="00A34650">
        <w:t>loadings</w:t>
      </w:r>
      <w:proofErr w:type="spellEnd"/>
      <w:r w:rsidR="00A34650" w:rsidRPr="00A34650">
        <w:t xml:space="preserve"> para inducir dispersión (</w:t>
      </w:r>
      <w:proofErr w:type="spellStart"/>
      <w:r w:rsidR="00A34650" w:rsidRPr="00A34650">
        <w:t>sparsity</w:t>
      </w:r>
      <w:proofErr w:type="spellEnd"/>
      <w:r w:rsidR="00A34650" w:rsidRPr="00A34650">
        <w:t>) e identificar las variables con mayor contribución a cada factor. Las matrices se introdujeron con las variables en filas y las muestras en columnas, conforme al formato requerido por MOFA2. El entrenamiento se realizó en modo de convergencia lenta (</w:t>
      </w:r>
      <w:proofErr w:type="spellStart"/>
      <w:r w:rsidR="00A34650" w:rsidRPr="00A34650">
        <w:t>slow</w:t>
      </w:r>
      <w:proofErr w:type="spellEnd"/>
      <w:r w:rsidR="00A34650" w:rsidRPr="00A34650">
        <w:t>), con un máximo de 1.000 iteraciones y semilla aleatoria fijada en 42 para garantizar la reproducibilidad. El modelo entrenado se almacenó en formato HDF5 para su reutilización sin necesidad de reentrenamiento.</w:t>
      </w:r>
    </w:p>
    <w:p w14:paraId="6CD0CED8" w14:textId="77777777" w:rsidR="00CF1223" w:rsidRPr="00CF1223" w:rsidRDefault="00CF1223" w:rsidP="00CF1223">
      <w:r>
        <w:t>El criterio para determinar el número de factores activos fue el propio mecanismo ARD: se retuvieron los factores cuya varianza explicada en al menos uno de los dos bloques superaba el umbral de exclusión automática del modelo.</w:t>
      </w:r>
    </w:p>
    <w:p w14:paraId="219C3233" w14:textId="77777777" w:rsidR="00CF1223" w:rsidRDefault="00CF1223" w:rsidP="00CF1223">
      <w:pPr>
        <w:pStyle w:val="Ttulo3"/>
        <w:numPr>
          <w:ilvl w:val="2"/>
          <w:numId w:val="17"/>
        </w:numPr>
      </w:pPr>
      <w:r w:rsidRPr="00CF1223">
        <w:t>Evaluación de la varianza explicada</w:t>
      </w:r>
    </w:p>
    <w:p w14:paraId="003EA094" w14:textId="1D19B550" w:rsidR="00CF1223" w:rsidRDefault="00CF1223" w:rsidP="00CF1223">
      <w:r>
        <w:t xml:space="preserve">La proporción de varianza explicada por cada factor en cada bloque se calculó mediante la función </w:t>
      </w:r>
      <w:proofErr w:type="spellStart"/>
      <w:r>
        <w:t>get_variance_</w:t>
      </w:r>
      <w:proofErr w:type="gramStart"/>
      <w:r>
        <w:t>explained</w:t>
      </w:r>
      <w:proofErr w:type="spellEnd"/>
      <w:r>
        <w:t>(</w:t>
      </w:r>
      <w:proofErr w:type="gramEnd"/>
      <w:r>
        <w:t>) del paquete MOFA2, que devuelve el coeficiente R</w:t>
      </w:r>
      <w:r>
        <w:rPr>
          <w:vertAlign w:val="superscript"/>
        </w:rPr>
        <w:t>2</w:t>
      </w:r>
      <w:r>
        <w:t xml:space="preserve">  para cada combinación factor–bloque. Este parámetro se interpretó como medida del grado de acoplamiento inter-bloque: un factor activo en ambas vistas con R</w:t>
      </w:r>
      <w:r>
        <w:rPr>
          <w:vertAlign w:val="superscript"/>
        </w:rPr>
        <w:t>2</w:t>
      </w:r>
      <w:r>
        <w:t xml:space="preserve"> sustanciales indica variación coordinada entre la capa transcriptómica y la proteómica.</w:t>
      </w:r>
    </w:p>
    <w:p w14:paraId="7DA2FD44" w14:textId="77777777" w:rsidR="00CF1223" w:rsidRDefault="00A34650" w:rsidP="00CF1223">
      <w:pPr>
        <w:pStyle w:val="Ttulo3"/>
        <w:numPr>
          <w:ilvl w:val="2"/>
          <w:numId w:val="17"/>
        </w:numPr>
      </w:pPr>
      <w:r>
        <w:t>Validación externa</w:t>
      </w:r>
    </w:p>
    <w:p w14:paraId="70DB200C" w14:textId="77777777" w:rsidR="00A34650" w:rsidRDefault="00A34650" w:rsidP="00A34650">
      <w:r>
        <w:t>Los factores latentes obtenidos se validaron frente a variables clínicas completamente externas al modelo, es decir, que no formaron parte de ninguno de los dos bloques de entrada:</w:t>
      </w:r>
    </w:p>
    <w:p w14:paraId="21696ED0" w14:textId="2195EE7F" w:rsidR="00A34650" w:rsidRDefault="00A34650" w:rsidP="00A34650">
      <w:pPr>
        <w:pStyle w:val="Prrafodelista"/>
        <w:numPr>
          <w:ilvl w:val="0"/>
          <w:numId w:val="30"/>
        </w:numPr>
      </w:pPr>
      <w:r>
        <w:t xml:space="preserve">Índices de actividad: SLEDAI-2K y SLE-DAS, analizados como variables </w:t>
      </w:r>
      <w:r w:rsidR="00972B10">
        <w:t>categóricas</w:t>
      </w:r>
      <w:r>
        <w:t xml:space="preserve"> mediante correlación de Spearman.</w:t>
      </w:r>
    </w:p>
    <w:p w14:paraId="64CCDE2D" w14:textId="77777777" w:rsidR="00A34650" w:rsidRDefault="00A34650" w:rsidP="00A34650">
      <w:pPr>
        <w:pStyle w:val="Prrafodelista"/>
        <w:numPr>
          <w:ilvl w:val="0"/>
          <w:numId w:val="30"/>
        </w:numPr>
      </w:pPr>
      <w:r>
        <w:lastRenderedPageBreak/>
        <w:t>Daño acumulado: SLICC-SDI, analizado como variable continua mediante correlación de Spearman.</w:t>
      </w:r>
    </w:p>
    <w:p w14:paraId="22746287" w14:textId="77777777" w:rsidR="00A34650" w:rsidRDefault="00A34650" w:rsidP="00A34650">
      <w:pPr>
        <w:pStyle w:val="Prrafodelista"/>
        <w:numPr>
          <w:ilvl w:val="0"/>
          <w:numId w:val="30"/>
        </w:numPr>
      </w:pPr>
      <w:r>
        <w:t>Estados de remisión: LLDAS y DORIS, analizados como variables binarias (sí/no) mediante el test de Wilcoxon-Mann-Whitney.</w:t>
      </w:r>
    </w:p>
    <w:p w14:paraId="65F4AA62" w14:textId="77777777" w:rsidR="00CF1223" w:rsidRDefault="00A34650" w:rsidP="00A34650">
      <w:r>
        <w:t xml:space="preserve">La corrección por comparaciones múltiples se aplicó mediante el método de </w:t>
      </w:r>
      <w:proofErr w:type="spellStart"/>
      <w:r>
        <w:t>Benjamini-Hochberg</w:t>
      </w:r>
      <w:proofErr w:type="spellEnd"/>
      <w:r>
        <w:t xml:space="preserve"> (FDR), considerando significativos los resultados con p ajustado &lt; 0,05. Este diseño de validación externa garantiza que las asociaciones observadas entre los factores latentes y las variables clínicas reflejan genuina capacidad predictiva del espacio latente multi-</w:t>
      </w:r>
      <w:proofErr w:type="spellStart"/>
      <w:r>
        <w:t>ómico</w:t>
      </w:r>
      <w:proofErr w:type="spellEnd"/>
      <w:r>
        <w:t>, y no circularidad analítica.</w:t>
      </w:r>
    </w:p>
    <w:p w14:paraId="142BE4E2" w14:textId="77777777" w:rsidR="00097466" w:rsidRDefault="00000000">
      <w:pPr>
        <w:pStyle w:val="Ttulo2"/>
        <w:numPr>
          <w:ilvl w:val="1"/>
          <w:numId w:val="17"/>
        </w:numPr>
      </w:pPr>
      <w:bookmarkStart w:id="109" w:name="_Toc229237685"/>
      <w:bookmarkStart w:id="110" w:name="_Toc230792324"/>
      <w:r>
        <w:t>Integración multi</w:t>
      </w:r>
      <w:r>
        <w:rPr>
          <w:rFonts w:ascii="Cambria Math" w:eastAsia="Cambria Math" w:hAnsi="Cambria Math" w:cs="Cambria Math"/>
        </w:rPr>
        <w:t>‑</w:t>
      </w:r>
      <w:proofErr w:type="spellStart"/>
      <w:r>
        <w:t>ómica</w:t>
      </w:r>
      <w:proofErr w:type="spellEnd"/>
      <w:r>
        <w:t xml:space="preserve"> supervisada mediante DIABLO</w:t>
      </w:r>
      <w:bookmarkEnd w:id="109"/>
      <w:bookmarkEnd w:id="110"/>
    </w:p>
    <w:p w14:paraId="7D8E6DCC" w14:textId="77777777" w:rsidR="00864352" w:rsidRDefault="00864352" w:rsidP="00864352">
      <w:pPr>
        <w:pStyle w:val="Ttulo3"/>
        <w:numPr>
          <w:ilvl w:val="2"/>
          <w:numId w:val="17"/>
        </w:numPr>
      </w:pPr>
      <w:r>
        <w:t>Población de estudio y variables de desenlace (DORIS, SLEDAI</w:t>
      </w:r>
      <w:r>
        <w:rPr>
          <w:rFonts w:ascii="Cambria Math" w:eastAsia="Cambria Math" w:hAnsi="Cambria Math" w:cs="Cambria Math"/>
        </w:rPr>
        <w:t>‑</w:t>
      </w:r>
      <w:r>
        <w:t>2K, SLE</w:t>
      </w:r>
      <w:r>
        <w:rPr>
          <w:rFonts w:ascii="Cambria Math" w:eastAsia="Cambria Math" w:hAnsi="Cambria Math" w:cs="Cambria Math"/>
        </w:rPr>
        <w:t>‑</w:t>
      </w:r>
      <w:r>
        <w:t>DAS, SLICC/SDI, remisión estricta)</w:t>
      </w:r>
    </w:p>
    <w:p w14:paraId="5C17289D" w14:textId="77777777" w:rsidR="00864352" w:rsidRDefault="00864352" w:rsidP="00864352">
      <w:r>
        <w:t>Para cada desenlace clínico de interés se ajustó un modelo DIABLO independiente, empleando como variable de respuesta (Y) una codificación categórica binaria derivada de los índices de actividad y daño previamente calculados. En concreto, se consideró:</w:t>
      </w:r>
    </w:p>
    <w:p w14:paraId="7F7DF276" w14:textId="77777777" w:rsidR="00864352" w:rsidRDefault="00864352" w:rsidP="00864352">
      <w:pPr>
        <w:numPr>
          <w:ilvl w:val="0"/>
          <w:numId w:val="18"/>
        </w:numPr>
        <w:pBdr>
          <w:top w:val="nil"/>
          <w:left w:val="nil"/>
          <w:bottom w:val="nil"/>
          <w:right w:val="nil"/>
          <w:between w:val="nil"/>
        </w:pBdr>
        <w:spacing w:after="0"/>
        <w:rPr>
          <w:color w:val="000000"/>
        </w:rPr>
      </w:pPr>
      <w:r>
        <w:rPr>
          <w:color w:val="000000"/>
        </w:rPr>
        <w:t>Remisión clínica por SLEDAI</w:t>
      </w:r>
      <w:r>
        <w:rPr>
          <w:rFonts w:ascii="Cambria Math" w:eastAsia="Cambria Math" w:hAnsi="Cambria Math" w:cs="Cambria Math"/>
          <w:color w:val="000000"/>
        </w:rPr>
        <w:t>‑</w:t>
      </w:r>
      <w:r>
        <w:rPr>
          <w:color w:val="000000"/>
        </w:rPr>
        <w:t>2K: remisión si SLEDAI</w:t>
      </w:r>
      <w:r>
        <w:rPr>
          <w:rFonts w:ascii="Cambria Math" w:eastAsia="Cambria Math" w:hAnsi="Cambria Math" w:cs="Cambria Math"/>
          <w:color w:val="000000"/>
        </w:rPr>
        <w:t>‑</w:t>
      </w:r>
      <w:r>
        <w:rPr>
          <w:color w:val="000000"/>
        </w:rPr>
        <w:t>2K = 0 y actividad clínica si SLEDAI</w:t>
      </w:r>
      <w:r>
        <w:rPr>
          <w:rFonts w:ascii="Cambria Math" w:eastAsia="Cambria Math" w:hAnsi="Cambria Math" w:cs="Cambria Math"/>
          <w:color w:val="000000"/>
        </w:rPr>
        <w:t>‑</w:t>
      </w:r>
      <w:r>
        <w:rPr>
          <w:color w:val="000000"/>
        </w:rPr>
        <w:t>2K ≥ 1.</w:t>
      </w:r>
    </w:p>
    <w:p w14:paraId="1DCB9A7F" w14:textId="77777777" w:rsidR="00864352" w:rsidRDefault="00864352" w:rsidP="00864352">
      <w:pPr>
        <w:numPr>
          <w:ilvl w:val="0"/>
          <w:numId w:val="18"/>
        </w:numPr>
        <w:pBdr>
          <w:top w:val="nil"/>
          <w:left w:val="nil"/>
          <w:bottom w:val="nil"/>
          <w:right w:val="nil"/>
          <w:between w:val="nil"/>
        </w:pBdr>
        <w:spacing w:before="0" w:after="0"/>
        <w:rPr>
          <w:color w:val="000000"/>
        </w:rPr>
      </w:pPr>
      <w:r>
        <w:rPr>
          <w:color w:val="000000"/>
        </w:rPr>
        <w:t>Remisión por índice compuesto SLE</w:t>
      </w:r>
      <w:r>
        <w:rPr>
          <w:rFonts w:ascii="Cambria Math" w:eastAsia="Cambria Math" w:hAnsi="Cambria Math" w:cs="Cambria Math"/>
          <w:color w:val="000000"/>
        </w:rPr>
        <w:t>‑</w:t>
      </w:r>
      <w:r>
        <w:rPr>
          <w:color w:val="000000"/>
        </w:rPr>
        <w:t>DAS: remisión si SLE</w:t>
      </w:r>
      <w:r>
        <w:rPr>
          <w:rFonts w:ascii="Cambria Math" w:eastAsia="Cambria Math" w:hAnsi="Cambria Math" w:cs="Cambria Math"/>
          <w:color w:val="000000"/>
        </w:rPr>
        <w:t>‑</w:t>
      </w:r>
      <w:r>
        <w:rPr>
          <w:color w:val="000000"/>
        </w:rPr>
        <w:t>DAS ≤ 2,08 frente a no remisión (agrupando actividad leve y moderada</w:t>
      </w:r>
      <w:r>
        <w:rPr>
          <w:rFonts w:ascii="Cambria Math" w:eastAsia="Cambria Math" w:hAnsi="Cambria Math" w:cs="Cambria Math"/>
          <w:color w:val="000000"/>
        </w:rPr>
        <w:t>‑</w:t>
      </w:r>
      <w:r>
        <w:rPr>
          <w:color w:val="000000"/>
        </w:rPr>
        <w:t>grave) cuando SLE</w:t>
      </w:r>
      <w:r>
        <w:rPr>
          <w:rFonts w:ascii="Cambria Math" w:eastAsia="Cambria Math" w:hAnsi="Cambria Math" w:cs="Cambria Math"/>
          <w:color w:val="000000"/>
        </w:rPr>
        <w:t>‑</w:t>
      </w:r>
      <w:r>
        <w:rPr>
          <w:color w:val="000000"/>
        </w:rPr>
        <w:t>DAS &gt; 2,08.</w:t>
      </w:r>
    </w:p>
    <w:p w14:paraId="26F2B6E8" w14:textId="77777777" w:rsidR="00864352" w:rsidRDefault="00864352" w:rsidP="00864352">
      <w:pPr>
        <w:numPr>
          <w:ilvl w:val="0"/>
          <w:numId w:val="18"/>
        </w:numPr>
        <w:pBdr>
          <w:top w:val="nil"/>
          <w:left w:val="nil"/>
          <w:bottom w:val="nil"/>
          <w:right w:val="nil"/>
          <w:between w:val="nil"/>
        </w:pBdr>
        <w:spacing w:before="0" w:after="0"/>
        <w:rPr>
          <w:color w:val="000000"/>
        </w:rPr>
      </w:pPr>
      <w:r>
        <w:rPr>
          <w:color w:val="000000"/>
        </w:rPr>
        <w:t>Daño orgánico acumulado (SLICC/SDI): sin daño si SLICC/SDI = 0 y con daño si SLICC/SDI ≥ 1.</w:t>
      </w:r>
    </w:p>
    <w:p w14:paraId="485FA1AC" w14:textId="77777777" w:rsidR="00864352" w:rsidRDefault="00864352" w:rsidP="00864352">
      <w:pPr>
        <w:numPr>
          <w:ilvl w:val="0"/>
          <w:numId w:val="18"/>
        </w:numPr>
        <w:pBdr>
          <w:top w:val="nil"/>
          <w:left w:val="nil"/>
          <w:bottom w:val="nil"/>
          <w:right w:val="nil"/>
          <w:between w:val="nil"/>
        </w:pBdr>
        <w:spacing w:before="0" w:after="0"/>
        <w:rPr>
          <w:color w:val="000000"/>
        </w:rPr>
      </w:pPr>
      <w:r>
        <w:rPr>
          <w:color w:val="000000"/>
        </w:rPr>
        <w:t>Remisión DORIS: cumplimiento frente a no cumplimiento de los criterios DORIS de remisión en LES, según la definición previamente operativizada en la cohorte.</w:t>
      </w:r>
    </w:p>
    <w:p w14:paraId="17CA1097" w14:textId="77777777" w:rsidR="00864352" w:rsidRDefault="00864352" w:rsidP="00864352">
      <w:pPr>
        <w:numPr>
          <w:ilvl w:val="0"/>
          <w:numId w:val="18"/>
        </w:numPr>
        <w:pBdr>
          <w:top w:val="nil"/>
          <w:left w:val="nil"/>
          <w:bottom w:val="nil"/>
          <w:right w:val="nil"/>
          <w:between w:val="nil"/>
        </w:pBdr>
        <w:spacing w:before="0"/>
        <w:rPr>
          <w:color w:val="000000"/>
        </w:rPr>
      </w:pPr>
      <w:r>
        <w:rPr>
          <w:color w:val="000000"/>
        </w:rPr>
        <w:t>Remisión estricta compuesta: cumplimiento simultáneo de tres condiciones: SLEDAI</w:t>
      </w:r>
      <w:r>
        <w:rPr>
          <w:rFonts w:ascii="Cambria Math" w:eastAsia="Cambria Math" w:hAnsi="Cambria Math" w:cs="Cambria Math"/>
          <w:color w:val="000000"/>
        </w:rPr>
        <w:t>‑</w:t>
      </w:r>
      <w:r>
        <w:rPr>
          <w:color w:val="000000"/>
        </w:rPr>
        <w:t>2K = 0, SLE</w:t>
      </w:r>
      <w:r>
        <w:rPr>
          <w:rFonts w:ascii="Cambria Math" w:eastAsia="Cambria Math" w:hAnsi="Cambria Math" w:cs="Cambria Math"/>
          <w:color w:val="000000"/>
        </w:rPr>
        <w:t>‑</w:t>
      </w:r>
      <w:r>
        <w:rPr>
          <w:color w:val="000000"/>
        </w:rPr>
        <w:t>DAS ≤ 2,08 y SLICC/SDI = 0; los pacientes que no cumplían los tres criterios se clasificaron como “no remisión estricta”.</w:t>
      </w:r>
    </w:p>
    <w:p w14:paraId="3DEB20CF" w14:textId="77777777" w:rsidR="00864352" w:rsidRDefault="00864352" w:rsidP="00864352">
      <w:pPr>
        <w:pStyle w:val="Ttulo3"/>
        <w:numPr>
          <w:ilvl w:val="2"/>
          <w:numId w:val="17"/>
        </w:numPr>
      </w:pPr>
      <w:r>
        <w:t xml:space="preserve">Definición de los bloques </w:t>
      </w:r>
      <w:proofErr w:type="spellStart"/>
      <w:r>
        <w:t>ómicos</w:t>
      </w:r>
      <w:proofErr w:type="spellEnd"/>
      <w:r>
        <w:t xml:space="preserve"> (transcriptómico ISGs / proteómico sérico)</w:t>
      </w:r>
    </w:p>
    <w:p w14:paraId="005688A2" w14:textId="77777777" w:rsidR="00864352" w:rsidRDefault="00864352" w:rsidP="00864352">
      <w:r>
        <w:t xml:space="preserve">En todos los modelos se integraron dos bloques </w:t>
      </w:r>
      <w:proofErr w:type="spellStart"/>
      <w:r>
        <w:t>ómicos</w:t>
      </w:r>
      <w:proofErr w:type="spellEnd"/>
      <w:r>
        <w:t xml:space="preserve"> medidos en la misma muestra de pacientes. El bloque transcriptómico estuvo constituido por la expresión relativa de los 72 genes estimulados por interferón (ISGs) cuantificados mediante </w:t>
      </w:r>
      <w:proofErr w:type="spellStart"/>
      <w:r>
        <w:t>NanoString</w:t>
      </w:r>
      <w:proofErr w:type="spellEnd"/>
      <w:r>
        <w:t xml:space="preserve"> </w:t>
      </w:r>
      <w:proofErr w:type="spellStart"/>
      <w:r>
        <w:t>nCounter</w:t>
      </w:r>
      <w:proofErr w:type="spellEnd"/>
      <w:r>
        <w:t>, tras el proceso de normalización técnica y biológica descrito en apartados previos y transformación a escala log2. El bloque proteómico sérico incluyó las citocinas IFN</w:t>
      </w:r>
      <w:r>
        <w:rPr>
          <w:rFonts w:ascii="Cambria Math" w:eastAsia="Cambria Math" w:hAnsi="Cambria Math" w:cs="Cambria Math"/>
        </w:rPr>
        <w:t>‑</w:t>
      </w:r>
      <w:r>
        <w:t>α, IFN</w:t>
      </w:r>
      <w:r>
        <w:rPr>
          <w:rFonts w:ascii="Cambria Math" w:eastAsia="Cambria Math" w:hAnsi="Cambria Math" w:cs="Cambria Math"/>
        </w:rPr>
        <w:t>‑</w:t>
      </w:r>
      <w:r>
        <w:t>γ, IL</w:t>
      </w:r>
      <w:r>
        <w:rPr>
          <w:rFonts w:ascii="Cambria Math" w:eastAsia="Cambria Math" w:hAnsi="Cambria Math" w:cs="Cambria Math"/>
        </w:rPr>
        <w:t>‑</w:t>
      </w:r>
      <w:r>
        <w:t>2, IL</w:t>
      </w:r>
      <w:r>
        <w:rPr>
          <w:rFonts w:ascii="Cambria Math" w:eastAsia="Cambria Math" w:hAnsi="Cambria Math" w:cs="Cambria Math"/>
        </w:rPr>
        <w:t>‑</w:t>
      </w:r>
      <w:r>
        <w:t>6, IL</w:t>
      </w:r>
      <w:r>
        <w:rPr>
          <w:rFonts w:ascii="Cambria Math" w:eastAsia="Cambria Math" w:hAnsi="Cambria Math" w:cs="Cambria Math"/>
        </w:rPr>
        <w:t>‑</w:t>
      </w:r>
      <w:r>
        <w:t>8 y BAFF, los factores del complemento C3 y C4, marcadores inflamatorios (proteína C reactiva), función renal (creatinina), perfil lipídico (colesterol total, triglicéridos, HDL, LDL, Apo A</w:t>
      </w:r>
      <w:r>
        <w:rPr>
          <w:rFonts w:ascii="Cambria Math" w:eastAsia="Cambria Math" w:hAnsi="Cambria Math" w:cs="Cambria Math"/>
        </w:rPr>
        <w:t>‑</w:t>
      </w:r>
      <w:r>
        <w:t>I, Apo B, cociente Apo B/A</w:t>
      </w:r>
      <w:r>
        <w:rPr>
          <w:rFonts w:ascii="Cambria Math" w:eastAsia="Cambria Math" w:hAnsi="Cambria Math" w:cs="Cambria Math"/>
        </w:rPr>
        <w:t>‑</w:t>
      </w:r>
      <w:r>
        <w:t>I, lipoproteína(a)) y parámetros hepático</w:t>
      </w:r>
      <w:r>
        <w:rPr>
          <w:rFonts w:ascii="Cambria Math" w:eastAsia="Cambria Math" w:hAnsi="Cambria Math" w:cs="Cambria Math"/>
        </w:rPr>
        <w:t>‑</w:t>
      </w:r>
      <w:r>
        <w:t>nutricionales (GOT, GPT, GGT, proteínas totales), restringiendo en cada análisis a las variables con disponibilidad suficiente de datos.</w:t>
      </w:r>
    </w:p>
    <w:p w14:paraId="12C463C1" w14:textId="77777777" w:rsidR="00864352" w:rsidRDefault="00864352" w:rsidP="00864352">
      <w:pPr>
        <w:pStyle w:val="Ttulo3"/>
        <w:numPr>
          <w:ilvl w:val="2"/>
          <w:numId w:val="17"/>
        </w:numPr>
      </w:pPr>
      <w:r>
        <w:lastRenderedPageBreak/>
        <w:t>Preprocesamiento y manejo de datos faltantes</w:t>
      </w:r>
    </w:p>
    <w:p w14:paraId="13339FBC" w14:textId="77777777" w:rsidR="00864352" w:rsidRDefault="00864352" w:rsidP="00864352">
      <w:r>
        <w:t xml:space="preserve">El análisis se limitó a los pacientes con información completa en ambos bloques </w:t>
      </w:r>
      <w:proofErr w:type="spellStart"/>
      <w:r>
        <w:t>ómicos</w:t>
      </w:r>
      <w:proofErr w:type="spellEnd"/>
      <w:r>
        <w:t xml:space="preserve"> y en el desenlace específico, obteniéndose en la práctica una cohorte muy similar en tamaño entre modelos (≈ 250 pacientes), con una ligera variación según la presencia de datos faltantes en cada índice clínico. En el bloque proteómico se evaluó sistemáticamente el porcentaje de valores perdidos por variable; aquellas proteínas con más del 70% de datos faltantes (GGT, proteínas totales, GOT, GPT y BAFF) se excluyeron del análisis, mientras que el resto de valores ausentes se imputaron mediante el método de k</w:t>
      </w:r>
      <w:r>
        <w:rPr>
          <w:rFonts w:ascii="Cambria Math" w:eastAsia="Cambria Math" w:hAnsi="Cambria Math" w:cs="Cambria Math"/>
        </w:rPr>
        <w:t>‑</w:t>
      </w:r>
      <w:r>
        <w:t>vecinos más próximos (</w:t>
      </w:r>
      <w:proofErr w:type="spellStart"/>
      <w:r>
        <w:t>kNN</w:t>
      </w:r>
      <w:proofErr w:type="spellEnd"/>
      <w:r>
        <w:t>, k = 5), aplicado sobre la matriz proteómica tras verificar su completitud estructural. Posteriormente, las concentraciones proteicas se transformaron a escala log2 (añadiendo una constante de 1 para evitar logaritmos de cero) con el objetivo de reducir la asimetría y hacer comparables las magnitudes entre marcadores.</w:t>
      </w:r>
    </w:p>
    <w:p w14:paraId="3E83AF1E" w14:textId="77777777" w:rsidR="00864352" w:rsidRDefault="00864352" w:rsidP="00864352">
      <w:pPr>
        <w:pStyle w:val="Ttulo3"/>
        <w:numPr>
          <w:ilvl w:val="2"/>
          <w:numId w:val="17"/>
        </w:numPr>
      </w:pPr>
      <w:r>
        <w:t xml:space="preserve">Especificación de los modelos DIABLO y sintonización de </w:t>
      </w:r>
      <w:proofErr w:type="spellStart"/>
      <w:r>
        <w:t>hiperparámetros</w:t>
      </w:r>
      <w:proofErr w:type="spellEnd"/>
    </w:p>
    <w:p w14:paraId="5CE1EA4B" w14:textId="77777777" w:rsidR="00864352" w:rsidRDefault="00864352" w:rsidP="00864352">
      <w:pPr>
        <w:rPr>
          <w:color w:val="000000"/>
        </w:rPr>
      </w:pPr>
      <w:r>
        <w:t>Para cada desenlace se construyó una lista de bloques de entrada compuesta por la matriz de expresión de ISGs (muestras en filas, genes en columnas) y la matriz de proteínas séricas preprocesadas, garantizando la alineación exacta de los identificadores de paciente en ambos bloques y en el vector de respuesta Y. La matriz de diseño de DIABLO se fijó con valores off</w:t>
      </w:r>
      <w:r>
        <w:rPr>
          <w:rFonts w:ascii="Cambria Math" w:eastAsia="Cambria Math" w:hAnsi="Cambria Math" w:cs="Cambria Math"/>
        </w:rPr>
        <w:t>‑</w:t>
      </w:r>
      <w:r>
        <w:t>diagonal de 0,1 entre los bloques transcriptómico y proteómico, y ceros en la diagonal, buscando un compromiso entre la maximización de la covarianza inter</w:t>
      </w:r>
      <w:r>
        <w:rPr>
          <w:rFonts w:ascii="Cambria Math" w:eastAsia="Cambria Math" w:hAnsi="Cambria Math" w:cs="Cambria Math"/>
        </w:rPr>
        <w:t>‑</w:t>
      </w:r>
      <w:r>
        <w:t xml:space="preserve">bloque y la capacidad discriminativa del modelo supervisado, de acuerdo con las recomendaciones metodológicas de </w:t>
      </w:r>
      <w:proofErr w:type="spellStart"/>
      <w:r>
        <w:t>Rohart</w:t>
      </w:r>
      <w:proofErr w:type="spellEnd"/>
      <w:r>
        <w:t xml:space="preserve"> et al. </w:t>
      </w:r>
      <w:r>
        <w:rPr>
          <w:color w:val="000000"/>
        </w:rPr>
        <w:t xml:space="preserve">[38] </w:t>
      </w:r>
      <w:r>
        <w:t xml:space="preserve">y Singh et al. </w:t>
      </w:r>
      <w:r>
        <w:rPr>
          <w:color w:val="000000"/>
        </w:rPr>
        <w:t>[39]</w:t>
      </w:r>
    </w:p>
    <w:p w14:paraId="61E62DD7" w14:textId="77777777" w:rsidR="00864352" w:rsidRDefault="00864352" w:rsidP="00864352">
      <w:r>
        <w:t xml:space="preserve">La sintonización de </w:t>
      </w:r>
      <w:proofErr w:type="spellStart"/>
      <w:r>
        <w:t>hiperparámetros</w:t>
      </w:r>
      <w:proofErr w:type="spellEnd"/>
      <w:r>
        <w:t xml:space="preserve"> siguió una estrategia común en todos los desenlaces. En primer lugar, se ajustó un modelo preliminar con un número relativamente amplio de componentes latentes (</w:t>
      </w:r>
      <w:proofErr w:type="spellStart"/>
      <w:r>
        <w:t>ncomp</w:t>
      </w:r>
      <w:proofErr w:type="spellEnd"/>
      <w:r>
        <w:t xml:space="preserve"> = 5) y un número fijo de variables seleccionadas por componente (</w:t>
      </w:r>
      <w:proofErr w:type="spellStart"/>
      <w:r>
        <w:t>keepX</w:t>
      </w:r>
      <w:proofErr w:type="spellEnd"/>
      <w:r>
        <w:t xml:space="preserve"> inicial), con el fin de evaluar el comportamiento del </w:t>
      </w:r>
      <w:proofErr w:type="spellStart"/>
      <w:r>
        <w:t>Balanced</w:t>
      </w:r>
      <w:proofErr w:type="spellEnd"/>
      <w:r>
        <w:t xml:space="preserve"> Error </w:t>
      </w:r>
      <w:proofErr w:type="spellStart"/>
      <w:r>
        <w:t>Rate</w:t>
      </w:r>
      <w:proofErr w:type="spellEnd"/>
      <w:r>
        <w:t xml:space="preserve"> (BER) en función del número de componentes mediante validación cruzada M</w:t>
      </w:r>
      <w:r>
        <w:rPr>
          <w:rFonts w:ascii="Cambria Math" w:eastAsia="Cambria Math" w:hAnsi="Cambria Math" w:cs="Cambria Math"/>
        </w:rPr>
        <w:t>‑</w:t>
      </w:r>
      <w:proofErr w:type="spellStart"/>
      <w:r>
        <w:t>fold</w:t>
      </w:r>
      <w:proofErr w:type="spellEnd"/>
      <w:r>
        <w:t xml:space="preserve"> (M = 5, 10 repeticiones). A partir de esta exploración se seleccionó un modelo parsimonioso con dos componentes latentes (</w:t>
      </w:r>
      <w:proofErr w:type="spellStart"/>
      <w:r>
        <w:t>ncomp</w:t>
      </w:r>
      <w:proofErr w:type="spellEnd"/>
      <w:r>
        <w:t xml:space="preserve"> = 2) para todos los análisis, dado que la incorporación de componentes adicionales no reducía sustancialmente el BER. En segundo lugar, se optimizó el número de variables seleccionadas por bloque y componente (</w:t>
      </w:r>
      <w:proofErr w:type="spellStart"/>
      <w:r>
        <w:t>keepX</w:t>
      </w:r>
      <w:proofErr w:type="spellEnd"/>
      <w:r>
        <w:t xml:space="preserve">) mediante la función </w:t>
      </w:r>
      <w:proofErr w:type="spellStart"/>
      <w:proofErr w:type="gramStart"/>
      <w:r>
        <w:t>tune.block</w:t>
      </w:r>
      <w:proofErr w:type="gramEnd"/>
      <w:r>
        <w:t>.splsda</w:t>
      </w:r>
      <w:proofErr w:type="spellEnd"/>
      <w:r>
        <w:t>, explorando rejillas de valores (por ejemplo, 10</w:t>
      </w:r>
      <w:r>
        <w:rPr>
          <w:rFonts w:ascii="Cambria Math" w:eastAsia="Cambria Math" w:hAnsi="Cambria Math" w:cs="Cambria Math"/>
        </w:rPr>
        <w:t>‑</w:t>
      </w:r>
      <w:r>
        <w:t>30 ISGs y 5</w:t>
      </w:r>
      <w:r>
        <w:rPr>
          <w:rFonts w:ascii="Cambria Math" w:eastAsia="Cambria Math" w:hAnsi="Cambria Math" w:cs="Cambria Math"/>
        </w:rPr>
        <w:t>‑</w:t>
      </w:r>
      <w:r>
        <w:t>15 proteínas por componente) y eligiendo la combinación que minimizaba el BER global con la distancia de centroides como criterio.</w:t>
      </w:r>
    </w:p>
    <w:p w14:paraId="56796ED7" w14:textId="77777777" w:rsidR="00864352" w:rsidRDefault="00864352" w:rsidP="00864352">
      <w:pPr>
        <w:pStyle w:val="Ttulo3"/>
        <w:numPr>
          <w:ilvl w:val="2"/>
          <w:numId w:val="17"/>
        </w:numPr>
      </w:pPr>
      <w:r>
        <w:t>Métricas de rendimiento y visualizaciones integrativas</w:t>
      </w:r>
    </w:p>
    <w:p w14:paraId="0B9E10DD" w14:textId="77777777" w:rsidR="00864352" w:rsidRDefault="00864352" w:rsidP="00864352">
      <w:r>
        <w:t xml:space="preserve">Una vez fijados los </w:t>
      </w:r>
      <w:proofErr w:type="spellStart"/>
      <w:r>
        <w:t>hiperparámetros</w:t>
      </w:r>
      <w:proofErr w:type="spellEnd"/>
      <w:r>
        <w:t xml:space="preserve"> óptimos (</w:t>
      </w:r>
      <w:proofErr w:type="spellStart"/>
      <w:r>
        <w:t>ncomp</w:t>
      </w:r>
      <w:proofErr w:type="spellEnd"/>
      <w:r>
        <w:t xml:space="preserve"> = 2 y </w:t>
      </w:r>
      <w:proofErr w:type="spellStart"/>
      <w:r>
        <w:t>keepX</w:t>
      </w:r>
      <w:proofErr w:type="spellEnd"/>
      <w:r>
        <w:t xml:space="preserve"> específico para cada desenlace), se ajustó el modelo DIABLO final mediante la función </w:t>
      </w:r>
      <w:proofErr w:type="spellStart"/>
      <w:proofErr w:type="gramStart"/>
      <w:r>
        <w:t>block.splsda</w:t>
      </w:r>
      <w:proofErr w:type="spellEnd"/>
      <w:proofErr w:type="gramEnd"/>
      <w:r>
        <w:t xml:space="preserve"> del paquete </w:t>
      </w:r>
      <w:proofErr w:type="spellStart"/>
      <w:r>
        <w:t>mixOmics</w:t>
      </w:r>
      <w:proofErr w:type="spellEnd"/>
      <w:r>
        <w:t xml:space="preserve">, obteniendo para cada paciente los scores de los componentes latentes en ambos bloques —transcriptómico (ISGs) y proteómico sérico— así como los </w:t>
      </w:r>
      <w:proofErr w:type="spellStart"/>
      <w:r>
        <w:t>loadings</w:t>
      </w:r>
      <w:proofErr w:type="spellEnd"/>
      <w:r>
        <w:t xml:space="preserve"> de cada gen y </w:t>
      </w:r>
      <w:r>
        <w:lastRenderedPageBreak/>
        <w:t>proteína seleccionada. El rendimiento de clasificación se evaluó mediante validación cruzada M-</w:t>
      </w:r>
      <w:proofErr w:type="spellStart"/>
      <w:r>
        <w:t>fold</w:t>
      </w:r>
      <w:proofErr w:type="spellEnd"/>
      <w:r>
        <w:t xml:space="preserve"> (M = 5, 10 repeticiones), estimando el </w:t>
      </w:r>
      <w:proofErr w:type="spellStart"/>
      <w:r>
        <w:t>Balanced</w:t>
      </w:r>
      <w:proofErr w:type="spellEnd"/>
      <w:r>
        <w:t xml:space="preserve"> Error </w:t>
      </w:r>
      <w:proofErr w:type="spellStart"/>
      <w:r>
        <w:t>Rate</w:t>
      </w:r>
      <w:proofErr w:type="spellEnd"/>
      <w:r>
        <w:t xml:space="preserve"> (BER) y el área bajo la curva ROC (AUC) para cada componente latente, de acuerdo con el procedimiento descrito por Singh et al. </w:t>
      </w:r>
      <w:r>
        <w:rPr>
          <w:color w:val="000000"/>
        </w:rPr>
        <w:t xml:space="preserve">[38] </w:t>
      </w:r>
      <w:r>
        <w:t xml:space="preserve">y </w:t>
      </w:r>
      <w:proofErr w:type="spellStart"/>
      <w:r>
        <w:t>Rohart</w:t>
      </w:r>
      <w:proofErr w:type="spellEnd"/>
      <w:r>
        <w:t xml:space="preserve"> et al. </w:t>
      </w:r>
      <w:r>
        <w:rPr>
          <w:color w:val="000000"/>
        </w:rPr>
        <w:t>[39]</w:t>
      </w:r>
      <w:r>
        <w:t>. El BER fue seleccionado como métrica principal por su menor sensibilidad al desequilibrio de clases, ya que promedia la proporción de muestras mal clasificadas en cada grupo ponderando por el tamaño muestral de cada clase.</w:t>
      </w:r>
    </w:p>
    <w:p w14:paraId="49F9B132" w14:textId="77777777" w:rsidR="00864352" w:rsidRDefault="00864352" w:rsidP="00864352">
      <w:r>
        <w:t xml:space="preserve">La interpretación biológica de los modelos se apoyó en un conjunto estructurado de representaciones gráficas estándar de </w:t>
      </w:r>
      <w:proofErr w:type="spellStart"/>
      <w:r>
        <w:t>mixOmics</w:t>
      </w:r>
      <w:proofErr w:type="spellEnd"/>
      <w:r>
        <w:t>, generadas de forma sistemática para cada uno de los cinco desenlaces clínicos analizados:</w:t>
      </w:r>
    </w:p>
    <w:p w14:paraId="0B0FACE0" w14:textId="77777777" w:rsidR="00864352" w:rsidRDefault="00864352" w:rsidP="00864352">
      <w:pPr>
        <w:numPr>
          <w:ilvl w:val="0"/>
          <w:numId w:val="19"/>
        </w:numPr>
        <w:pBdr>
          <w:top w:val="nil"/>
          <w:left w:val="nil"/>
          <w:bottom w:val="nil"/>
          <w:right w:val="nil"/>
          <w:between w:val="nil"/>
        </w:pBdr>
        <w:spacing w:after="0"/>
        <w:rPr>
          <w:color w:val="000000"/>
        </w:rPr>
      </w:pPr>
      <w:r>
        <w:rPr>
          <w:color w:val="000000"/>
        </w:rPr>
        <w:t>Mapa de individuos (</w:t>
      </w:r>
      <w:proofErr w:type="spellStart"/>
      <w:r>
        <w:rPr>
          <w:color w:val="000000"/>
        </w:rPr>
        <w:t>plotIndiv</w:t>
      </w:r>
      <w:proofErr w:type="spellEnd"/>
      <w:r>
        <w:rPr>
          <w:color w:val="000000"/>
        </w:rPr>
        <w:t xml:space="preserve">): Proyección de las muestras en el espacio bidimensional definido por los Componentes 1 y 2, representada de forma separada para el bloque transcriptómico y el proteómico. El color y el símbolo codifican el grupo clínico (remisión vs. no remisión según el desenlace correspondiente), y se superponen elipses de confianza al 95% para cada grupo, lo que permite evaluar visualmente el grado de separación discriminativa de cada bloque </w:t>
      </w:r>
      <w:proofErr w:type="spellStart"/>
      <w:r>
        <w:rPr>
          <w:color w:val="000000"/>
        </w:rPr>
        <w:t>ómico</w:t>
      </w:r>
      <w:proofErr w:type="spellEnd"/>
      <w:r>
        <w:rPr>
          <w:color w:val="000000"/>
        </w:rPr>
        <w:t>.</w:t>
      </w:r>
    </w:p>
    <w:p w14:paraId="6D8F462D" w14:textId="77777777" w:rsidR="00864352" w:rsidRDefault="00864352" w:rsidP="00864352">
      <w:pPr>
        <w:numPr>
          <w:ilvl w:val="0"/>
          <w:numId w:val="19"/>
        </w:numPr>
        <w:pBdr>
          <w:top w:val="nil"/>
          <w:left w:val="nil"/>
          <w:bottom w:val="nil"/>
          <w:right w:val="nil"/>
          <w:between w:val="nil"/>
        </w:pBdr>
        <w:spacing w:before="0" w:after="0"/>
        <w:rPr>
          <w:color w:val="000000"/>
        </w:rPr>
      </w:pPr>
      <w:r>
        <w:rPr>
          <w:color w:val="000000"/>
        </w:rPr>
        <w:t xml:space="preserve">Circos </w:t>
      </w:r>
      <w:proofErr w:type="spellStart"/>
      <w:r>
        <w:rPr>
          <w:color w:val="000000"/>
        </w:rPr>
        <w:t>plot</w:t>
      </w:r>
      <w:proofErr w:type="spellEnd"/>
      <w:r>
        <w:rPr>
          <w:color w:val="000000"/>
        </w:rPr>
        <w:t xml:space="preserve"> (</w:t>
      </w:r>
      <w:proofErr w:type="spellStart"/>
      <w:r>
        <w:rPr>
          <w:color w:val="000000"/>
        </w:rPr>
        <w:t>circosPlot</w:t>
      </w:r>
      <w:proofErr w:type="spellEnd"/>
      <w:r>
        <w:rPr>
          <w:color w:val="000000"/>
        </w:rPr>
        <w:t>): Representación circular que visualiza la correlación (positiva o negativa, |r| &gt; 0,7 como umbral por defecto) entre las variables seleccionadas por DIABLO en ambos bloques. Los genes ISGs y las proteínas aparecen distribuidos en arcos del círculo, con enlaces interiores codificados en color según el signo de la correlación. Este gráfico permite identificar de forma compacta los pares de variables inter-</w:t>
      </w:r>
      <w:proofErr w:type="spellStart"/>
      <w:r>
        <w:rPr>
          <w:color w:val="000000"/>
        </w:rPr>
        <w:t>ómicas</w:t>
      </w:r>
      <w:proofErr w:type="spellEnd"/>
      <w:r>
        <w:rPr>
          <w:color w:val="000000"/>
        </w:rPr>
        <w:t xml:space="preserve"> más fuertemente correlacionados en el espacio latente compartido </w:t>
      </w:r>
    </w:p>
    <w:p w14:paraId="01365484" w14:textId="3D269E4A" w:rsidR="00864352" w:rsidRDefault="003575D6" w:rsidP="00864352">
      <w:pPr>
        <w:pStyle w:val="Ttulo2"/>
        <w:numPr>
          <w:ilvl w:val="1"/>
          <w:numId w:val="17"/>
        </w:numPr>
      </w:pPr>
      <w:bookmarkStart w:id="111" w:name="_Toc230792325"/>
      <w:r w:rsidRPr="003575D6">
        <w:t>Modelo predictivo multi</w:t>
      </w:r>
      <w:r w:rsidRPr="003575D6">
        <w:rPr>
          <w:rFonts w:ascii="Cambria Math" w:hAnsi="Cambria Math" w:cs="Cambria Math"/>
        </w:rPr>
        <w:t>‑</w:t>
      </w:r>
      <w:proofErr w:type="spellStart"/>
      <w:r w:rsidRPr="003575D6">
        <w:t>ómico</w:t>
      </w:r>
      <w:proofErr w:type="spellEnd"/>
      <w:r w:rsidRPr="003575D6">
        <w:t xml:space="preserve"> mediante regularización LASSO</w:t>
      </w:r>
      <w:bookmarkEnd w:id="111"/>
    </w:p>
    <w:p w14:paraId="39A58FD0" w14:textId="4AF5CEA8" w:rsidR="00567404" w:rsidRDefault="00567404" w:rsidP="00567404">
      <w:pPr>
        <w:pStyle w:val="Ttulo3"/>
        <w:numPr>
          <w:ilvl w:val="2"/>
          <w:numId w:val="17"/>
        </w:numPr>
      </w:pPr>
      <w:r w:rsidRPr="00567404">
        <w:t>Preparación de los datos</w:t>
      </w:r>
    </w:p>
    <w:p w14:paraId="6ADC346F" w14:textId="77777777" w:rsidR="00567404" w:rsidRDefault="00567404" w:rsidP="00567404">
      <w:r w:rsidRPr="00841260">
        <w:t xml:space="preserve">Con el fin de obtener un modelo predictivo </w:t>
      </w:r>
      <w:proofErr w:type="spellStart"/>
      <w:r w:rsidRPr="00841260">
        <w:t>parsimónico</w:t>
      </w:r>
      <w:proofErr w:type="spellEnd"/>
      <w:r w:rsidRPr="00841260">
        <w:t xml:space="preserve"> e interpretable a partir de los datos multi-</w:t>
      </w:r>
      <w:proofErr w:type="spellStart"/>
      <w:r w:rsidRPr="00841260">
        <w:t>ómicos</w:t>
      </w:r>
      <w:proofErr w:type="spellEnd"/>
      <w:r w:rsidRPr="00841260">
        <w:t>, se construyó un modelo de regresión logística penalizada mediante el método LASSO (</w:t>
      </w:r>
      <w:proofErr w:type="spellStart"/>
      <w:r w:rsidRPr="00841260">
        <w:t>Least</w:t>
      </w:r>
      <w:proofErr w:type="spellEnd"/>
      <w:r w:rsidRPr="00841260">
        <w:t xml:space="preserve"> Absolute </w:t>
      </w:r>
      <w:proofErr w:type="spellStart"/>
      <w:r w:rsidRPr="00841260">
        <w:t>Shrinkage</w:t>
      </w:r>
      <w:proofErr w:type="spellEnd"/>
      <w:r w:rsidRPr="00841260">
        <w:t xml:space="preserve"> and </w:t>
      </w:r>
      <w:proofErr w:type="spellStart"/>
      <w:r w:rsidRPr="00841260">
        <w:t>Selection</w:t>
      </w:r>
      <w:proofErr w:type="spellEnd"/>
      <w:r w:rsidRPr="00841260">
        <w:t xml:space="preserve"> </w:t>
      </w:r>
      <w:proofErr w:type="spellStart"/>
      <w:r w:rsidRPr="00841260">
        <w:t>Operator</w:t>
      </w:r>
      <w:proofErr w:type="spellEnd"/>
      <w:r w:rsidRPr="00841260">
        <w:t>)</w:t>
      </w:r>
      <w:r>
        <w:t xml:space="preserve"> para evaluar el valor conjunto de la información transcriptómica (72 ISGs) y </w:t>
      </w:r>
      <w:proofErr w:type="spellStart"/>
      <w:r>
        <w:t>protemómica</w:t>
      </w:r>
      <w:proofErr w:type="spellEnd"/>
      <w:r>
        <w:t xml:space="preserve"> sérica en la predicción de distintos desenlaces clínicos de actividad y remisión del LES. </w:t>
      </w:r>
      <w:r w:rsidRPr="00841260">
        <w:t xml:space="preserve">A diferencia del enfoque de integración no supervisada, el modelo LASSO permite seleccionar de forma simultánea las variables más relevantes de ambas capas </w:t>
      </w:r>
      <w:proofErr w:type="spellStart"/>
      <w:r w:rsidRPr="00841260">
        <w:t>ómicas</w:t>
      </w:r>
      <w:proofErr w:type="spellEnd"/>
      <w:r w:rsidRPr="00841260">
        <w:t xml:space="preserve"> —transcriptómica y proteómica— en función de su capacidad discriminativa respecto a cada desenlace clínico. </w:t>
      </w:r>
      <w:r>
        <w:t>La regularización LASSO introduce un término de penalización de tipo L</w:t>
      </w:r>
      <w:r>
        <w:rPr>
          <w:vertAlign w:val="subscript"/>
        </w:rPr>
        <w:t>1</w:t>
      </w:r>
      <w:r>
        <w:t xml:space="preserve"> sobre los coeficientes del modelo, lo que favorece soluciones escasas (</w:t>
      </w:r>
      <w:proofErr w:type="spellStart"/>
      <w:r>
        <w:t>sparse</w:t>
      </w:r>
      <w:proofErr w:type="spellEnd"/>
      <w:r>
        <w:t xml:space="preserve">) en las que muchos coeficientes se contraen exactamente a cero y, por tanto, permiten la selección automática de variables. </w:t>
      </w:r>
    </w:p>
    <w:p w14:paraId="1CD46E41" w14:textId="77777777" w:rsidR="00567404" w:rsidRDefault="00567404" w:rsidP="00567404">
      <w:r>
        <w:t xml:space="preserve">Para cada desenlace se definió una </w:t>
      </w:r>
      <w:r w:rsidRPr="000326C6">
        <w:t>variable respuesta binaria Y:</w:t>
      </w:r>
      <w:r>
        <w:t xml:space="preserve"> remisión vs. no remisión según SLEDAI</w:t>
      </w:r>
      <w:r>
        <w:rPr>
          <w:rFonts w:ascii="Cambria Math" w:hAnsi="Cambria Math" w:cs="Cambria Math"/>
        </w:rPr>
        <w:t>‑</w:t>
      </w:r>
      <w:r>
        <w:t>2K (0 vs. ≥1), remisión vs. no remisión por SLE</w:t>
      </w:r>
      <w:r>
        <w:rPr>
          <w:rFonts w:ascii="Cambria Math" w:hAnsi="Cambria Math" w:cs="Cambria Math"/>
        </w:rPr>
        <w:t>‑</w:t>
      </w:r>
      <w:r>
        <w:t>DAS (≤2,08 vs. &gt;2,08), bajo vs. alto daño acumulado según SLICC</w:t>
      </w:r>
      <w:r>
        <w:rPr>
          <w:rFonts w:ascii="Cambria Math" w:hAnsi="Cambria Math" w:cs="Cambria Math"/>
        </w:rPr>
        <w:t>‑</w:t>
      </w:r>
      <w:r>
        <w:t xml:space="preserve">SDI, remisión sí/no por DORIS y remisión estricta según el criterio </w:t>
      </w:r>
      <w:r>
        <w:lastRenderedPageBreak/>
        <w:t>compuesto utilizado en los análisis previos. En cada caso, solo se incluyeron en el modelo los pacientes con datos completos para el índice correspondiente.</w:t>
      </w:r>
    </w:p>
    <w:p w14:paraId="378EB649" w14:textId="5C499CBD" w:rsidR="00567404" w:rsidRPr="00567404" w:rsidRDefault="00567404" w:rsidP="00567404">
      <w:r>
        <w:t xml:space="preserve">Como </w:t>
      </w:r>
      <w:r w:rsidRPr="000326C6">
        <w:t>predictores X</w:t>
      </w:r>
      <w:r>
        <w:t xml:space="preserve"> se empleó el mismo bloque multi</w:t>
      </w:r>
      <w:r>
        <w:rPr>
          <w:rFonts w:ascii="Cambria Math" w:hAnsi="Cambria Math" w:cs="Cambria Math"/>
        </w:rPr>
        <w:t>‑</w:t>
      </w:r>
      <w:proofErr w:type="spellStart"/>
      <w:r>
        <w:t>ómico</w:t>
      </w:r>
      <w:proofErr w:type="spellEnd"/>
      <w:r>
        <w:t xml:space="preserve"> integrado que en los modelos </w:t>
      </w:r>
      <w:r w:rsidR="00C57C6A">
        <w:t xml:space="preserve">MOFA2+ y </w:t>
      </w:r>
      <w:r>
        <w:t>DIABLO</w:t>
      </w:r>
      <w:r w:rsidR="00C57C6A">
        <w:t xml:space="preserve">. </w:t>
      </w:r>
      <w:r w:rsidRPr="00841260">
        <w:t>Ambos bloques se concatenaron horizontalmente en una única matriz de predictores X (251 filas × 90 columnas: 72 ISGs + 18 proteínas). Para cada desenlace, la variable respuesta binaria Y se definió según los criterios clínicos descritos en la sección anterior, y la matriz X se alineó con los casos disponibles para cada desenlace.</w:t>
      </w:r>
    </w:p>
    <w:p w14:paraId="23FF9CCA" w14:textId="6A2A06D8" w:rsidR="00567404" w:rsidRDefault="00567404" w:rsidP="00567404">
      <w:pPr>
        <w:pStyle w:val="Ttulo3"/>
        <w:numPr>
          <w:ilvl w:val="2"/>
          <w:numId w:val="17"/>
        </w:numPr>
      </w:pPr>
      <w:r w:rsidRPr="00567404">
        <w:t>Ajuste del modelo y selección del parámetro de regularización</w:t>
      </w:r>
    </w:p>
    <w:p w14:paraId="0916F8B1" w14:textId="1936666A" w:rsidR="00567404" w:rsidRDefault="00567404" w:rsidP="00864352">
      <w:r w:rsidRPr="00567404">
        <w:t xml:space="preserve">El modelo LASSO se implementó en R mediante la función </w:t>
      </w:r>
      <w:proofErr w:type="spellStart"/>
      <w:proofErr w:type="gramStart"/>
      <w:r w:rsidRPr="00567404">
        <w:t>cv.glmnet</w:t>
      </w:r>
      <w:proofErr w:type="spellEnd"/>
      <w:proofErr w:type="gramEnd"/>
      <w:r w:rsidRPr="00567404">
        <w:t xml:space="preserve"> del paquete </w:t>
      </w:r>
      <w:proofErr w:type="spellStart"/>
      <w:r w:rsidRPr="00567404">
        <w:t>glmnet</w:t>
      </w:r>
      <w:proofErr w:type="spellEnd"/>
      <w:r w:rsidRPr="00567404">
        <w:t>, con los siguientes parámetros: familia binomial (</w:t>
      </w:r>
      <w:proofErr w:type="spellStart"/>
      <w:r w:rsidRPr="00567404">
        <w:t>family</w:t>
      </w:r>
      <w:proofErr w:type="spellEnd"/>
      <w:r w:rsidRPr="00567404">
        <w:t xml:space="preserve"> = "binomial"), penalización L1 pura (α = 1), estandarización de predictores (</w:t>
      </w:r>
      <w:proofErr w:type="spellStart"/>
      <w:r w:rsidRPr="00567404">
        <w:t>standardize</w:t>
      </w:r>
      <w:proofErr w:type="spellEnd"/>
      <w:r w:rsidRPr="00567404">
        <w:t xml:space="preserve"> = TRUE) y métrica de selección basada en el área bajo la curva ROC (AUC). La selección del </w:t>
      </w:r>
      <w:proofErr w:type="spellStart"/>
      <w:r w:rsidRPr="00567404">
        <w:t>hiperparámetro</w:t>
      </w:r>
      <w:proofErr w:type="spellEnd"/>
      <w:r w:rsidRPr="00567404">
        <w:t xml:space="preserve"> de regularización λ se realizó mediante validación cruzada de 10 pliegues (10-fold </w:t>
      </w:r>
      <w:proofErr w:type="spellStart"/>
      <w:r w:rsidRPr="00567404">
        <w:t>cross-validation</w:t>
      </w:r>
      <w:proofErr w:type="spellEnd"/>
      <w:r w:rsidRPr="00567404">
        <w:t>), con semilla aleatoria fija (</w:t>
      </w:r>
      <w:proofErr w:type="spellStart"/>
      <w:proofErr w:type="gramStart"/>
      <w:r w:rsidRPr="00567404">
        <w:t>set.seed</w:t>
      </w:r>
      <w:proofErr w:type="spellEnd"/>
      <w:proofErr w:type="gramEnd"/>
      <w:r w:rsidRPr="00567404">
        <w:t>(123)) para garantizar la reproducibilidad de los resultados.</w:t>
      </w:r>
    </w:p>
    <w:p w14:paraId="6FFF278F" w14:textId="3624860D" w:rsidR="00567404" w:rsidRDefault="00567404" w:rsidP="00567404">
      <w:r>
        <w:t>Se evaluaron dos criterios de selección de λ:</w:t>
      </w:r>
    </w:p>
    <w:p w14:paraId="077E2B1B" w14:textId="77777777" w:rsidR="00567404" w:rsidRDefault="00567404" w:rsidP="00567404">
      <w:pPr>
        <w:pStyle w:val="Prrafodelista"/>
        <w:numPr>
          <w:ilvl w:val="0"/>
          <w:numId w:val="34"/>
        </w:numPr>
      </w:pPr>
      <w:r>
        <w:t>λ mínimo (</w:t>
      </w:r>
      <w:proofErr w:type="spellStart"/>
      <w:r>
        <w:t>lambda.min</w:t>
      </w:r>
      <w:proofErr w:type="spellEnd"/>
      <w:r>
        <w:t>): valor de λ que maximiza el AUC medio en la validación cruzada.</w:t>
      </w:r>
    </w:p>
    <w:p w14:paraId="4112F397" w14:textId="73B2D0D6" w:rsidR="00567404" w:rsidRDefault="00567404" w:rsidP="00567404">
      <w:pPr>
        <w:pStyle w:val="Prrafodelista"/>
        <w:numPr>
          <w:ilvl w:val="0"/>
          <w:numId w:val="34"/>
        </w:numPr>
      </w:pPr>
      <w:r>
        <w:t>λ + 1 error estándar (lambda.1se</w:t>
      </w:r>
      <w:r w:rsidR="008875E6">
        <w:t>, λ</w:t>
      </w:r>
      <w:r w:rsidR="008875E6" w:rsidRPr="00864352">
        <w:rPr>
          <w:vertAlign w:val="subscript"/>
        </w:rPr>
        <w:t>1</w:t>
      </w:r>
      <w:r w:rsidR="008875E6">
        <w:rPr>
          <w:vertAlign w:val="subscript"/>
        </w:rPr>
        <w:t>se</w:t>
      </w:r>
      <w:r>
        <w:t>): valor de λ más penalizador situado a un error estándar por encima del mínimo, criterio preferido por parsimonia.</w:t>
      </w:r>
    </w:p>
    <w:p w14:paraId="4B5F8EE8" w14:textId="77777777" w:rsidR="00567404" w:rsidRDefault="00567404" w:rsidP="00864352">
      <w:r w:rsidRPr="00567404">
        <w:t xml:space="preserve">En todos los desenlaces se adoptó el criterio lambda.1se por su capacidad para producir modelos más simples sin sacrificar sustancialmente el rendimiento discriminativo. </w:t>
      </w:r>
    </w:p>
    <w:p w14:paraId="21C26F1A" w14:textId="376DEBE4" w:rsidR="00864352" w:rsidRDefault="00864352" w:rsidP="00864352">
      <w:r>
        <w:t>Para cada desenlace, la firma multi</w:t>
      </w:r>
      <w:r>
        <w:rPr>
          <w:rFonts w:ascii="Cambria Math" w:hAnsi="Cambria Math" w:cs="Cambria Math"/>
        </w:rPr>
        <w:t>‑</w:t>
      </w:r>
      <w:proofErr w:type="spellStart"/>
      <w:r>
        <w:t>ómica</w:t>
      </w:r>
      <w:proofErr w:type="spellEnd"/>
      <w:r>
        <w:t xml:space="preserve"> seleccionada se definió como el conjunto de variables con coeficiente distinto de cero en el modelo LASSO ajustado con λ</w:t>
      </w:r>
      <w:r w:rsidRPr="00864352">
        <w:rPr>
          <w:vertAlign w:val="subscript"/>
        </w:rPr>
        <w:t>1</w:t>
      </w:r>
      <w:r w:rsidR="003575D6">
        <w:rPr>
          <w:vertAlign w:val="subscript"/>
        </w:rPr>
        <w:t>se</w:t>
      </w:r>
      <w:r>
        <w:t>. A partir de los modelos finales se generaron probabilidades predichas de actividad/remisión para cada paciente y se evaluó el rendimiento mediante curvas ROC y el área bajo la curva (AUC). Finalmente, se comparó la capacidad discriminativa de las firmas multi</w:t>
      </w:r>
      <w:r>
        <w:rPr>
          <w:rFonts w:ascii="Cambria Math" w:hAnsi="Cambria Math" w:cs="Cambria Math"/>
        </w:rPr>
        <w:t>‑</w:t>
      </w:r>
      <w:proofErr w:type="spellStart"/>
      <w:r>
        <w:t>ómicas</w:t>
      </w:r>
      <w:proofErr w:type="spellEnd"/>
      <w:r>
        <w:t xml:space="preserve"> obtenidas frente a la de biomarcadores individuales de uso clínico (IFN</w:t>
      </w:r>
      <w:r>
        <w:rPr>
          <w:rFonts w:ascii="Cambria Math" w:hAnsi="Cambria Math" w:cs="Cambria Math"/>
        </w:rPr>
        <w:t>‑</w:t>
      </w:r>
      <w:r>
        <w:t>α sérico, C3 y C4) para valorar el valor añadido de la integración transcriptómica</w:t>
      </w:r>
      <w:r>
        <w:rPr>
          <w:rFonts w:ascii="Cambria Math" w:hAnsi="Cambria Math" w:cs="Cambria Math"/>
        </w:rPr>
        <w:t>‑</w:t>
      </w:r>
      <w:proofErr w:type="spellStart"/>
      <w:r>
        <w:t>protemómica</w:t>
      </w:r>
      <w:proofErr w:type="spellEnd"/>
      <w:r>
        <w:t xml:space="preserve"> en la predicción de la actividad clínica del LES.</w:t>
      </w:r>
    </w:p>
    <w:p w14:paraId="728556B8" w14:textId="1C5563ED" w:rsidR="00097466" w:rsidRDefault="00567404" w:rsidP="00567404">
      <w:pPr>
        <w:pStyle w:val="Ttulo3"/>
        <w:numPr>
          <w:ilvl w:val="2"/>
          <w:numId w:val="17"/>
        </w:numPr>
      </w:pPr>
      <w:r w:rsidRPr="00567404">
        <w:t>Evaluación del rendimiento discriminativo</w:t>
      </w:r>
    </w:p>
    <w:p w14:paraId="10E19CB1" w14:textId="3E1785CC" w:rsidR="00567404" w:rsidRDefault="00567404" w:rsidP="00567404">
      <w:r>
        <w:t xml:space="preserve">El rendimiento de cada modelo final se evaluó mediante curvas ROC y el cálculo del AUC utilizando el paquete </w:t>
      </w:r>
      <w:proofErr w:type="spellStart"/>
      <w:r>
        <w:t>pROC</w:t>
      </w:r>
      <w:proofErr w:type="spellEnd"/>
      <w:r>
        <w:t>. Se distinguieron dos métricas complementarias:</w:t>
      </w:r>
    </w:p>
    <w:p w14:paraId="4BCEB260" w14:textId="77777777" w:rsidR="00567404" w:rsidRDefault="00567404" w:rsidP="00567404">
      <w:pPr>
        <w:pStyle w:val="Prrafodelista"/>
        <w:numPr>
          <w:ilvl w:val="0"/>
          <w:numId w:val="36"/>
        </w:numPr>
      </w:pPr>
      <w:r>
        <w:t xml:space="preserve">AUC en validación cruzada (AUC CV): estimación del AUC máximo obtenido en la validación cruzada 10-fold con </w:t>
      </w:r>
      <w:proofErr w:type="spellStart"/>
      <w:r>
        <w:t>lambda.min</w:t>
      </w:r>
      <w:proofErr w:type="spellEnd"/>
      <w:r>
        <w:t>; constituye la estimación más generalizable del rendimiento del modelo.</w:t>
      </w:r>
    </w:p>
    <w:p w14:paraId="2A364A72" w14:textId="6F892313" w:rsidR="00567404" w:rsidRDefault="00567404" w:rsidP="00567404">
      <w:pPr>
        <w:pStyle w:val="Prrafodelista"/>
        <w:numPr>
          <w:ilvl w:val="0"/>
          <w:numId w:val="36"/>
        </w:numPr>
      </w:pPr>
      <w:r>
        <w:t>AUC aparente: AUC estimado aplicando el modelo final sobre la muestra completa; tiende a sobreestimar el rendimiento real y se reporta a efectos comparativos.</w:t>
      </w:r>
    </w:p>
    <w:p w14:paraId="005CC44D" w14:textId="7FD2B1DB" w:rsidR="00097466" w:rsidRDefault="00567404" w:rsidP="00567404">
      <w:r>
        <w:lastRenderedPageBreak/>
        <w:t>Adicionalmente, el poder discriminativo del modelo LASSO multi-</w:t>
      </w:r>
      <w:proofErr w:type="spellStart"/>
      <w:r>
        <w:t>ómico</w:t>
      </w:r>
      <w:proofErr w:type="spellEnd"/>
      <w:r>
        <w:t xml:space="preserve"> se comparó con el de tres biomarcadores individuales de referencia clínica: IFN-α sérico (pg/</w:t>
      </w:r>
      <w:proofErr w:type="spellStart"/>
      <w:r>
        <w:t>mL</w:t>
      </w:r>
      <w:proofErr w:type="spellEnd"/>
      <w:r>
        <w:t>), C3 (mg/</w:t>
      </w:r>
      <w:proofErr w:type="spellStart"/>
      <w:r>
        <w:t>dL</w:t>
      </w:r>
      <w:proofErr w:type="spellEnd"/>
      <w:r>
        <w:t>) y C4 (mg/</w:t>
      </w:r>
      <w:proofErr w:type="spellStart"/>
      <w:r>
        <w:t>dL</w:t>
      </w:r>
      <w:proofErr w:type="spellEnd"/>
      <w:r>
        <w:t>), para los cuales se calcularon curvas ROC individuales bajo el mismo esquema de evaluación aparente.</w:t>
      </w:r>
    </w:p>
    <w:p w14:paraId="6654E07E" w14:textId="0D06F2B0" w:rsidR="00E76F9C" w:rsidRDefault="00E76F9C" w:rsidP="00567404">
      <w:r w:rsidRPr="00E76F9C">
        <w:t xml:space="preserve">La </w:t>
      </w:r>
      <w:r>
        <w:t>siguiente figura</w:t>
      </w:r>
      <w:r w:rsidRPr="00E76F9C">
        <w:t xml:space="preserve"> resume el flujo analítico global aplicado en este trabajo</w:t>
      </w:r>
      <w:r>
        <w:t xml:space="preserve">. </w:t>
      </w:r>
    </w:p>
    <w:p w14:paraId="62EA4506" w14:textId="77777777" w:rsidR="00E76F9C" w:rsidRDefault="00E76F9C" w:rsidP="00C57C6A">
      <w:pPr>
        <w:keepNext/>
        <w:jc w:val="center"/>
      </w:pPr>
      <w:r>
        <w:rPr>
          <w:noProof/>
        </w:rPr>
        <w:drawing>
          <wp:inline distT="0" distB="0" distL="0" distR="0" wp14:anchorId="7E515C17" wp14:editId="7534FA8F">
            <wp:extent cx="5002730" cy="2568102"/>
            <wp:effectExtent l="0" t="0" r="1270" b="0"/>
            <wp:docPr id="1433221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21124" name="Imagen 1433221124"/>
                    <pic:cNvPicPr/>
                  </pic:nvPicPr>
                  <pic:blipFill rotWithShape="1">
                    <a:blip r:embed="rId26" cstate="print">
                      <a:extLst>
                        <a:ext uri="{28A0092B-C50C-407E-A947-70E740481C1C}">
                          <a14:useLocalDpi xmlns:a14="http://schemas.microsoft.com/office/drawing/2010/main" val="0"/>
                        </a:ext>
                      </a:extLst>
                    </a:blip>
                    <a:srcRect b="8700"/>
                    <a:stretch/>
                  </pic:blipFill>
                  <pic:spPr bwMode="auto">
                    <a:xfrm>
                      <a:off x="0" y="0"/>
                      <a:ext cx="5026873" cy="2580496"/>
                    </a:xfrm>
                    <a:prstGeom prst="rect">
                      <a:avLst/>
                    </a:prstGeom>
                    <a:ln>
                      <a:noFill/>
                    </a:ln>
                    <a:extLst>
                      <a:ext uri="{53640926-AAD7-44D8-BBD7-CCE9431645EC}">
                        <a14:shadowObscured xmlns:a14="http://schemas.microsoft.com/office/drawing/2010/main"/>
                      </a:ext>
                    </a:extLst>
                  </pic:spPr>
                </pic:pic>
              </a:graphicData>
            </a:graphic>
          </wp:inline>
        </w:drawing>
      </w:r>
    </w:p>
    <w:p w14:paraId="2BDD625B" w14:textId="2618A0C0" w:rsidR="00097466" w:rsidRDefault="00E76F9C" w:rsidP="00C67F76">
      <w:pPr>
        <w:pStyle w:val="Descripcin"/>
      </w:pPr>
      <w:bookmarkStart w:id="112" w:name="_Toc230792276"/>
      <w:r>
        <w:t xml:space="preserve">Ilustración </w:t>
      </w:r>
      <w:fldSimple w:instr=" SEQ Ilustración \* ARABIC ">
        <w:r>
          <w:rPr>
            <w:noProof/>
          </w:rPr>
          <w:t>3</w:t>
        </w:r>
      </w:fldSimple>
      <w:r>
        <w:t xml:space="preserve">. </w:t>
      </w:r>
      <w:r w:rsidRPr="00FC7908">
        <w:t>Arquitectura analítica del estudio.</w:t>
      </w:r>
      <w:r>
        <w:t xml:space="preserve"> </w:t>
      </w:r>
      <w:r w:rsidRPr="00E76F9C">
        <w:t xml:space="preserve">A partir de los datos transcriptómicos de 72 ISGs cuantificados mediante </w:t>
      </w:r>
      <w:proofErr w:type="spellStart"/>
      <w:r w:rsidRPr="00E76F9C">
        <w:t>NanoString</w:t>
      </w:r>
      <w:proofErr w:type="spellEnd"/>
      <w:r w:rsidRPr="00E76F9C">
        <w:t xml:space="preserve"> </w:t>
      </w:r>
      <w:proofErr w:type="spellStart"/>
      <w:r w:rsidRPr="00E76F9C">
        <w:t>nCounter</w:t>
      </w:r>
      <w:proofErr w:type="spellEnd"/>
      <w:r w:rsidRPr="00E76F9C">
        <w:t>, un panel proteómico sérico multicomponente y los índices clínicos validados de actividad/remisión en LES (SLEDAI-2K, SLE-DAS, SLICC-DI, LLDAS, DORIS), se construye el IFN-score y la estratificación IFN-</w:t>
      </w:r>
      <w:proofErr w:type="spellStart"/>
      <w:r w:rsidRPr="00E76F9C">
        <w:t>high</w:t>
      </w:r>
      <w:proofErr w:type="spellEnd"/>
      <w:r w:rsidRPr="00E76F9C">
        <w:t>/IFN-low, se realizan comparaciones clínicas clásicas y se aplican estrategias de integración multi-</w:t>
      </w:r>
      <w:proofErr w:type="spellStart"/>
      <w:r w:rsidRPr="00E76F9C">
        <w:t>ómica</w:t>
      </w:r>
      <w:proofErr w:type="spellEnd"/>
      <w:r w:rsidRPr="00E76F9C">
        <w:t xml:space="preserve"> no supervisada (MOFA2) y supervisada (DIABLO), culminando en un modelo predictivo de actividad basado en regresión penalizada LASSO.</w:t>
      </w:r>
      <w:bookmarkEnd w:id="112"/>
      <w:r>
        <w:br w:type="page"/>
      </w:r>
    </w:p>
    <w:p w14:paraId="6712F61D" w14:textId="77777777" w:rsidR="00097466" w:rsidRDefault="00000000">
      <w:pPr>
        <w:pStyle w:val="Ttulo1"/>
        <w:numPr>
          <w:ilvl w:val="0"/>
          <w:numId w:val="17"/>
        </w:numPr>
      </w:pPr>
      <w:bookmarkStart w:id="113" w:name="_Toc229237686"/>
      <w:bookmarkStart w:id="114" w:name="_Toc230792326"/>
      <w:r>
        <w:lastRenderedPageBreak/>
        <w:t>Resultados</w:t>
      </w:r>
      <w:bookmarkEnd w:id="113"/>
      <w:bookmarkEnd w:id="114"/>
    </w:p>
    <w:p w14:paraId="5D78AFCE" w14:textId="77777777" w:rsidR="00097466" w:rsidRDefault="00000000">
      <w:pPr>
        <w:pStyle w:val="Ttulo2"/>
        <w:numPr>
          <w:ilvl w:val="1"/>
          <w:numId w:val="17"/>
        </w:numPr>
      </w:pPr>
      <w:bookmarkStart w:id="115" w:name="_Toc229237687"/>
      <w:bookmarkStart w:id="116" w:name="_Toc230792327"/>
      <w:r>
        <w:t>Análisis descriptivo</w:t>
      </w:r>
      <w:bookmarkEnd w:id="115"/>
      <w:bookmarkEnd w:id="116"/>
    </w:p>
    <w:p w14:paraId="79FD5E54" w14:textId="77777777" w:rsidR="00097466" w:rsidRDefault="00000000">
      <w:pPr>
        <w:pStyle w:val="Ttulo3"/>
        <w:numPr>
          <w:ilvl w:val="2"/>
          <w:numId w:val="17"/>
        </w:numPr>
      </w:pPr>
      <w:r>
        <w:t>Características demográficas y clínicas de la cohorte</w:t>
      </w:r>
    </w:p>
    <w:p w14:paraId="3823AF8F" w14:textId="07F6A0EC" w:rsidR="00097466" w:rsidRDefault="00000000">
      <w:r>
        <w:t xml:space="preserve">La cohorte analítica estuvo compuesta por </w:t>
      </w:r>
      <w:r w:rsidRPr="001D0566">
        <w:t>252 pacientes</w:t>
      </w:r>
      <w:r>
        <w:t xml:space="preserve"> con diagnóstico confirmado de lupus eritematoso sistémico (LES). El grupo presentó un marcado </w:t>
      </w:r>
      <w:r w:rsidRPr="001D0566">
        <w:t>predominio femenino</w:t>
      </w:r>
      <w:r>
        <w:t>, con 227 mujeres (90,1%) y 25 varones (9,9%), en consonancia con la epidemiología conocida de la enfermedad</w:t>
      </w:r>
      <w:r w:rsidR="007876F2">
        <w:t xml:space="preserve"> (Tabla 7)</w:t>
      </w:r>
      <w:r>
        <w:t>.</w:t>
      </w:r>
    </w:p>
    <w:tbl>
      <w:tblPr>
        <w:tblStyle w:val="a7"/>
        <w:tblW w:w="8484" w:type="dxa"/>
        <w:tblInd w:w="0" w:type="dxa"/>
        <w:tblLayout w:type="fixed"/>
        <w:tblLook w:val="0400" w:firstRow="0" w:lastRow="0" w:firstColumn="0" w:lastColumn="0" w:noHBand="0" w:noVBand="1"/>
      </w:tblPr>
      <w:tblGrid>
        <w:gridCol w:w="3458"/>
        <w:gridCol w:w="2467"/>
        <w:gridCol w:w="2559"/>
      </w:tblGrid>
      <w:tr w:rsidR="00097466" w14:paraId="4DBCB9F8" w14:textId="77777777">
        <w:trPr>
          <w:trHeight w:val="397"/>
        </w:trPr>
        <w:tc>
          <w:tcPr>
            <w:tcW w:w="3459"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4C12C057" w14:textId="77777777" w:rsidR="00097466" w:rsidRDefault="00000000">
            <w:pPr>
              <w:spacing w:before="0" w:after="0" w:line="240" w:lineRule="auto"/>
              <w:jc w:val="left"/>
              <w:rPr>
                <w:b/>
                <w:bCs/>
                <w:color w:val="000000"/>
                <w:sz w:val="20"/>
                <w:szCs w:val="20"/>
              </w:rPr>
            </w:pPr>
            <w:r>
              <w:rPr>
                <w:b/>
                <w:bCs/>
                <w:color w:val="000000"/>
                <w:sz w:val="20"/>
                <w:szCs w:val="20"/>
              </w:rPr>
              <w:t>Variable</w:t>
            </w:r>
          </w:p>
        </w:tc>
        <w:tc>
          <w:tcPr>
            <w:tcW w:w="2467" w:type="dxa"/>
            <w:tcBorders>
              <w:top w:val="single" w:sz="8" w:space="0" w:color="DDDDDD"/>
              <w:left w:val="nil"/>
              <w:bottom w:val="single" w:sz="8" w:space="0" w:color="DDDDDD"/>
              <w:right w:val="single" w:sz="8" w:space="0" w:color="DDDDDD"/>
            </w:tcBorders>
            <w:shd w:val="clear" w:color="auto" w:fill="F2F2F2"/>
            <w:vAlign w:val="center"/>
          </w:tcPr>
          <w:p w14:paraId="066996B6" w14:textId="77777777" w:rsidR="00097466" w:rsidRDefault="00000000">
            <w:pPr>
              <w:spacing w:before="0" w:after="0" w:line="240" w:lineRule="auto"/>
              <w:jc w:val="center"/>
              <w:rPr>
                <w:b/>
                <w:bCs/>
                <w:color w:val="000000"/>
                <w:sz w:val="20"/>
                <w:szCs w:val="20"/>
              </w:rPr>
            </w:pPr>
            <w:r>
              <w:rPr>
                <w:b/>
                <w:bCs/>
                <w:color w:val="000000"/>
                <w:sz w:val="20"/>
                <w:szCs w:val="20"/>
              </w:rPr>
              <w:t>Pacientes LES (n = 252)</w:t>
            </w:r>
          </w:p>
        </w:tc>
        <w:tc>
          <w:tcPr>
            <w:tcW w:w="2559" w:type="dxa"/>
            <w:tcBorders>
              <w:top w:val="single" w:sz="8" w:space="0" w:color="DDDDDD"/>
              <w:left w:val="nil"/>
              <w:bottom w:val="single" w:sz="8" w:space="0" w:color="DDDDDD"/>
              <w:right w:val="single" w:sz="8" w:space="0" w:color="DDDDDD"/>
            </w:tcBorders>
            <w:shd w:val="clear" w:color="auto" w:fill="F2F2F2"/>
            <w:vAlign w:val="center"/>
          </w:tcPr>
          <w:p w14:paraId="1BC77413" w14:textId="77777777" w:rsidR="00097466" w:rsidRDefault="00000000">
            <w:pPr>
              <w:spacing w:before="0" w:after="0" w:line="240" w:lineRule="auto"/>
              <w:jc w:val="center"/>
              <w:rPr>
                <w:b/>
                <w:bCs/>
                <w:color w:val="000000"/>
                <w:sz w:val="20"/>
                <w:szCs w:val="20"/>
              </w:rPr>
            </w:pPr>
            <w:r>
              <w:rPr>
                <w:b/>
                <w:bCs/>
                <w:color w:val="000000"/>
                <w:sz w:val="20"/>
                <w:szCs w:val="20"/>
              </w:rPr>
              <w:t>Controles sanos (n = 24)</w:t>
            </w:r>
          </w:p>
        </w:tc>
      </w:tr>
      <w:tr w:rsidR="00097466" w14:paraId="2763041F" w14:textId="77777777">
        <w:trPr>
          <w:trHeight w:val="397"/>
        </w:trPr>
        <w:tc>
          <w:tcPr>
            <w:tcW w:w="3459" w:type="dxa"/>
            <w:tcBorders>
              <w:top w:val="nil"/>
              <w:left w:val="single" w:sz="8" w:space="0" w:color="DDDDDD"/>
              <w:bottom w:val="single" w:sz="8" w:space="0" w:color="DDDDDD"/>
              <w:right w:val="single" w:sz="8" w:space="0" w:color="DDDDDD"/>
            </w:tcBorders>
            <w:shd w:val="clear" w:color="auto" w:fill="auto"/>
            <w:vAlign w:val="center"/>
          </w:tcPr>
          <w:p w14:paraId="5C373A5B" w14:textId="77777777" w:rsidR="00097466" w:rsidRDefault="00000000">
            <w:pPr>
              <w:spacing w:before="0" w:after="0" w:line="240" w:lineRule="auto"/>
              <w:jc w:val="left"/>
              <w:rPr>
                <w:b/>
                <w:bCs/>
                <w:color w:val="000000"/>
                <w:sz w:val="20"/>
                <w:szCs w:val="20"/>
              </w:rPr>
            </w:pPr>
            <w:r>
              <w:rPr>
                <w:b/>
                <w:bCs/>
                <w:color w:val="000000"/>
                <w:sz w:val="20"/>
                <w:szCs w:val="20"/>
              </w:rPr>
              <w:t>Edad (años)</w:t>
            </w:r>
          </w:p>
        </w:tc>
        <w:tc>
          <w:tcPr>
            <w:tcW w:w="2467" w:type="dxa"/>
            <w:tcBorders>
              <w:top w:val="nil"/>
              <w:left w:val="nil"/>
              <w:bottom w:val="single" w:sz="8" w:space="0" w:color="DDDDDD"/>
              <w:right w:val="single" w:sz="8" w:space="0" w:color="DDDDDD"/>
            </w:tcBorders>
            <w:shd w:val="clear" w:color="auto" w:fill="auto"/>
            <w:vAlign w:val="center"/>
          </w:tcPr>
          <w:p w14:paraId="4DC6980A" w14:textId="77777777" w:rsidR="00097466" w:rsidRDefault="00000000">
            <w:pPr>
              <w:spacing w:before="0" w:after="0" w:line="240" w:lineRule="auto"/>
              <w:jc w:val="center"/>
              <w:rPr>
                <w:color w:val="000000"/>
                <w:sz w:val="20"/>
                <w:szCs w:val="20"/>
              </w:rPr>
            </w:pPr>
            <w:r>
              <w:rPr>
                <w:color w:val="000000"/>
                <w:sz w:val="20"/>
                <w:szCs w:val="20"/>
              </w:rPr>
              <w:t xml:space="preserve">52,5 ± </w:t>
            </w:r>
            <w:proofErr w:type="gramStart"/>
            <w:r>
              <w:rPr>
                <w:color w:val="000000"/>
                <w:sz w:val="20"/>
                <w:szCs w:val="20"/>
              </w:rPr>
              <w:t>11,51ᵃ</w:t>
            </w:r>
            <w:proofErr w:type="gramEnd"/>
          </w:p>
        </w:tc>
        <w:tc>
          <w:tcPr>
            <w:tcW w:w="2559" w:type="dxa"/>
            <w:tcBorders>
              <w:top w:val="nil"/>
              <w:left w:val="nil"/>
              <w:bottom w:val="single" w:sz="8" w:space="0" w:color="DDDDDD"/>
              <w:right w:val="single" w:sz="8" w:space="0" w:color="DDDDDD"/>
            </w:tcBorders>
            <w:shd w:val="clear" w:color="auto" w:fill="auto"/>
            <w:vAlign w:val="center"/>
          </w:tcPr>
          <w:p w14:paraId="56C38F73" w14:textId="77777777" w:rsidR="00097466" w:rsidRDefault="00000000">
            <w:pPr>
              <w:spacing w:before="0" w:after="0" w:line="240" w:lineRule="auto"/>
              <w:jc w:val="center"/>
              <w:rPr>
                <w:color w:val="000000"/>
                <w:sz w:val="20"/>
                <w:szCs w:val="20"/>
              </w:rPr>
            </w:pPr>
            <w:r>
              <w:rPr>
                <w:color w:val="000000"/>
                <w:sz w:val="20"/>
                <w:szCs w:val="20"/>
              </w:rPr>
              <w:t xml:space="preserve">53,04 ± </w:t>
            </w:r>
            <w:proofErr w:type="gramStart"/>
            <w:r>
              <w:rPr>
                <w:color w:val="000000"/>
                <w:sz w:val="20"/>
                <w:szCs w:val="20"/>
              </w:rPr>
              <w:t>7,49ᵃ</w:t>
            </w:r>
            <w:proofErr w:type="gramEnd"/>
          </w:p>
        </w:tc>
      </w:tr>
      <w:tr w:rsidR="00097466" w14:paraId="45B36F8D" w14:textId="77777777">
        <w:trPr>
          <w:trHeight w:val="397"/>
        </w:trPr>
        <w:tc>
          <w:tcPr>
            <w:tcW w:w="3459" w:type="dxa"/>
            <w:tcBorders>
              <w:top w:val="nil"/>
              <w:left w:val="single" w:sz="8" w:space="0" w:color="DDDDDD"/>
              <w:bottom w:val="single" w:sz="8" w:space="0" w:color="DDDDDD"/>
              <w:right w:val="single" w:sz="8" w:space="0" w:color="DDDDDD"/>
            </w:tcBorders>
            <w:shd w:val="clear" w:color="auto" w:fill="auto"/>
            <w:vAlign w:val="center"/>
          </w:tcPr>
          <w:p w14:paraId="1CA1EED5" w14:textId="77777777" w:rsidR="00097466" w:rsidRDefault="00000000">
            <w:pPr>
              <w:spacing w:before="0" w:after="0" w:line="240" w:lineRule="auto"/>
              <w:jc w:val="left"/>
              <w:rPr>
                <w:b/>
                <w:bCs/>
                <w:color w:val="000000"/>
                <w:sz w:val="20"/>
                <w:szCs w:val="20"/>
              </w:rPr>
            </w:pPr>
            <w:r>
              <w:rPr>
                <w:b/>
                <w:bCs/>
                <w:color w:val="000000"/>
                <w:sz w:val="20"/>
                <w:szCs w:val="20"/>
              </w:rPr>
              <w:t>Sexo femenino, N (%)</w:t>
            </w:r>
          </w:p>
        </w:tc>
        <w:tc>
          <w:tcPr>
            <w:tcW w:w="2467" w:type="dxa"/>
            <w:tcBorders>
              <w:top w:val="nil"/>
              <w:left w:val="nil"/>
              <w:bottom w:val="single" w:sz="8" w:space="0" w:color="DDDDDD"/>
              <w:right w:val="single" w:sz="8" w:space="0" w:color="DDDDDD"/>
            </w:tcBorders>
            <w:shd w:val="clear" w:color="auto" w:fill="auto"/>
            <w:vAlign w:val="center"/>
          </w:tcPr>
          <w:p w14:paraId="0B54257E" w14:textId="77777777" w:rsidR="00097466" w:rsidRDefault="00000000">
            <w:pPr>
              <w:spacing w:before="0" w:after="0" w:line="240" w:lineRule="auto"/>
              <w:jc w:val="center"/>
              <w:rPr>
                <w:color w:val="000000"/>
                <w:sz w:val="20"/>
                <w:szCs w:val="20"/>
              </w:rPr>
            </w:pPr>
            <w:r>
              <w:rPr>
                <w:color w:val="000000"/>
                <w:sz w:val="20"/>
                <w:szCs w:val="20"/>
              </w:rPr>
              <w:t>227 (90,1%)</w:t>
            </w:r>
          </w:p>
        </w:tc>
        <w:tc>
          <w:tcPr>
            <w:tcW w:w="2559" w:type="dxa"/>
            <w:tcBorders>
              <w:top w:val="nil"/>
              <w:left w:val="nil"/>
              <w:bottom w:val="single" w:sz="8" w:space="0" w:color="DDDDDD"/>
              <w:right w:val="single" w:sz="8" w:space="0" w:color="DDDDDD"/>
            </w:tcBorders>
            <w:shd w:val="clear" w:color="auto" w:fill="auto"/>
            <w:vAlign w:val="center"/>
          </w:tcPr>
          <w:p w14:paraId="362F0A85" w14:textId="77777777" w:rsidR="00097466" w:rsidRDefault="00000000">
            <w:pPr>
              <w:spacing w:before="0" w:after="0" w:line="240" w:lineRule="auto"/>
              <w:jc w:val="center"/>
              <w:rPr>
                <w:color w:val="000000"/>
                <w:sz w:val="20"/>
                <w:szCs w:val="20"/>
              </w:rPr>
            </w:pPr>
            <w:r>
              <w:rPr>
                <w:color w:val="000000"/>
                <w:sz w:val="20"/>
                <w:szCs w:val="20"/>
              </w:rPr>
              <w:t>22 (91,7%)</w:t>
            </w:r>
          </w:p>
        </w:tc>
      </w:tr>
      <w:tr w:rsidR="00097466" w14:paraId="2DC0A3EC" w14:textId="77777777">
        <w:trPr>
          <w:trHeight w:val="397"/>
        </w:trPr>
        <w:tc>
          <w:tcPr>
            <w:tcW w:w="3459" w:type="dxa"/>
            <w:tcBorders>
              <w:top w:val="nil"/>
              <w:left w:val="single" w:sz="8" w:space="0" w:color="DDDDDD"/>
              <w:bottom w:val="single" w:sz="8" w:space="0" w:color="DDDDDD"/>
              <w:right w:val="single" w:sz="8" w:space="0" w:color="DDDDDD"/>
            </w:tcBorders>
            <w:shd w:val="clear" w:color="auto" w:fill="auto"/>
            <w:vAlign w:val="center"/>
          </w:tcPr>
          <w:p w14:paraId="0FCB48E5" w14:textId="77777777" w:rsidR="00097466" w:rsidRDefault="00000000">
            <w:pPr>
              <w:spacing w:before="0" w:after="0" w:line="240" w:lineRule="auto"/>
              <w:jc w:val="left"/>
              <w:rPr>
                <w:b/>
                <w:bCs/>
                <w:color w:val="000000"/>
                <w:sz w:val="20"/>
                <w:szCs w:val="20"/>
              </w:rPr>
            </w:pPr>
            <w:r>
              <w:rPr>
                <w:b/>
                <w:bCs/>
                <w:color w:val="000000"/>
                <w:sz w:val="20"/>
                <w:szCs w:val="20"/>
              </w:rPr>
              <w:t>Sexo masculino, N (%)</w:t>
            </w:r>
          </w:p>
        </w:tc>
        <w:tc>
          <w:tcPr>
            <w:tcW w:w="2467" w:type="dxa"/>
            <w:tcBorders>
              <w:top w:val="nil"/>
              <w:left w:val="nil"/>
              <w:bottom w:val="single" w:sz="8" w:space="0" w:color="DDDDDD"/>
              <w:right w:val="single" w:sz="8" w:space="0" w:color="DDDDDD"/>
            </w:tcBorders>
            <w:shd w:val="clear" w:color="auto" w:fill="auto"/>
            <w:vAlign w:val="center"/>
          </w:tcPr>
          <w:p w14:paraId="04B83669" w14:textId="77777777" w:rsidR="00097466" w:rsidRDefault="00000000">
            <w:pPr>
              <w:spacing w:before="0" w:after="0" w:line="240" w:lineRule="auto"/>
              <w:jc w:val="center"/>
              <w:rPr>
                <w:color w:val="000000"/>
                <w:sz w:val="20"/>
                <w:szCs w:val="20"/>
              </w:rPr>
            </w:pPr>
            <w:r>
              <w:rPr>
                <w:color w:val="000000"/>
                <w:sz w:val="20"/>
                <w:szCs w:val="20"/>
              </w:rPr>
              <w:t>25 (9,9%)</w:t>
            </w:r>
          </w:p>
        </w:tc>
        <w:tc>
          <w:tcPr>
            <w:tcW w:w="2559" w:type="dxa"/>
            <w:tcBorders>
              <w:top w:val="nil"/>
              <w:left w:val="nil"/>
              <w:bottom w:val="single" w:sz="8" w:space="0" w:color="DDDDDD"/>
              <w:right w:val="single" w:sz="8" w:space="0" w:color="DDDDDD"/>
            </w:tcBorders>
            <w:shd w:val="clear" w:color="auto" w:fill="auto"/>
            <w:vAlign w:val="center"/>
          </w:tcPr>
          <w:p w14:paraId="2A0C1CFB" w14:textId="77777777" w:rsidR="00097466" w:rsidRDefault="00000000">
            <w:pPr>
              <w:spacing w:before="0" w:after="0" w:line="240" w:lineRule="auto"/>
              <w:jc w:val="center"/>
              <w:rPr>
                <w:color w:val="000000"/>
                <w:sz w:val="20"/>
                <w:szCs w:val="20"/>
              </w:rPr>
            </w:pPr>
            <w:r>
              <w:rPr>
                <w:color w:val="000000"/>
                <w:sz w:val="20"/>
                <w:szCs w:val="20"/>
              </w:rPr>
              <w:t>2 (8,3%)</w:t>
            </w:r>
          </w:p>
        </w:tc>
      </w:tr>
      <w:tr w:rsidR="00097466" w14:paraId="3F7AE906" w14:textId="77777777">
        <w:trPr>
          <w:trHeight w:val="397"/>
        </w:trPr>
        <w:tc>
          <w:tcPr>
            <w:tcW w:w="3459" w:type="dxa"/>
            <w:tcBorders>
              <w:top w:val="nil"/>
              <w:left w:val="single" w:sz="8" w:space="0" w:color="DDDDDD"/>
              <w:bottom w:val="single" w:sz="8" w:space="0" w:color="DDDDDD"/>
              <w:right w:val="single" w:sz="8" w:space="0" w:color="DDDDDD"/>
            </w:tcBorders>
            <w:shd w:val="clear" w:color="auto" w:fill="auto"/>
            <w:vAlign w:val="center"/>
          </w:tcPr>
          <w:p w14:paraId="525D6D4C" w14:textId="77777777" w:rsidR="00097466" w:rsidRDefault="00000000">
            <w:pPr>
              <w:spacing w:before="0" w:after="0" w:line="240" w:lineRule="auto"/>
              <w:jc w:val="left"/>
              <w:rPr>
                <w:b/>
                <w:bCs/>
                <w:color w:val="000000"/>
                <w:sz w:val="20"/>
                <w:szCs w:val="20"/>
              </w:rPr>
            </w:pPr>
            <w:r>
              <w:rPr>
                <w:b/>
                <w:bCs/>
                <w:color w:val="000000"/>
                <w:sz w:val="20"/>
                <w:szCs w:val="20"/>
              </w:rPr>
              <w:t>Duración de la enfermedad (años)</w:t>
            </w:r>
          </w:p>
        </w:tc>
        <w:tc>
          <w:tcPr>
            <w:tcW w:w="2467" w:type="dxa"/>
            <w:tcBorders>
              <w:top w:val="nil"/>
              <w:left w:val="nil"/>
              <w:bottom w:val="single" w:sz="8" w:space="0" w:color="DDDDDD"/>
              <w:right w:val="single" w:sz="8" w:space="0" w:color="DDDDDD"/>
            </w:tcBorders>
            <w:shd w:val="clear" w:color="auto" w:fill="auto"/>
            <w:vAlign w:val="center"/>
          </w:tcPr>
          <w:p w14:paraId="6536F145" w14:textId="77777777" w:rsidR="00097466" w:rsidRDefault="00000000">
            <w:pPr>
              <w:spacing w:before="0" w:after="0" w:line="240" w:lineRule="auto"/>
              <w:jc w:val="center"/>
              <w:rPr>
                <w:color w:val="000000"/>
                <w:sz w:val="20"/>
                <w:szCs w:val="20"/>
              </w:rPr>
            </w:pPr>
            <w:r>
              <w:rPr>
                <w:color w:val="000000"/>
                <w:sz w:val="20"/>
                <w:szCs w:val="20"/>
              </w:rPr>
              <w:t>19,43 [10,27–27,47] ᵇ</w:t>
            </w:r>
          </w:p>
        </w:tc>
        <w:tc>
          <w:tcPr>
            <w:tcW w:w="2559" w:type="dxa"/>
            <w:tcBorders>
              <w:top w:val="nil"/>
              <w:left w:val="nil"/>
              <w:bottom w:val="single" w:sz="8" w:space="0" w:color="DDDDDD"/>
              <w:right w:val="single" w:sz="8" w:space="0" w:color="DDDDDD"/>
            </w:tcBorders>
            <w:shd w:val="clear" w:color="auto" w:fill="auto"/>
            <w:vAlign w:val="center"/>
          </w:tcPr>
          <w:p w14:paraId="07D2DD27" w14:textId="77777777" w:rsidR="00097466" w:rsidRDefault="00000000">
            <w:pPr>
              <w:spacing w:before="0" w:after="0" w:line="240" w:lineRule="auto"/>
              <w:jc w:val="center"/>
              <w:rPr>
                <w:color w:val="000000"/>
                <w:sz w:val="20"/>
                <w:szCs w:val="20"/>
              </w:rPr>
            </w:pPr>
            <w:r>
              <w:rPr>
                <w:color w:val="000000"/>
                <w:sz w:val="20"/>
                <w:szCs w:val="20"/>
              </w:rPr>
              <w:t>—</w:t>
            </w:r>
          </w:p>
        </w:tc>
      </w:tr>
      <w:tr w:rsidR="00097466" w14:paraId="492F20C5" w14:textId="77777777">
        <w:trPr>
          <w:trHeight w:val="397"/>
        </w:trPr>
        <w:tc>
          <w:tcPr>
            <w:tcW w:w="3459" w:type="dxa"/>
            <w:tcBorders>
              <w:top w:val="nil"/>
              <w:left w:val="single" w:sz="8" w:space="0" w:color="DDDDDD"/>
              <w:bottom w:val="single" w:sz="8" w:space="0" w:color="DDDDDD"/>
              <w:right w:val="single" w:sz="8" w:space="0" w:color="DDDDDD"/>
            </w:tcBorders>
            <w:shd w:val="clear" w:color="auto" w:fill="auto"/>
            <w:vAlign w:val="center"/>
          </w:tcPr>
          <w:p w14:paraId="694A6C6F" w14:textId="77777777" w:rsidR="00097466" w:rsidRDefault="00000000">
            <w:pPr>
              <w:spacing w:before="0" w:after="0" w:line="240" w:lineRule="auto"/>
              <w:jc w:val="left"/>
              <w:rPr>
                <w:b/>
                <w:bCs/>
                <w:color w:val="000000"/>
                <w:sz w:val="20"/>
                <w:szCs w:val="20"/>
              </w:rPr>
            </w:pPr>
            <w:r>
              <w:rPr>
                <w:b/>
                <w:bCs/>
                <w:color w:val="000000"/>
                <w:sz w:val="20"/>
                <w:szCs w:val="20"/>
              </w:rPr>
              <w:t>Edad al diagnóstico (años)</w:t>
            </w:r>
          </w:p>
        </w:tc>
        <w:tc>
          <w:tcPr>
            <w:tcW w:w="2467" w:type="dxa"/>
            <w:tcBorders>
              <w:top w:val="nil"/>
              <w:left w:val="nil"/>
              <w:bottom w:val="single" w:sz="8" w:space="0" w:color="DDDDDD"/>
              <w:right w:val="single" w:sz="8" w:space="0" w:color="DDDDDD"/>
            </w:tcBorders>
            <w:shd w:val="clear" w:color="auto" w:fill="auto"/>
            <w:vAlign w:val="center"/>
          </w:tcPr>
          <w:p w14:paraId="672ED5AF" w14:textId="77777777" w:rsidR="00097466" w:rsidRDefault="00000000">
            <w:pPr>
              <w:spacing w:before="0" w:after="0" w:line="240" w:lineRule="auto"/>
              <w:jc w:val="center"/>
              <w:rPr>
                <w:color w:val="000000"/>
                <w:sz w:val="20"/>
                <w:szCs w:val="20"/>
              </w:rPr>
            </w:pPr>
            <w:r>
              <w:rPr>
                <w:color w:val="000000"/>
                <w:sz w:val="20"/>
                <w:szCs w:val="20"/>
              </w:rPr>
              <w:t>30,65 [23,54–41,18] ᵇ</w:t>
            </w:r>
          </w:p>
        </w:tc>
        <w:tc>
          <w:tcPr>
            <w:tcW w:w="2559" w:type="dxa"/>
            <w:tcBorders>
              <w:top w:val="nil"/>
              <w:left w:val="nil"/>
              <w:bottom w:val="single" w:sz="8" w:space="0" w:color="DDDDDD"/>
              <w:right w:val="single" w:sz="8" w:space="0" w:color="DDDDDD"/>
            </w:tcBorders>
            <w:shd w:val="clear" w:color="auto" w:fill="auto"/>
            <w:vAlign w:val="center"/>
          </w:tcPr>
          <w:p w14:paraId="0AC881FB" w14:textId="77777777" w:rsidR="00097466" w:rsidRDefault="00000000">
            <w:pPr>
              <w:spacing w:before="0" w:after="0" w:line="240" w:lineRule="auto"/>
              <w:jc w:val="center"/>
              <w:rPr>
                <w:color w:val="000000"/>
                <w:sz w:val="20"/>
                <w:szCs w:val="20"/>
              </w:rPr>
            </w:pPr>
            <w:r>
              <w:rPr>
                <w:color w:val="000000"/>
                <w:sz w:val="20"/>
                <w:szCs w:val="20"/>
              </w:rPr>
              <w:t>—</w:t>
            </w:r>
          </w:p>
        </w:tc>
      </w:tr>
      <w:tr w:rsidR="00097466" w14:paraId="48C6E134" w14:textId="77777777">
        <w:trPr>
          <w:trHeight w:val="397"/>
        </w:trPr>
        <w:tc>
          <w:tcPr>
            <w:tcW w:w="8485" w:type="dxa"/>
            <w:gridSpan w:val="3"/>
            <w:tcBorders>
              <w:top w:val="single" w:sz="8" w:space="0" w:color="DDDDDD"/>
              <w:left w:val="single" w:sz="8" w:space="0" w:color="DDDDDD"/>
              <w:bottom w:val="nil"/>
              <w:right w:val="single" w:sz="8" w:space="0" w:color="DDDDDD"/>
            </w:tcBorders>
            <w:shd w:val="clear" w:color="auto" w:fill="auto"/>
          </w:tcPr>
          <w:p w14:paraId="30091450" w14:textId="77777777" w:rsidR="00097466" w:rsidRDefault="00000000">
            <w:pPr>
              <w:keepNext/>
              <w:spacing w:before="120" w:after="0" w:line="240" w:lineRule="auto"/>
              <w:rPr>
                <w:sz w:val="18"/>
                <w:szCs w:val="18"/>
              </w:rPr>
            </w:pPr>
            <w:r>
              <w:rPr>
                <w:sz w:val="18"/>
                <w:szCs w:val="18"/>
              </w:rPr>
              <w:t>ᵃ Variable con distribución normal (test de Shapiro-Wilk, p ≥ 0,05); expresada como media ± DE.</w:t>
            </w:r>
          </w:p>
          <w:p w14:paraId="675D065E" w14:textId="77777777" w:rsidR="00097466" w:rsidRDefault="00000000">
            <w:pPr>
              <w:keepNext/>
              <w:spacing w:before="0" w:after="0" w:line="240" w:lineRule="auto"/>
              <w:rPr>
                <w:sz w:val="18"/>
                <w:szCs w:val="18"/>
              </w:rPr>
            </w:pPr>
            <w:r>
              <w:rPr>
                <w:sz w:val="18"/>
                <w:szCs w:val="18"/>
              </w:rPr>
              <w:t>ᵇ Variable con distribución no normal (test de Shapiro-Wilk, p &lt; 0,05); expresada como mediana [IQR: P25–P75].</w:t>
            </w:r>
          </w:p>
          <w:p w14:paraId="76CA4506" w14:textId="77777777" w:rsidR="00097466" w:rsidRDefault="00000000" w:rsidP="00E43E77">
            <w:pPr>
              <w:keepNext/>
              <w:spacing w:before="0" w:after="120" w:line="240" w:lineRule="auto"/>
              <w:rPr>
                <w:color w:val="000000"/>
                <w:sz w:val="18"/>
                <w:szCs w:val="18"/>
              </w:rPr>
            </w:pPr>
            <w:r>
              <w:rPr>
                <w:sz w:val="18"/>
                <w:szCs w:val="18"/>
              </w:rPr>
              <w:t>Los controles sanos fueron seleccionados para ser comparables en distribución de edad y sexo (frecuencia-pareados) y su participación fue exclusivamente como referencia basal para el cálculo del IFN-score; no fueron incluidos en los análisis clínicos ni en la integración multi-</w:t>
            </w:r>
            <w:proofErr w:type="spellStart"/>
            <w:r>
              <w:rPr>
                <w:sz w:val="18"/>
                <w:szCs w:val="18"/>
              </w:rPr>
              <w:t>ómica</w:t>
            </w:r>
            <w:proofErr w:type="spellEnd"/>
            <w:r>
              <w:rPr>
                <w:sz w:val="18"/>
                <w:szCs w:val="18"/>
              </w:rPr>
              <w:t>. —: no aplicable.</w:t>
            </w:r>
          </w:p>
        </w:tc>
      </w:tr>
    </w:tbl>
    <w:p w14:paraId="58D543A1" w14:textId="6FD20F50" w:rsidR="00E43E77" w:rsidRDefault="00E43E77" w:rsidP="00C67F76">
      <w:pPr>
        <w:pStyle w:val="Descripcin"/>
      </w:pPr>
      <w:bookmarkStart w:id="117" w:name="_Toc230792244"/>
      <w:r>
        <w:t xml:space="preserve">Tabla </w:t>
      </w:r>
      <w:fldSimple w:instr=" SEQ Tabla \* ARABIC ">
        <w:r w:rsidR="00716AEA">
          <w:rPr>
            <w:noProof/>
          </w:rPr>
          <w:t>7</w:t>
        </w:r>
      </w:fldSimple>
      <w:r>
        <w:t xml:space="preserve">. </w:t>
      </w:r>
      <w:r w:rsidRPr="006E433C">
        <w:t>Características demográficas y clínicas de los participantes del estudio.</w:t>
      </w:r>
      <w:bookmarkEnd w:id="117"/>
    </w:p>
    <w:p w14:paraId="5966930D" w14:textId="77777777" w:rsidR="00097466" w:rsidRDefault="00000000">
      <w:pPr>
        <w:pStyle w:val="Ttulo3"/>
        <w:numPr>
          <w:ilvl w:val="2"/>
          <w:numId w:val="17"/>
        </w:numPr>
      </w:pPr>
      <w:r>
        <w:t>Índices de actividad y daño orgánico</w:t>
      </w:r>
    </w:p>
    <w:p w14:paraId="4F244E63" w14:textId="41A85D53" w:rsidR="00097466" w:rsidRDefault="00000000">
      <w:r>
        <w:t>E</w:t>
      </w:r>
      <w:r w:rsidR="007B48DC">
        <w:t>n el</w:t>
      </w:r>
      <w:r>
        <w:t xml:space="preserve"> índice </w:t>
      </w:r>
      <w:r>
        <w:rPr>
          <w:b/>
          <w:bCs/>
        </w:rPr>
        <w:t>SLEDAI-2K</w:t>
      </w:r>
      <w:r>
        <w:t xml:space="preserve"> </w:t>
      </w:r>
      <w:r w:rsidR="007B48DC">
        <w:t>l</w:t>
      </w:r>
      <w:r>
        <w:t>a mayoría de los pacientes se encontraba en remisión (SLEDAI-2K = 0: 43,3%, n = 109) o con actividad leve (SLEDAI-2K 1–5: 48,4%, n = 122)</w:t>
      </w:r>
      <w:r w:rsidR="007876F2">
        <w:t xml:space="preserve"> tal y como muestra la Tabla 8</w:t>
      </w:r>
      <w:r>
        <w:t>. Esta distribución es coherente con una cohorte de seguimiento en fase estable, con actividad clínica predominantemente baja o controlada bajo tratamiento.</w:t>
      </w:r>
    </w:p>
    <w:tbl>
      <w:tblPr>
        <w:tblStyle w:val="a8"/>
        <w:tblW w:w="8485" w:type="dxa"/>
        <w:tblInd w:w="0" w:type="dxa"/>
        <w:tblLayout w:type="fixed"/>
        <w:tblLook w:val="0400" w:firstRow="0" w:lastRow="0" w:firstColumn="0" w:lastColumn="0" w:noHBand="0" w:noVBand="1"/>
      </w:tblPr>
      <w:tblGrid>
        <w:gridCol w:w="5686"/>
        <w:gridCol w:w="2799"/>
      </w:tblGrid>
      <w:tr w:rsidR="00097466" w14:paraId="0692E602" w14:textId="77777777">
        <w:trPr>
          <w:trHeight w:val="397"/>
        </w:trPr>
        <w:tc>
          <w:tcPr>
            <w:tcW w:w="5686"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3EDFFEB0" w14:textId="77777777" w:rsidR="00097466" w:rsidRDefault="00000000">
            <w:pPr>
              <w:spacing w:before="0" w:after="0" w:line="240" w:lineRule="auto"/>
              <w:jc w:val="left"/>
              <w:rPr>
                <w:b/>
                <w:bCs/>
                <w:color w:val="000000"/>
                <w:sz w:val="21"/>
                <w:szCs w:val="21"/>
              </w:rPr>
            </w:pPr>
            <w:r>
              <w:rPr>
                <w:b/>
                <w:bCs/>
                <w:color w:val="000000"/>
                <w:sz w:val="21"/>
                <w:szCs w:val="21"/>
              </w:rPr>
              <w:t>Categoría SLEDAI-2K</w:t>
            </w:r>
          </w:p>
        </w:tc>
        <w:tc>
          <w:tcPr>
            <w:tcW w:w="2799" w:type="dxa"/>
            <w:tcBorders>
              <w:top w:val="single" w:sz="8" w:space="0" w:color="DDDDDD"/>
              <w:left w:val="nil"/>
              <w:bottom w:val="single" w:sz="8" w:space="0" w:color="DDDDDD"/>
              <w:right w:val="single" w:sz="8" w:space="0" w:color="DDDDDD"/>
            </w:tcBorders>
            <w:shd w:val="clear" w:color="auto" w:fill="F2F2F2"/>
            <w:vAlign w:val="center"/>
          </w:tcPr>
          <w:p w14:paraId="323A6DCB" w14:textId="77777777" w:rsidR="00097466" w:rsidRDefault="00000000">
            <w:pPr>
              <w:spacing w:before="0" w:after="0" w:line="240" w:lineRule="auto"/>
              <w:jc w:val="center"/>
              <w:rPr>
                <w:b/>
                <w:bCs/>
                <w:color w:val="000000"/>
                <w:sz w:val="21"/>
                <w:szCs w:val="21"/>
              </w:rPr>
            </w:pPr>
            <w:r>
              <w:rPr>
                <w:b/>
                <w:bCs/>
                <w:color w:val="000000"/>
                <w:sz w:val="21"/>
                <w:szCs w:val="21"/>
              </w:rPr>
              <w:t>N (%)</w:t>
            </w:r>
          </w:p>
        </w:tc>
      </w:tr>
      <w:tr w:rsidR="00097466" w14:paraId="7915C89A" w14:textId="77777777">
        <w:trPr>
          <w:trHeight w:val="397"/>
        </w:trPr>
        <w:tc>
          <w:tcPr>
            <w:tcW w:w="5686" w:type="dxa"/>
            <w:tcBorders>
              <w:top w:val="nil"/>
              <w:left w:val="single" w:sz="8" w:space="0" w:color="DDDDDD"/>
              <w:bottom w:val="single" w:sz="8" w:space="0" w:color="DDDDDD"/>
              <w:right w:val="single" w:sz="8" w:space="0" w:color="DDDDDD"/>
            </w:tcBorders>
            <w:shd w:val="clear" w:color="auto" w:fill="auto"/>
            <w:vAlign w:val="center"/>
          </w:tcPr>
          <w:p w14:paraId="4C8E855C" w14:textId="77777777" w:rsidR="00097466" w:rsidRDefault="00000000">
            <w:pPr>
              <w:spacing w:before="0" w:after="0" w:line="240" w:lineRule="auto"/>
              <w:jc w:val="left"/>
              <w:rPr>
                <w:color w:val="000000"/>
                <w:sz w:val="21"/>
                <w:szCs w:val="21"/>
              </w:rPr>
            </w:pPr>
            <w:r>
              <w:rPr>
                <w:color w:val="000000"/>
                <w:sz w:val="21"/>
                <w:szCs w:val="21"/>
              </w:rPr>
              <w:t>Remisión (SLEDAI-2K = 0)</w:t>
            </w:r>
          </w:p>
        </w:tc>
        <w:tc>
          <w:tcPr>
            <w:tcW w:w="2799" w:type="dxa"/>
            <w:tcBorders>
              <w:top w:val="nil"/>
              <w:left w:val="nil"/>
              <w:bottom w:val="single" w:sz="8" w:space="0" w:color="DDDDDD"/>
              <w:right w:val="single" w:sz="8" w:space="0" w:color="DDDDDD"/>
            </w:tcBorders>
            <w:shd w:val="clear" w:color="auto" w:fill="auto"/>
            <w:vAlign w:val="center"/>
          </w:tcPr>
          <w:p w14:paraId="129F01D3" w14:textId="77777777" w:rsidR="00097466" w:rsidRDefault="00000000">
            <w:pPr>
              <w:spacing w:before="0" w:after="0" w:line="240" w:lineRule="auto"/>
              <w:jc w:val="center"/>
              <w:rPr>
                <w:color w:val="000000"/>
                <w:sz w:val="21"/>
                <w:szCs w:val="21"/>
              </w:rPr>
            </w:pPr>
            <w:r>
              <w:rPr>
                <w:color w:val="000000"/>
                <w:sz w:val="21"/>
                <w:szCs w:val="21"/>
              </w:rPr>
              <w:t>109 (43,3%)</w:t>
            </w:r>
          </w:p>
        </w:tc>
      </w:tr>
      <w:tr w:rsidR="00097466" w14:paraId="69FEB3ED" w14:textId="77777777">
        <w:trPr>
          <w:trHeight w:val="397"/>
        </w:trPr>
        <w:tc>
          <w:tcPr>
            <w:tcW w:w="5686" w:type="dxa"/>
            <w:tcBorders>
              <w:top w:val="nil"/>
              <w:left w:val="single" w:sz="8" w:space="0" w:color="DDDDDD"/>
              <w:bottom w:val="single" w:sz="8" w:space="0" w:color="DDDDDD"/>
              <w:right w:val="single" w:sz="8" w:space="0" w:color="DDDDDD"/>
            </w:tcBorders>
            <w:shd w:val="clear" w:color="auto" w:fill="auto"/>
            <w:vAlign w:val="center"/>
          </w:tcPr>
          <w:p w14:paraId="53BDAAB0" w14:textId="77777777" w:rsidR="00097466" w:rsidRDefault="00000000">
            <w:pPr>
              <w:spacing w:before="0" w:after="0" w:line="240" w:lineRule="auto"/>
              <w:jc w:val="left"/>
              <w:rPr>
                <w:color w:val="000000"/>
                <w:sz w:val="21"/>
                <w:szCs w:val="21"/>
              </w:rPr>
            </w:pPr>
            <w:r>
              <w:rPr>
                <w:color w:val="000000"/>
                <w:sz w:val="21"/>
                <w:szCs w:val="21"/>
              </w:rPr>
              <w:t>Actividad leve (1–5)</w:t>
            </w:r>
          </w:p>
        </w:tc>
        <w:tc>
          <w:tcPr>
            <w:tcW w:w="2799" w:type="dxa"/>
            <w:tcBorders>
              <w:top w:val="nil"/>
              <w:left w:val="nil"/>
              <w:bottom w:val="single" w:sz="8" w:space="0" w:color="DDDDDD"/>
              <w:right w:val="single" w:sz="8" w:space="0" w:color="DDDDDD"/>
            </w:tcBorders>
            <w:shd w:val="clear" w:color="auto" w:fill="auto"/>
            <w:vAlign w:val="center"/>
          </w:tcPr>
          <w:p w14:paraId="2E4A0DC3" w14:textId="77777777" w:rsidR="00097466" w:rsidRDefault="00000000">
            <w:pPr>
              <w:spacing w:before="0" w:after="0" w:line="240" w:lineRule="auto"/>
              <w:jc w:val="center"/>
              <w:rPr>
                <w:color w:val="000000"/>
                <w:sz w:val="21"/>
                <w:szCs w:val="21"/>
              </w:rPr>
            </w:pPr>
            <w:r>
              <w:rPr>
                <w:color w:val="000000"/>
                <w:sz w:val="21"/>
                <w:szCs w:val="21"/>
              </w:rPr>
              <w:t>122 (48,4%)</w:t>
            </w:r>
          </w:p>
        </w:tc>
      </w:tr>
      <w:tr w:rsidR="00097466" w14:paraId="6A31D5B8" w14:textId="77777777">
        <w:trPr>
          <w:trHeight w:val="397"/>
        </w:trPr>
        <w:tc>
          <w:tcPr>
            <w:tcW w:w="5686" w:type="dxa"/>
            <w:tcBorders>
              <w:top w:val="nil"/>
              <w:left w:val="single" w:sz="8" w:space="0" w:color="DDDDDD"/>
              <w:bottom w:val="single" w:sz="8" w:space="0" w:color="DDDDDD"/>
              <w:right w:val="single" w:sz="8" w:space="0" w:color="DDDDDD"/>
            </w:tcBorders>
            <w:shd w:val="clear" w:color="auto" w:fill="auto"/>
            <w:vAlign w:val="center"/>
          </w:tcPr>
          <w:p w14:paraId="6B496CE0" w14:textId="77777777" w:rsidR="00097466" w:rsidRDefault="00000000">
            <w:pPr>
              <w:spacing w:before="0" w:after="0" w:line="240" w:lineRule="auto"/>
              <w:jc w:val="left"/>
              <w:rPr>
                <w:color w:val="000000"/>
                <w:sz w:val="21"/>
                <w:szCs w:val="21"/>
              </w:rPr>
            </w:pPr>
            <w:r>
              <w:rPr>
                <w:color w:val="000000"/>
                <w:sz w:val="21"/>
                <w:szCs w:val="21"/>
              </w:rPr>
              <w:t>Actividad moderada (6–10)</w:t>
            </w:r>
          </w:p>
        </w:tc>
        <w:tc>
          <w:tcPr>
            <w:tcW w:w="2799" w:type="dxa"/>
            <w:tcBorders>
              <w:top w:val="nil"/>
              <w:left w:val="nil"/>
              <w:bottom w:val="single" w:sz="8" w:space="0" w:color="DDDDDD"/>
              <w:right w:val="single" w:sz="8" w:space="0" w:color="DDDDDD"/>
            </w:tcBorders>
            <w:shd w:val="clear" w:color="auto" w:fill="auto"/>
            <w:vAlign w:val="center"/>
          </w:tcPr>
          <w:p w14:paraId="7AE2CF26" w14:textId="77777777" w:rsidR="00097466" w:rsidRDefault="00000000">
            <w:pPr>
              <w:spacing w:before="0" w:after="0" w:line="240" w:lineRule="auto"/>
              <w:jc w:val="center"/>
              <w:rPr>
                <w:color w:val="000000"/>
                <w:sz w:val="21"/>
                <w:szCs w:val="21"/>
              </w:rPr>
            </w:pPr>
            <w:r>
              <w:rPr>
                <w:color w:val="000000"/>
                <w:sz w:val="21"/>
                <w:szCs w:val="21"/>
              </w:rPr>
              <w:t>21 (8,3%)</w:t>
            </w:r>
          </w:p>
        </w:tc>
      </w:tr>
      <w:tr w:rsidR="00097466" w14:paraId="0A2CC52B" w14:textId="77777777">
        <w:trPr>
          <w:trHeight w:val="397"/>
        </w:trPr>
        <w:tc>
          <w:tcPr>
            <w:tcW w:w="5686" w:type="dxa"/>
            <w:tcBorders>
              <w:top w:val="nil"/>
              <w:left w:val="single" w:sz="8" w:space="0" w:color="DDDDDD"/>
              <w:bottom w:val="single" w:sz="8" w:space="0" w:color="DDDDDD"/>
              <w:right w:val="single" w:sz="8" w:space="0" w:color="DDDDDD"/>
            </w:tcBorders>
            <w:shd w:val="clear" w:color="auto" w:fill="auto"/>
            <w:vAlign w:val="center"/>
          </w:tcPr>
          <w:p w14:paraId="14E0E9DC" w14:textId="77777777" w:rsidR="00097466" w:rsidRDefault="00000000">
            <w:pPr>
              <w:spacing w:before="0" w:after="0" w:line="240" w:lineRule="auto"/>
              <w:jc w:val="left"/>
              <w:rPr>
                <w:color w:val="000000"/>
                <w:sz w:val="21"/>
                <w:szCs w:val="21"/>
              </w:rPr>
            </w:pPr>
            <w:r>
              <w:rPr>
                <w:color w:val="000000"/>
                <w:sz w:val="21"/>
                <w:szCs w:val="21"/>
              </w:rPr>
              <w:t>Actividad alta (11–19)</w:t>
            </w:r>
          </w:p>
        </w:tc>
        <w:tc>
          <w:tcPr>
            <w:tcW w:w="2799" w:type="dxa"/>
            <w:tcBorders>
              <w:top w:val="nil"/>
              <w:left w:val="nil"/>
              <w:bottom w:val="single" w:sz="8" w:space="0" w:color="DDDDDD"/>
              <w:right w:val="single" w:sz="8" w:space="0" w:color="DDDDDD"/>
            </w:tcBorders>
            <w:shd w:val="clear" w:color="auto" w:fill="auto"/>
            <w:vAlign w:val="center"/>
          </w:tcPr>
          <w:p w14:paraId="1378539F" w14:textId="77777777" w:rsidR="00097466" w:rsidRDefault="00000000">
            <w:pPr>
              <w:spacing w:before="0" w:after="0" w:line="240" w:lineRule="auto"/>
              <w:jc w:val="center"/>
              <w:rPr>
                <w:color w:val="000000"/>
                <w:sz w:val="21"/>
                <w:szCs w:val="21"/>
              </w:rPr>
            </w:pPr>
            <w:r>
              <w:rPr>
                <w:color w:val="000000"/>
                <w:sz w:val="21"/>
                <w:szCs w:val="21"/>
              </w:rPr>
              <w:t>0 (0%)</w:t>
            </w:r>
          </w:p>
        </w:tc>
      </w:tr>
      <w:tr w:rsidR="00097466" w14:paraId="5AAB28E9" w14:textId="77777777">
        <w:trPr>
          <w:trHeight w:val="397"/>
        </w:trPr>
        <w:tc>
          <w:tcPr>
            <w:tcW w:w="5686" w:type="dxa"/>
            <w:tcBorders>
              <w:top w:val="nil"/>
              <w:left w:val="single" w:sz="8" w:space="0" w:color="DDDDDD"/>
              <w:bottom w:val="single" w:sz="8" w:space="0" w:color="DDDDDD"/>
              <w:right w:val="single" w:sz="8" w:space="0" w:color="DDDDDD"/>
            </w:tcBorders>
            <w:shd w:val="clear" w:color="auto" w:fill="auto"/>
            <w:vAlign w:val="center"/>
          </w:tcPr>
          <w:p w14:paraId="7294C441" w14:textId="77777777" w:rsidR="00097466" w:rsidRDefault="00000000">
            <w:pPr>
              <w:spacing w:before="0" w:after="0" w:line="240" w:lineRule="auto"/>
              <w:jc w:val="left"/>
              <w:rPr>
                <w:color w:val="000000"/>
                <w:sz w:val="21"/>
                <w:szCs w:val="21"/>
              </w:rPr>
            </w:pPr>
            <w:r>
              <w:rPr>
                <w:color w:val="000000"/>
                <w:sz w:val="21"/>
                <w:szCs w:val="21"/>
              </w:rPr>
              <w:t>Actividad muy alta (≥20)</w:t>
            </w:r>
          </w:p>
        </w:tc>
        <w:tc>
          <w:tcPr>
            <w:tcW w:w="2799" w:type="dxa"/>
            <w:tcBorders>
              <w:top w:val="nil"/>
              <w:left w:val="nil"/>
              <w:bottom w:val="single" w:sz="8" w:space="0" w:color="DDDDDD"/>
              <w:right w:val="single" w:sz="8" w:space="0" w:color="DDDDDD"/>
            </w:tcBorders>
            <w:shd w:val="clear" w:color="auto" w:fill="auto"/>
            <w:vAlign w:val="center"/>
          </w:tcPr>
          <w:p w14:paraId="5039F650" w14:textId="77777777" w:rsidR="00097466" w:rsidRDefault="00000000">
            <w:pPr>
              <w:spacing w:before="0" w:after="0" w:line="240" w:lineRule="auto"/>
              <w:jc w:val="center"/>
              <w:rPr>
                <w:color w:val="000000"/>
                <w:sz w:val="21"/>
                <w:szCs w:val="21"/>
              </w:rPr>
            </w:pPr>
            <w:r>
              <w:rPr>
                <w:color w:val="000000"/>
                <w:sz w:val="21"/>
                <w:szCs w:val="21"/>
              </w:rPr>
              <w:t>0 (0%)</w:t>
            </w:r>
          </w:p>
        </w:tc>
      </w:tr>
      <w:tr w:rsidR="00097466" w14:paraId="3B8C9BBF" w14:textId="77777777">
        <w:trPr>
          <w:trHeight w:val="397"/>
        </w:trPr>
        <w:tc>
          <w:tcPr>
            <w:tcW w:w="5686" w:type="dxa"/>
            <w:tcBorders>
              <w:top w:val="nil"/>
              <w:left w:val="single" w:sz="8" w:space="0" w:color="DDDDDD"/>
              <w:bottom w:val="single" w:sz="8" w:space="0" w:color="DDDDDD"/>
              <w:right w:val="single" w:sz="8" w:space="0" w:color="DDDDDD"/>
            </w:tcBorders>
            <w:shd w:val="clear" w:color="auto" w:fill="auto"/>
            <w:vAlign w:val="center"/>
          </w:tcPr>
          <w:p w14:paraId="734D6847" w14:textId="77777777" w:rsidR="00097466" w:rsidRDefault="00000000">
            <w:pPr>
              <w:spacing w:before="0" w:after="0" w:line="240" w:lineRule="auto"/>
              <w:jc w:val="left"/>
              <w:rPr>
                <w:b/>
                <w:bCs/>
                <w:color w:val="000000"/>
                <w:sz w:val="21"/>
                <w:szCs w:val="21"/>
              </w:rPr>
            </w:pPr>
            <w:r>
              <w:rPr>
                <w:b/>
                <w:bCs/>
                <w:color w:val="000000"/>
                <w:sz w:val="21"/>
                <w:szCs w:val="21"/>
              </w:rPr>
              <w:t>Total</w:t>
            </w:r>
          </w:p>
        </w:tc>
        <w:tc>
          <w:tcPr>
            <w:tcW w:w="2799" w:type="dxa"/>
            <w:tcBorders>
              <w:top w:val="nil"/>
              <w:left w:val="nil"/>
              <w:bottom w:val="single" w:sz="8" w:space="0" w:color="DDDDDD"/>
              <w:right w:val="single" w:sz="8" w:space="0" w:color="DDDDDD"/>
            </w:tcBorders>
            <w:shd w:val="clear" w:color="auto" w:fill="auto"/>
            <w:vAlign w:val="center"/>
          </w:tcPr>
          <w:p w14:paraId="7BA672BC" w14:textId="77777777" w:rsidR="00097466" w:rsidRDefault="00000000">
            <w:pPr>
              <w:spacing w:before="0" w:after="0" w:line="240" w:lineRule="auto"/>
              <w:jc w:val="center"/>
              <w:rPr>
                <w:b/>
                <w:bCs/>
                <w:color w:val="000000"/>
                <w:sz w:val="21"/>
                <w:szCs w:val="21"/>
              </w:rPr>
            </w:pPr>
            <w:r>
              <w:rPr>
                <w:b/>
                <w:bCs/>
                <w:color w:val="000000"/>
                <w:sz w:val="21"/>
                <w:szCs w:val="21"/>
              </w:rPr>
              <w:t>252 (100%)</w:t>
            </w:r>
          </w:p>
        </w:tc>
      </w:tr>
      <w:tr w:rsidR="00097466" w14:paraId="3624842F" w14:textId="77777777">
        <w:trPr>
          <w:trHeight w:val="397"/>
        </w:trPr>
        <w:tc>
          <w:tcPr>
            <w:tcW w:w="5686" w:type="dxa"/>
            <w:tcBorders>
              <w:top w:val="nil"/>
              <w:left w:val="single" w:sz="8" w:space="0" w:color="DDDDDD"/>
              <w:bottom w:val="single" w:sz="8" w:space="0" w:color="DDDDDD"/>
              <w:right w:val="single" w:sz="8" w:space="0" w:color="DDDDDD"/>
            </w:tcBorders>
            <w:shd w:val="clear" w:color="auto" w:fill="auto"/>
            <w:vAlign w:val="center"/>
          </w:tcPr>
          <w:p w14:paraId="1C3FB532" w14:textId="77777777" w:rsidR="00097466" w:rsidRDefault="00000000">
            <w:pPr>
              <w:spacing w:before="0" w:after="0" w:line="240" w:lineRule="auto"/>
              <w:jc w:val="left"/>
              <w:rPr>
                <w:b/>
                <w:bCs/>
                <w:color w:val="000000"/>
                <w:sz w:val="21"/>
                <w:szCs w:val="21"/>
              </w:rPr>
            </w:pPr>
            <w:r>
              <w:rPr>
                <w:b/>
                <w:bCs/>
                <w:color w:val="000000"/>
                <w:sz w:val="21"/>
                <w:szCs w:val="21"/>
              </w:rPr>
              <w:t>Mediana [IQR]</w:t>
            </w:r>
          </w:p>
        </w:tc>
        <w:tc>
          <w:tcPr>
            <w:tcW w:w="2799" w:type="dxa"/>
            <w:tcBorders>
              <w:top w:val="nil"/>
              <w:left w:val="nil"/>
              <w:bottom w:val="single" w:sz="8" w:space="0" w:color="DDDDDD"/>
              <w:right w:val="single" w:sz="8" w:space="0" w:color="DDDDDD"/>
            </w:tcBorders>
            <w:shd w:val="clear" w:color="auto" w:fill="auto"/>
            <w:vAlign w:val="center"/>
          </w:tcPr>
          <w:p w14:paraId="53170B97" w14:textId="77777777" w:rsidR="00097466" w:rsidRDefault="00000000">
            <w:pPr>
              <w:spacing w:before="0" w:after="0" w:line="240" w:lineRule="auto"/>
              <w:jc w:val="center"/>
              <w:rPr>
                <w:b/>
                <w:bCs/>
                <w:color w:val="000000"/>
                <w:sz w:val="21"/>
                <w:szCs w:val="21"/>
              </w:rPr>
            </w:pPr>
            <w:r>
              <w:rPr>
                <w:b/>
                <w:bCs/>
                <w:color w:val="000000"/>
                <w:sz w:val="21"/>
                <w:szCs w:val="21"/>
              </w:rPr>
              <w:t>2 [0–4]</w:t>
            </w:r>
            <w:r>
              <w:rPr>
                <w:color w:val="000000"/>
                <w:sz w:val="21"/>
                <w:szCs w:val="21"/>
              </w:rPr>
              <w:t xml:space="preserve"> ᵃ</w:t>
            </w:r>
          </w:p>
        </w:tc>
      </w:tr>
      <w:tr w:rsidR="00097466" w14:paraId="5AA06C53" w14:textId="77777777">
        <w:trPr>
          <w:trHeight w:val="397"/>
        </w:trPr>
        <w:tc>
          <w:tcPr>
            <w:tcW w:w="8485" w:type="dxa"/>
            <w:gridSpan w:val="2"/>
            <w:tcBorders>
              <w:top w:val="single" w:sz="8" w:space="0" w:color="DDDDDD"/>
              <w:left w:val="single" w:sz="8" w:space="0" w:color="DDDDDD"/>
              <w:bottom w:val="single" w:sz="8" w:space="0" w:color="DDDDDD"/>
              <w:right w:val="single" w:sz="8" w:space="0" w:color="DDDDDD"/>
            </w:tcBorders>
            <w:shd w:val="clear" w:color="auto" w:fill="auto"/>
            <w:vAlign w:val="center"/>
          </w:tcPr>
          <w:p w14:paraId="31EFE13B" w14:textId="77777777" w:rsidR="00097466" w:rsidRDefault="00000000" w:rsidP="00E43E77">
            <w:pPr>
              <w:keepNext/>
              <w:spacing w:before="120" w:after="120" w:line="240" w:lineRule="auto"/>
              <w:rPr>
                <w:color w:val="000000"/>
                <w:sz w:val="18"/>
                <w:szCs w:val="18"/>
              </w:rPr>
            </w:pPr>
            <w:r>
              <w:rPr>
                <w:color w:val="000000"/>
                <w:sz w:val="18"/>
                <w:szCs w:val="18"/>
              </w:rPr>
              <w:lastRenderedPageBreak/>
              <w:t xml:space="preserve">ᵃ Distribución no normal (Shapiro-Wilk, p &lt; 0,05); expresada como mediana [IQR]. Rango teórico del SLEDAI-2K: 0–105. Umbrales de categorización según </w:t>
            </w:r>
            <w:proofErr w:type="spellStart"/>
            <w:r>
              <w:rPr>
                <w:color w:val="000000"/>
                <w:sz w:val="18"/>
                <w:szCs w:val="18"/>
              </w:rPr>
              <w:t>Gladman</w:t>
            </w:r>
            <w:proofErr w:type="spellEnd"/>
            <w:r>
              <w:rPr>
                <w:color w:val="000000"/>
                <w:sz w:val="18"/>
                <w:szCs w:val="18"/>
              </w:rPr>
              <w:t xml:space="preserve"> et al. (2002).</w:t>
            </w:r>
          </w:p>
        </w:tc>
      </w:tr>
    </w:tbl>
    <w:p w14:paraId="5C96D50B" w14:textId="0A19E9C5" w:rsidR="00E43E77" w:rsidRDefault="00E43E77" w:rsidP="00C67F76">
      <w:pPr>
        <w:pStyle w:val="Descripcin"/>
      </w:pPr>
      <w:bookmarkStart w:id="118" w:name="_Toc230792245"/>
      <w:r>
        <w:t xml:space="preserve">Tabla </w:t>
      </w:r>
      <w:fldSimple w:instr=" SEQ Tabla \* ARABIC ">
        <w:r w:rsidR="00716AEA">
          <w:rPr>
            <w:noProof/>
          </w:rPr>
          <w:t>8</w:t>
        </w:r>
      </w:fldSimple>
      <w:r>
        <w:t xml:space="preserve">. </w:t>
      </w:r>
      <w:r w:rsidRPr="00CE6F45">
        <w:t>Distribución de pacientes LES según categoría de actividad (SLEDAI-2K).</w:t>
      </w:r>
      <w:bookmarkEnd w:id="118"/>
    </w:p>
    <w:p w14:paraId="60480EAD" w14:textId="3279E639" w:rsidR="00097466" w:rsidRDefault="00000000">
      <w:r>
        <w:t xml:space="preserve">El daño orgánico acumulado evaluado mediante el </w:t>
      </w:r>
      <w:r>
        <w:rPr>
          <w:b/>
          <w:bCs/>
        </w:rPr>
        <w:t>SLICC/SDI</w:t>
      </w:r>
      <w:r>
        <w:t xml:space="preserve"> mostró </w:t>
      </w:r>
      <w:r w:rsidR="007B48DC">
        <w:t>que e</w:t>
      </w:r>
      <w:r>
        <w:t>l 51,2% de los pacientes (n = 129) no presentaba daño estructural detectable, mientras que el 28,2% (n = 71) registraba una puntuación de 1</w:t>
      </w:r>
      <w:r w:rsidR="007876F2">
        <w:t xml:space="preserve"> (Tabla 9)</w:t>
      </w:r>
      <w:r>
        <w:t xml:space="preserve">. </w:t>
      </w:r>
    </w:p>
    <w:tbl>
      <w:tblPr>
        <w:tblStyle w:val="a9"/>
        <w:tblW w:w="8485" w:type="dxa"/>
        <w:tblInd w:w="0" w:type="dxa"/>
        <w:tblLayout w:type="fixed"/>
        <w:tblLook w:val="0400" w:firstRow="0" w:lastRow="0" w:firstColumn="0" w:lastColumn="0" w:noHBand="0" w:noVBand="1"/>
      </w:tblPr>
      <w:tblGrid>
        <w:gridCol w:w="5351"/>
        <w:gridCol w:w="3134"/>
      </w:tblGrid>
      <w:tr w:rsidR="00097466" w14:paraId="740EA83D" w14:textId="77777777">
        <w:trPr>
          <w:trHeight w:val="397"/>
        </w:trPr>
        <w:tc>
          <w:tcPr>
            <w:tcW w:w="5351"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4767EDB2" w14:textId="77777777" w:rsidR="00097466" w:rsidRDefault="00000000">
            <w:pPr>
              <w:spacing w:before="0" w:after="0" w:line="240" w:lineRule="auto"/>
              <w:jc w:val="left"/>
              <w:rPr>
                <w:b/>
                <w:bCs/>
                <w:color w:val="000000"/>
                <w:sz w:val="20"/>
                <w:szCs w:val="20"/>
              </w:rPr>
            </w:pPr>
            <w:r>
              <w:rPr>
                <w:b/>
                <w:bCs/>
                <w:color w:val="000000"/>
                <w:sz w:val="20"/>
                <w:szCs w:val="20"/>
              </w:rPr>
              <w:t>Puntuación SLICC/SDI</w:t>
            </w:r>
          </w:p>
        </w:tc>
        <w:tc>
          <w:tcPr>
            <w:tcW w:w="3134" w:type="dxa"/>
            <w:tcBorders>
              <w:top w:val="single" w:sz="8" w:space="0" w:color="DDDDDD"/>
              <w:left w:val="nil"/>
              <w:bottom w:val="single" w:sz="8" w:space="0" w:color="DDDDDD"/>
              <w:right w:val="single" w:sz="8" w:space="0" w:color="DDDDDD"/>
            </w:tcBorders>
            <w:shd w:val="clear" w:color="auto" w:fill="F2F2F2"/>
            <w:vAlign w:val="center"/>
          </w:tcPr>
          <w:p w14:paraId="7916A040" w14:textId="77777777" w:rsidR="00097466" w:rsidRDefault="00000000">
            <w:pPr>
              <w:spacing w:before="0" w:after="0" w:line="240" w:lineRule="auto"/>
              <w:jc w:val="center"/>
              <w:rPr>
                <w:b/>
                <w:bCs/>
                <w:color w:val="000000"/>
                <w:sz w:val="20"/>
                <w:szCs w:val="20"/>
              </w:rPr>
            </w:pPr>
            <w:r>
              <w:rPr>
                <w:b/>
                <w:bCs/>
                <w:color w:val="000000"/>
                <w:sz w:val="20"/>
                <w:szCs w:val="20"/>
              </w:rPr>
              <w:t>N (%)</w:t>
            </w:r>
          </w:p>
        </w:tc>
      </w:tr>
      <w:tr w:rsidR="00097466" w14:paraId="20E4B7A7" w14:textId="77777777">
        <w:trPr>
          <w:trHeight w:val="397"/>
        </w:trPr>
        <w:tc>
          <w:tcPr>
            <w:tcW w:w="5351" w:type="dxa"/>
            <w:tcBorders>
              <w:top w:val="nil"/>
              <w:left w:val="single" w:sz="8" w:space="0" w:color="DDDDDD"/>
              <w:bottom w:val="single" w:sz="8" w:space="0" w:color="DDDDDD"/>
              <w:right w:val="single" w:sz="8" w:space="0" w:color="DDDDDD"/>
            </w:tcBorders>
            <w:shd w:val="clear" w:color="auto" w:fill="auto"/>
            <w:vAlign w:val="center"/>
          </w:tcPr>
          <w:p w14:paraId="71592910" w14:textId="77777777" w:rsidR="00097466" w:rsidRDefault="00000000">
            <w:pPr>
              <w:spacing w:before="0" w:after="0" w:line="240" w:lineRule="auto"/>
              <w:jc w:val="left"/>
              <w:rPr>
                <w:color w:val="000000"/>
                <w:sz w:val="20"/>
                <w:szCs w:val="20"/>
              </w:rPr>
            </w:pPr>
            <w:r>
              <w:rPr>
                <w:color w:val="000000"/>
                <w:sz w:val="20"/>
                <w:szCs w:val="20"/>
              </w:rPr>
              <w:t>SDI = 0 (sin daño)</w:t>
            </w:r>
          </w:p>
        </w:tc>
        <w:tc>
          <w:tcPr>
            <w:tcW w:w="3134" w:type="dxa"/>
            <w:tcBorders>
              <w:top w:val="nil"/>
              <w:left w:val="nil"/>
              <w:bottom w:val="single" w:sz="8" w:space="0" w:color="DDDDDD"/>
              <w:right w:val="single" w:sz="8" w:space="0" w:color="DDDDDD"/>
            </w:tcBorders>
            <w:shd w:val="clear" w:color="auto" w:fill="auto"/>
            <w:vAlign w:val="center"/>
          </w:tcPr>
          <w:p w14:paraId="0489433A" w14:textId="77777777" w:rsidR="00097466" w:rsidRDefault="00000000">
            <w:pPr>
              <w:spacing w:before="0" w:after="0" w:line="240" w:lineRule="auto"/>
              <w:jc w:val="center"/>
              <w:rPr>
                <w:color w:val="000000"/>
                <w:sz w:val="20"/>
                <w:szCs w:val="20"/>
              </w:rPr>
            </w:pPr>
            <w:r>
              <w:rPr>
                <w:color w:val="000000"/>
                <w:sz w:val="20"/>
                <w:szCs w:val="20"/>
              </w:rPr>
              <w:t>129 (51,2%)</w:t>
            </w:r>
          </w:p>
        </w:tc>
      </w:tr>
      <w:tr w:rsidR="00097466" w14:paraId="260DFACB" w14:textId="77777777">
        <w:trPr>
          <w:trHeight w:val="397"/>
        </w:trPr>
        <w:tc>
          <w:tcPr>
            <w:tcW w:w="5351" w:type="dxa"/>
            <w:tcBorders>
              <w:top w:val="nil"/>
              <w:left w:val="single" w:sz="8" w:space="0" w:color="DDDDDD"/>
              <w:bottom w:val="single" w:sz="8" w:space="0" w:color="DDDDDD"/>
              <w:right w:val="single" w:sz="8" w:space="0" w:color="DDDDDD"/>
            </w:tcBorders>
            <w:shd w:val="clear" w:color="auto" w:fill="auto"/>
            <w:vAlign w:val="center"/>
          </w:tcPr>
          <w:p w14:paraId="01664243" w14:textId="77777777" w:rsidR="00097466" w:rsidRDefault="00000000">
            <w:pPr>
              <w:spacing w:before="0" w:after="0" w:line="240" w:lineRule="auto"/>
              <w:jc w:val="left"/>
              <w:rPr>
                <w:color w:val="000000"/>
                <w:sz w:val="20"/>
                <w:szCs w:val="20"/>
              </w:rPr>
            </w:pPr>
            <w:r>
              <w:rPr>
                <w:color w:val="000000"/>
                <w:sz w:val="20"/>
                <w:szCs w:val="20"/>
              </w:rPr>
              <w:t>SDI = 1</w:t>
            </w:r>
          </w:p>
        </w:tc>
        <w:tc>
          <w:tcPr>
            <w:tcW w:w="3134" w:type="dxa"/>
            <w:tcBorders>
              <w:top w:val="nil"/>
              <w:left w:val="nil"/>
              <w:bottom w:val="single" w:sz="8" w:space="0" w:color="DDDDDD"/>
              <w:right w:val="single" w:sz="8" w:space="0" w:color="DDDDDD"/>
            </w:tcBorders>
            <w:shd w:val="clear" w:color="auto" w:fill="auto"/>
            <w:vAlign w:val="center"/>
          </w:tcPr>
          <w:p w14:paraId="4B08A77B" w14:textId="77777777" w:rsidR="00097466" w:rsidRDefault="00000000">
            <w:pPr>
              <w:spacing w:before="0" w:after="0" w:line="240" w:lineRule="auto"/>
              <w:jc w:val="center"/>
              <w:rPr>
                <w:color w:val="000000"/>
                <w:sz w:val="20"/>
                <w:szCs w:val="20"/>
              </w:rPr>
            </w:pPr>
            <w:r>
              <w:rPr>
                <w:color w:val="000000"/>
                <w:sz w:val="20"/>
                <w:szCs w:val="20"/>
              </w:rPr>
              <w:t>71 (28,2%)</w:t>
            </w:r>
          </w:p>
        </w:tc>
      </w:tr>
      <w:tr w:rsidR="00097466" w14:paraId="22255A29" w14:textId="77777777">
        <w:trPr>
          <w:trHeight w:val="397"/>
        </w:trPr>
        <w:tc>
          <w:tcPr>
            <w:tcW w:w="5351" w:type="dxa"/>
            <w:tcBorders>
              <w:top w:val="nil"/>
              <w:left w:val="single" w:sz="8" w:space="0" w:color="DDDDDD"/>
              <w:bottom w:val="single" w:sz="8" w:space="0" w:color="DDDDDD"/>
              <w:right w:val="single" w:sz="8" w:space="0" w:color="DDDDDD"/>
            </w:tcBorders>
            <w:shd w:val="clear" w:color="auto" w:fill="auto"/>
            <w:vAlign w:val="center"/>
          </w:tcPr>
          <w:p w14:paraId="015B0C46" w14:textId="254B7E37" w:rsidR="00097466" w:rsidRDefault="00000000">
            <w:pPr>
              <w:spacing w:before="0" w:after="0" w:line="240" w:lineRule="auto"/>
              <w:jc w:val="left"/>
              <w:rPr>
                <w:color w:val="000000"/>
                <w:sz w:val="20"/>
                <w:szCs w:val="20"/>
              </w:rPr>
            </w:pPr>
            <w:r>
              <w:rPr>
                <w:color w:val="000000"/>
                <w:sz w:val="20"/>
                <w:szCs w:val="20"/>
              </w:rPr>
              <w:t xml:space="preserve">SDI </w:t>
            </w:r>
            <w:r w:rsidR="007B48DC">
              <w:rPr>
                <w:color w:val="000000"/>
                <w:sz w:val="20"/>
                <w:szCs w:val="20"/>
              </w:rPr>
              <w:sym w:font="Symbol" w:char="F0B3"/>
            </w:r>
            <w:r>
              <w:rPr>
                <w:color w:val="000000"/>
                <w:sz w:val="20"/>
                <w:szCs w:val="20"/>
              </w:rPr>
              <w:t xml:space="preserve"> 2</w:t>
            </w:r>
          </w:p>
        </w:tc>
        <w:tc>
          <w:tcPr>
            <w:tcW w:w="3134" w:type="dxa"/>
            <w:tcBorders>
              <w:top w:val="nil"/>
              <w:left w:val="nil"/>
              <w:bottom w:val="single" w:sz="8" w:space="0" w:color="DDDDDD"/>
              <w:right w:val="single" w:sz="8" w:space="0" w:color="DDDDDD"/>
            </w:tcBorders>
            <w:shd w:val="clear" w:color="auto" w:fill="auto"/>
            <w:vAlign w:val="center"/>
          </w:tcPr>
          <w:p w14:paraId="1CF29AB2" w14:textId="5FA60807" w:rsidR="00097466" w:rsidRDefault="007B48DC">
            <w:pPr>
              <w:spacing w:before="0" w:after="0" w:line="240" w:lineRule="auto"/>
              <w:jc w:val="center"/>
              <w:rPr>
                <w:color w:val="000000"/>
                <w:sz w:val="20"/>
                <w:szCs w:val="20"/>
              </w:rPr>
            </w:pPr>
            <w:r>
              <w:rPr>
                <w:color w:val="000000"/>
                <w:sz w:val="20"/>
                <w:szCs w:val="20"/>
              </w:rPr>
              <w:t>52 (20,7%)</w:t>
            </w:r>
          </w:p>
        </w:tc>
      </w:tr>
      <w:tr w:rsidR="00097466" w14:paraId="62CBB653" w14:textId="77777777">
        <w:trPr>
          <w:trHeight w:val="397"/>
        </w:trPr>
        <w:tc>
          <w:tcPr>
            <w:tcW w:w="5351" w:type="dxa"/>
            <w:tcBorders>
              <w:top w:val="nil"/>
              <w:left w:val="single" w:sz="8" w:space="0" w:color="DDDDDD"/>
              <w:bottom w:val="single" w:sz="8" w:space="0" w:color="DDDDDD"/>
              <w:right w:val="single" w:sz="8" w:space="0" w:color="DDDDDD"/>
            </w:tcBorders>
            <w:shd w:val="clear" w:color="auto" w:fill="auto"/>
            <w:vAlign w:val="center"/>
          </w:tcPr>
          <w:p w14:paraId="5134DE8B" w14:textId="77777777" w:rsidR="00097466" w:rsidRDefault="00000000">
            <w:pPr>
              <w:spacing w:before="0" w:after="0" w:line="240" w:lineRule="auto"/>
              <w:jc w:val="left"/>
              <w:rPr>
                <w:b/>
                <w:bCs/>
                <w:color w:val="000000"/>
                <w:sz w:val="20"/>
                <w:szCs w:val="20"/>
              </w:rPr>
            </w:pPr>
            <w:r>
              <w:rPr>
                <w:b/>
                <w:bCs/>
                <w:color w:val="000000"/>
                <w:sz w:val="20"/>
                <w:szCs w:val="20"/>
              </w:rPr>
              <w:t>Total</w:t>
            </w:r>
          </w:p>
        </w:tc>
        <w:tc>
          <w:tcPr>
            <w:tcW w:w="3134" w:type="dxa"/>
            <w:tcBorders>
              <w:top w:val="nil"/>
              <w:left w:val="nil"/>
              <w:bottom w:val="single" w:sz="8" w:space="0" w:color="DDDDDD"/>
              <w:right w:val="single" w:sz="8" w:space="0" w:color="DDDDDD"/>
            </w:tcBorders>
            <w:shd w:val="clear" w:color="auto" w:fill="auto"/>
            <w:vAlign w:val="center"/>
          </w:tcPr>
          <w:p w14:paraId="744A55D5" w14:textId="77777777" w:rsidR="00097466" w:rsidRDefault="00000000">
            <w:pPr>
              <w:spacing w:before="0" w:after="0" w:line="240" w:lineRule="auto"/>
              <w:jc w:val="center"/>
              <w:rPr>
                <w:b/>
                <w:bCs/>
                <w:color w:val="000000"/>
                <w:sz w:val="20"/>
                <w:szCs w:val="20"/>
              </w:rPr>
            </w:pPr>
            <w:r>
              <w:rPr>
                <w:b/>
                <w:bCs/>
                <w:color w:val="000000"/>
                <w:sz w:val="20"/>
                <w:szCs w:val="20"/>
              </w:rPr>
              <w:t>252 (100%)</w:t>
            </w:r>
          </w:p>
        </w:tc>
      </w:tr>
      <w:tr w:rsidR="00097466" w14:paraId="1FCF6A13" w14:textId="77777777">
        <w:trPr>
          <w:trHeight w:val="397"/>
        </w:trPr>
        <w:tc>
          <w:tcPr>
            <w:tcW w:w="5351" w:type="dxa"/>
            <w:tcBorders>
              <w:top w:val="nil"/>
              <w:left w:val="single" w:sz="8" w:space="0" w:color="DDDDDD"/>
              <w:bottom w:val="single" w:sz="8" w:space="0" w:color="DDDDDD"/>
              <w:right w:val="single" w:sz="8" w:space="0" w:color="DDDDDD"/>
            </w:tcBorders>
            <w:shd w:val="clear" w:color="auto" w:fill="auto"/>
            <w:vAlign w:val="center"/>
          </w:tcPr>
          <w:p w14:paraId="3C1E885C" w14:textId="77777777" w:rsidR="00097466" w:rsidRDefault="00000000">
            <w:pPr>
              <w:spacing w:before="0" w:after="0" w:line="240" w:lineRule="auto"/>
              <w:jc w:val="left"/>
              <w:rPr>
                <w:b/>
                <w:bCs/>
                <w:color w:val="000000"/>
                <w:sz w:val="20"/>
                <w:szCs w:val="20"/>
              </w:rPr>
            </w:pPr>
            <w:r>
              <w:rPr>
                <w:b/>
                <w:bCs/>
                <w:color w:val="000000"/>
                <w:sz w:val="20"/>
                <w:szCs w:val="20"/>
              </w:rPr>
              <w:t>Mediana [IQR]</w:t>
            </w:r>
          </w:p>
        </w:tc>
        <w:tc>
          <w:tcPr>
            <w:tcW w:w="3134" w:type="dxa"/>
            <w:tcBorders>
              <w:top w:val="nil"/>
              <w:left w:val="nil"/>
              <w:bottom w:val="single" w:sz="8" w:space="0" w:color="DDDDDD"/>
              <w:right w:val="single" w:sz="8" w:space="0" w:color="DDDDDD"/>
            </w:tcBorders>
            <w:shd w:val="clear" w:color="auto" w:fill="auto"/>
            <w:vAlign w:val="center"/>
          </w:tcPr>
          <w:p w14:paraId="7A621513" w14:textId="77777777" w:rsidR="00097466" w:rsidRDefault="00000000">
            <w:pPr>
              <w:spacing w:before="0" w:after="0" w:line="240" w:lineRule="auto"/>
              <w:jc w:val="center"/>
              <w:rPr>
                <w:b/>
                <w:bCs/>
                <w:color w:val="000000"/>
                <w:sz w:val="20"/>
                <w:szCs w:val="20"/>
              </w:rPr>
            </w:pPr>
            <w:r>
              <w:rPr>
                <w:b/>
                <w:bCs/>
                <w:color w:val="000000"/>
                <w:sz w:val="20"/>
                <w:szCs w:val="20"/>
              </w:rPr>
              <w:t>0 [0–1]</w:t>
            </w:r>
            <w:r>
              <w:rPr>
                <w:color w:val="000000"/>
                <w:sz w:val="20"/>
                <w:szCs w:val="20"/>
              </w:rPr>
              <w:t xml:space="preserve"> ᵃ</w:t>
            </w:r>
          </w:p>
        </w:tc>
      </w:tr>
      <w:tr w:rsidR="00097466" w14:paraId="6F2CB657" w14:textId="77777777">
        <w:trPr>
          <w:trHeight w:val="397"/>
        </w:trPr>
        <w:tc>
          <w:tcPr>
            <w:tcW w:w="8485" w:type="dxa"/>
            <w:gridSpan w:val="2"/>
            <w:tcBorders>
              <w:top w:val="single" w:sz="8" w:space="0" w:color="DDDDDD"/>
              <w:left w:val="single" w:sz="8" w:space="0" w:color="DDDDDD"/>
              <w:bottom w:val="single" w:sz="8" w:space="0" w:color="DDDDDD"/>
              <w:right w:val="single" w:sz="8" w:space="0" w:color="DDDDDD"/>
            </w:tcBorders>
            <w:shd w:val="clear" w:color="auto" w:fill="auto"/>
            <w:vAlign w:val="center"/>
          </w:tcPr>
          <w:p w14:paraId="73250B3A" w14:textId="77777777" w:rsidR="00097466" w:rsidRDefault="00000000" w:rsidP="00E43E77">
            <w:pPr>
              <w:keepNext/>
              <w:spacing w:before="120" w:after="120" w:line="240" w:lineRule="auto"/>
              <w:rPr>
                <w:color w:val="000000"/>
                <w:sz w:val="18"/>
                <w:szCs w:val="18"/>
              </w:rPr>
            </w:pPr>
            <w:r>
              <w:rPr>
                <w:color w:val="000000"/>
                <w:sz w:val="18"/>
                <w:szCs w:val="18"/>
              </w:rPr>
              <w:t xml:space="preserve">ᵃ Distribución no normal (Shapiro-Wilk, p &lt; 0,05); expresada como mediana [IQR]. El SLICC/SDI cuantifica daño orgánico irreversible acumulado desde el diagnóstico; calculado según </w:t>
            </w:r>
            <w:proofErr w:type="spellStart"/>
            <w:r>
              <w:rPr>
                <w:color w:val="000000"/>
                <w:sz w:val="18"/>
                <w:szCs w:val="18"/>
              </w:rPr>
              <w:t>Gladman</w:t>
            </w:r>
            <w:proofErr w:type="spellEnd"/>
            <w:r>
              <w:rPr>
                <w:color w:val="000000"/>
                <w:sz w:val="18"/>
                <w:szCs w:val="18"/>
              </w:rPr>
              <w:t xml:space="preserve"> et al. (1996).</w:t>
            </w:r>
          </w:p>
        </w:tc>
      </w:tr>
    </w:tbl>
    <w:p w14:paraId="3503F9E7" w14:textId="25B8705C" w:rsidR="00E43E77" w:rsidRDefault="00E43E77" w:rsidP="00C67F76">
      <w:pPr>
        <w:pStyle w:val="Descripcin"/>
      </w:pPr>
      <w:bookmarkStart w:id="119" w:name="_Toc230792246"/>
      <w:r>
        <w:t xml:space="preserve">Tabla </w:t>
      </w:r>
      <w:fldSimple w:instr=" SEQ Tabla \* ARABIC ">
        <w:r w:rsidR="00716AEA">
          <w:rPr>
            <w:noProof/>
          </w:rPr>
          <w:t>9</w:t>
        </w:r>
      </w:fldSimple>
      <w:r>
        <w:t xml:space="preserve">. </w:t>
      </w:r>
      <w:r w:rsidRPr="008638D6">
        <w:t>Distribución de pacientes LES según puntuación de daño orgánico acumulado (SLICC/SDI).</w:t>
      </w:r>
      <w:bookmarkEnd w:id="119"/>
    </w:p>
    <w:p w14:paraId="089D9D44" w14:textId="199E297A" w:rsidR="00097466" w:rsidRDefault="00000000">
      <w:r>
        <w:t xml:space="preserve">El </w:t>
      </w:r>
      <w:r>
        <w:rPr>
          <w:b/>
          <w:bCs/>
        </w:rPr>
        <w:t>SLE-DAS</w:t>
      </w:r>
      <w:r>
        <w:t xml:space="preserve"> presentó </w:t>
      </w:r>
      <w:r w:rsidR="007B48DC">
        <w:t xml:space="preserve">que </w:t>
      </w:r>
      <w:r>
        <w:t>el 78,2% de los pacientes (n = 197) se encontraba en remisión (SLE-DAS ≤ 2,08), el 17,1% (n = 43) presentaba actividad leve (2,08 &lt; SLE-DAS ≤ 7,64) y el 4,8% (n = 12) tenía actividad moderada-grave (SLE-DAS &gt; 7,64). La distribución coincide cualitativamente con la obtenida mediante SLEDAI-2K, lo que apoya la concordancia entre ambos instrumentos en esta cohorte</w:t>
      </w:r>
      <w:r w:rsidR="007876F2">
        <w:t xml:space="preserve"> (Tabla 10)</w:t>
      </w:r>
      <w:r>
        <w:t>.</w:t>
      </w:r>
    </w:p>
    <w:tbl>
      <w:tblPr>
        <w:tblStyle w:val="aa"/>
        <w:tblW w:w="8485" w:type="dxa"/>
        <w:tblInd w:w="0" w:type="dxa"/>
        <w:tblLayout w:type="fixed"/>
        <w:tblLook w:val="0400" w:firstRow="0" w:lastRow="0" w:firstColumn="0" w:lastColumn="0" w:noHBand="0" w:noVBand="1"/>
      </w:tblPr>
      <w:tblGrid>
        <w:gridCol w:w="4242"/>
        <w:gridCol w:w="4243"/>
      </w:tblGrid>
      <w:tr w:rsidR="00097466" w14:paraId="2AF8C2F7" w14:textId="77777777">
        <w:trPr>
          <w:trHeight w:val="397"/>
        </w:trPr>
        <w:tc>
          <w:tcPr>
            <w:tcW w:w="4242"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21A6F0A1" w14:textId="77777777" w:rsidR="00097466" w:rsidRDefault="00000000">
            <w:pPr>
              <w:spacing w:before="0" w:after="0" w:line="240" w:lineRule="auto"/>
              <w:jc w:val="left"/>
              <w:rPr>
                <w:b/>
                <w:bCs/>
                <w:color w:val="000000"/>
                <w:sz w:val="21"/>
                <w:szCs w:val="21"/>
              </w:rPr>
            </w:pPr>
            <w:r>
              <w:rPr>
                <w:b/>
                <w:bCs/>
                <w:color w:val="000000"/>
                <w:sz w:val="21"/>
                <w:szCs w:val="21"/>
              </w:rPr>
              <w:t>Categoría SLE-DAS</w:t>
            </w:r>
          </w:p>
        </w:tc>
        <w:tc>
          <w:tcPr>
            <w:tcW w:w="4243" w:type="dxa"/>
            <w:tcBorders>
              <w:top w:val="single" w:sz="8" w:space="0" w:color="DDDDDD"/>
              <w:left w:val="nil"/>
              <w:bottom w:val="single" w:sz="8" w:space="0" w:color="DDDDDD"/>
              <w:right w:val="single" w:sz="8" w:space="0" w:color="DDDDDD"/>
            </w:tcBorders>
            <w:shd w:val="clear" w:color="auto" w:fill="F2F2F2"/>
            <w:vAlign w:val="center"/>
          </w:tcPr>
          <w:p w14:paraId="1C6A0970" w14:textId="77777777" w:rsidR="00097466" w:rsidRDefault="00000000">
            <w:pPr>
              <w:spacing w:before="0" w:after="0" w:line="240" w:lineRule="auto"/>
              <w:jc w:val="center"/>
              <w:rPr>
                <w:b/>
                <w:bCs/>
                <w:color w:val="000000"/>
                <w:sz w:val="21"/>
                <w:szCs w:val="21"/>
              </w:rPr>
            </w:pPr>
            <w:r>
              <w:rPr>
                <w:b/>
                <w:bCs/>
                <w:color w:val="000000"/>
                <w:sz w:val="21"/>
                <w:szCs w:val="21"/>
              </w:rPr>
              <w:t>N (%)</w:t>
            </w:r>
          </w:p>
        </w:tc>
      </w:tr>
      <w:tr w:rsidR="00097466" w14:paraId="00B7564B" w14:textId="77777777">
        <w:trPr>
          <w:trHeight w:val="397"/>
        </w:trPr>
        <w:tc>
          <w:tcPr>
            <w:tcW w:w="4242" w:type="dxa"/>
            <w:tcBorders>
              <w:top w:val="nil"/>
              <w:left w:val="single" w:sz="8" w:space="0" w:color="DDDDDD"/>
              <w:bottom w:val="single" w:sz="8" w:space="0" w:color="DDDDDD"/>
              <w:right w:val="single" w:sz="8" w:space="0" w:color="DDDDDD"/>
            </w:tcBorders>
            <w:shd w:val="clear" w:color="auto" w:fill="auto"/>
            <w:vAlign w:val="center"/>
          </w:tcPr>
          <w:p w14:paraId="245C36D4" w14:textId="77777777" w:rsidR="00097466" w:rsidRDefault="00000000">
            <w:pPr>
              <w:spacing w:before="0" w:after="0" w:line="240" w:lineRule="auto"/>
              <w:jc w:val="left"/>
              <w:rPr>
                <w:color w:val="000000"/>
                <w:sz w:val="21"/>
                <w:szCs w:val="21"/>
              </w:rPr>
            </w:pPr>
            <w:r>
              <w:rPr>
                <w:color w:val="000000"/>
                <w:sz w:val="21"/>
                <w:szCs w:val="21"/>
              </w:rPr>
              <w:t>Remisión (SLE-DAS ≤ 2,08)</w:t>
            </w:r>
          </w:p>
        </w:tc>
        <w:tc>
          <w:tcPr>
            <w:tcW w:w="4243" w:type="dxa"/>
            <w:tcBorders>
              <w:top w:val="nil"/>
              <w:left w:val="nil"/>
              <w:bottom w:val="single" w:sz="8" w:space="0" w:color="DDDDDD"/>
              <w:right w:val="single" w:sz="8" w:space="0" w:color="DDDDDD"/>
            </w:tcBorders>
            <w:shd w:val="clear" w:color="auto" w:fill="auto"/>
            <w:vAlign w:val="center"/>
          </w:tcPr>
          <w:p w14:paraId="00B0263B" w14:textId="77777777" w:rsidR="00097466" w:rsidRDefault="00000000">
            <w:pPr>
              <w:spacing w:before="0" w:after="0" w:line="240" w:lineRule="auto"/>
              <w:jc w:val="center"/>
              <w:rPr>
                <w:color w:val="000000"/>
                <w:sz w:val="21"/>
                <w:szCs w:val="21"/>
              </w:rPr>
            </w:pPr>
            <w:r>
              <w:rPr>
                <w:color w:val="000000"/>
                <w:sz w:val="21"/>
                <w:szCs w:val="21"/>
              </w:rPr>
              <w:t>197 (78,2%)</w:t>
            </w:r>
          </w:p>
        </w:tc>
      </w:tr>
      <w:tr w:rsidR="00097466" w14:paraId="598D2E33" w14:textId="77777777">
        <w:trPr>
          <w:trHeight w:val="397"/>
        </w:trPr>
        <w:tc>
          <w:tcPr>
            <w:tcW w:w="4242" w:type="dxa"/>
            <w:tcBorders>
              <w:top w:val="nil"/>
              <w:left w:val="single" w:sz="8" w:space="0" w:color="DDDDDD"/>
              <w:bottom w:val="single" w:sz="8" w:space="0" w:color="DDDDDD"/>
              <w:right w:val="single" w:sz="8" w:space="0" w:color="DDDDDD"/>
            </w:tcBorders>
            <w:shd w:val="clear" w:color="auto" w:fill="auto"/>
            <w:vAlign w:val="center"/>
          </w:tcPr>
          <w:p w14:paraId="147618D9" w14:textId="77777777" w:rsidR="00097466" w:rsidRDefault="00000000">
            <w:pPr>
              <w:spacing w:before="0" w:after="0" w:line="240" w:lineRule="auto"/>
              <w:jc w:val="left"/>
              <w:rPr>
                <w:color w:val="000000"/>
                <w:sz w:val="21"/>
                <w:szCs w:val="21"/>
              </w:rPr>
            </w:pPr>
            <w:r>
              <w:rPr>
                <w:color w:val="000000"/>
                <w:sz w:val="21"/>
                <w:szCs w:val="21"/>
              </w:rPr>
              <w:t>Actividad leve (2,08 &lt; SLE-DAS ≤ 7,64)</w:t>
            </w:r>
          </w:p>
        </w:tc>
        <w:tc>
          <w:tcPr>
            <w:tcW w:w="4243" w:type="dxa"/>
            <w:tcBorders>
              <w:top w:val="nil"/>
              <w:left w:val="nil"/>
              <w:bottom w:val="single" w:sz="8" w:space="0" w:color="DDDDDD"/>
              <w:right w:val="single" w:sz="8" w:space="0" w:color="DDDDDD"/>
            </w:tcBorders>
            <w:shd w:val="clear" w:color="auto" w:fill="auto"/>
            <w:vAlign w:val="center"/>
          </w:tcPr>
          <w:p w14:paraId="11A3F225" w14:textId="77777777" w:rsidR="00097466" w:rsidRDefault="00000000">
            <w:pPr>
              <w:spacing w:before="0" w:after="0" w:line="240" w:lineRule="auto"/>
              <w:jc w:val="center"/>
              <w:rPr>
                <w:color w:val="000000"/>
                <w:sz w:val="21"/>
                <w:szCs w:val="21"/>
              </w:rPr>
            </w:pPr>
            <w:r>
              <w:rPr>
                <w:color w:val="000000"/>
                <w:sz w:val="21"/>
                <w:szCs w:val="21"/>
              </w:rPr>
              <w:t>43 (17,1%)</w:t>
            </w:r>
          </w:p>
        </w:tc>
      </w:tr>
      <w:tr w:rsidR="00097466" w14:paraId="441D266C" w14:textId="77777777">
        <w:trPr>
          <w:trHeight w:val="397"/>
        </w:trPr>
        <w:tc>
          <w:tcPr>
            <w:tcW w:w="4242" w:type="dxa"/>
            <w:tcBorders>
              <w:top w:val="nil"/>
              <w:left w:val="single" w:sz="8" w:space="0" w:color="DDDDDD"/>
              <w:bottom w:val="single" w:sz="8" w:space="0" w:color="DDDDDD"/>
              <w:right w:val="single" w:sz="8" w:space="0" w:color="DDDDDD"/>
            </w:tcBorders>
            <w:shd w:val="clear" w:color="auto" w:fill="auto"/>
            <w:vAlign w:val="center"/>
          </w:tcPr>
          <w:p w14:paraId="183237EE" w14:textId="77777777" w:rsidR="00097466" w:rsidRDefault="00000000">
            <w:pPr>
              <w:spacing w:before="0" w:after="0" w:line="240" w:lineRule="auto"/>
              <w:jc w:val="left"/>
              <w:rPr>
                <w:color w:val="000000"/>
                <w:sz w:val="21"/>
                <w:szCs w:val="21"/>
              </w:rPr>
            </w:pPr>
            <w:r>
              <w:rPr>
                <w:color w:val="000000"/>
                <w:sz w:val="21"/>
                <w:szCs w:val="21"/>
              </w:rPr>
              <w:t>Actividad moderada-grave (SLE-DAS &gt; 7,64)</w:t>
            </w:r>
          </w:p>
        </w:tc>
        <w:tc>
          <w:tcPr>
            <w:tcW w:w="4243" w:type="dxa"/>
            <w:tcBorders>
              <w:top w:val="nil"/>
              <w:left w:val="nil"/>
              <w:bottom w:val="single" w:sz="8" w:space="0" w:color="DDDDDD"/>
              <w:right w:val="single" w:sz="8" w:space="0" w:color="DDDDDD"/>
            </w:tcBorders>
            <w:shd w:val="clear" w:color="auto" w:fill="auto"/>
            <w:vAlign w:val="center"/>
          </w:tcPr>
          <w:p w14:paraId="599855B7" w14:textId="77777777" w:rsidR="00097466" w:rsidRDefault="00000000">
            <w:pPr>
              <w:spacing w:before="0" w:after="0" w:line="240" w:lineRule="auto"/>
              <w:jc w:val="center"/>
              <w:rPr>
                <w:color w:val="000000"/>
                <w:sz w:val="21"/>
                <w:szCs w:val="21"/>
              </w:rPr>
            </w:pPr>
            <w:r>
              <w:rPr>
                <w:color w:val="000000"/>
                <w:sz w:val="21"/>
                <w:szCs w:val="21"/>
              </w:rPr>
              <w:t>12 (4,8%)</w:t>
            </w:r>
          </w:p>
        </w:tc>
      </w:tr>
      <w:tr w:rsidR="00097466" w14:paraId="0A794DC6" w14:textId="77777777">
        <w:trPr>
          <w:trHeight w:val="397"/>
        </w:trPr>
        <w:tc>
          <w:tcPr>
            <w:tcW w:w="4242" w:type="dxa"/>
            <w:tcBorders>
              <w:top w:val="nil"/>
              <w:left w:val="single" w:sz="8" w:space="0" w:color="DDDDDD"/>
              <w:bottom w:val="single" w:sz="8" w:space="0" w:color="DDDDDD"/>
              <w:right w:val="single" w:sz="8" w:space="0" w:color="DDDDDD"/>
            </w:tcBorders>
            <w:shd w:val="clear" w:color="auto" w:fill="auto"/>
            <w:vAlign w:val="center"/>
          </w:tcPr>
          <w:p w14:paraId="2D57C804" w14:textId="77777777" w:rsidR="00097466" w:rsidRDefault="00000000">
            <w:pPr>
              <w:spacing w:before="0" w:after="0" w:line="240" w:lineRule="auto"/>
              <w:jc w:val="left"/>
              <w:rPr>
                <w:b/>
                <w:bCs/>
                <w:color w:val="000000"/>
                <w:sz w:val="21"/>
                <w:szCs w:val="21"/>
              </w:rPr>
            </w:pPr>
            <w:r>
              <w:rPr>
                <w:b/>
                <w:bCs/>
                <w:color w:val="000000"/>
                <w:sz w:val="21"/>
                <w:szCs w:val="21"/>
              </w:rPr>
              <w:t>Total</w:t>
            </w:r>
          </w:p>
        </w:tc>
        <w:tc>
          <w:tcPr>
            <w:tcW w:w="4243" w:type="dxa"/>
            <w:tcBorders>
              <w:top w:val="nil"/>
              <w:left w:val="nil"/>
              <w:bottom w:val="single" w:sz="8" w:space="0" w:color="DDDDDD"/>
              <w:right w:val="single" w:sz="8" w:space="0" w:color="DDDDDD"/>
            </w:tcBorders>
            <w:shd w:val="clear" w:color="auto" w:fill="auto"/>
            <w:vAlign w:val="center"/>
          </w:tcPr>
          <w:p w14:paraId="1BA0FF92" w14:textId="77777777" w:rsidR="00097466" w:rsidRDefault="00000000">
            <w:pPr>
              <w:spacing w:before="0" w:after="0" w:line="240" w:lineRule="auto"/>
              <w:jc w:val="center"/>
              <w:rPr>
                <w:b/>
                <w:bCs/>
                <w:color w:val="000000"/>
                <w:sz w:val="21"/>
                <w:szCs w:val="21"/>
              </w:rPr>
            </w:pPr>
            <w:r>
              <w:rPr>
                <w:b/>
                <w:bCs/>
                <w:color w:val="000000"/>
                <w:sz w:val="21"/>
                <w:szCs w:val="21"/>
              </w:rPr>
              <w:t>252 (100%)</w:t>
            </w:r>
          </w:p>
        </w:tc>
      </w:tr>
      <w:tr w:rsidR="00097466" w14:paraId="033F7D67" w14:textId="77777777">
        <w:trPr>
          <w:trHeight w:val="397"/>
        </w:trPr>
        <w:tc>
          <w:tcPr>
            <w:tcW w:w="4242" w:type="dxa"/>
            <w:tcBorders>
              <w:top w:val="nil"/>
              <w:left w:val="single" w:sz="8" w:space="0" w:color="DDDDDD"/>
              <w:bottom w:val="single" w:sz="8" w:space="0" w:color="DDDDDD"/>
              <w:right w:val="single" w:sz="8" w:space="0" w:color="DDDDDD"/>
            </w:tcBorders>
            <w:shd w:val="clear" w:color="auto" w:fill="auto"/>
            <w:vAlign w:val="center"/>
          </w:tcPr>
          <w:p w14:paraId="6AA94E37" w14:textId="77777777" w:rsidR="00097466" w:rsidRDefault="00000000">
            <w:pPr>
              <w:spacing w:before="0" w:after="0" w:line="240" w:lineRule="auto"/>
              <w:jc w:val="left"/>
              <w:rPr>
                <w:b/>
                <w:bCs/>
                <w:color w:val="000000"/>
                <w:sz w:val="21"/>
                <w:szCs w:val="21"/>
              </w:rPr>
            </w:pPr>
            <w:r>
              <w:rPr>
                <w:b/>
                <w:bCs/>
                <w:color w:val="000000"/>
                <w:sz w:val="21"/>
                <w:szCs w:val="21"/>
              </w:rPr>
              <w:t>Mediana [IQR]</w:t>
            </w:r>
          </w:p>
        </w:tc>
        <w:tc>
          <w:tcPr>
            <w:tcW w:w="4243" w:type="dxa"/>
            <w:tcBorders>
              <w:top w:val="nil"/>
              <w:left w:val="nil"/>
              <w:bottom w:val="single" w:sz="8" w:space="0" w:color="DDDDDD"/>
              <w:right w:val="single" w:sz="8" w:space="0" w:color="DDDDDD"/>
            </w:tcBorders>
            <w:shd w:val="clear" w:color="auto" w:fill="auto"/>
            <w:vAlign w:val="center"/>
          </w:tcPr>
          <w:p w14:paraId="7C2A710A" w14:textId="77777777" w:rsidR="00097466" w:rsidRDefault="00000000">
            <w:pPr>
              <w:spacing w:before="0" w:after="0" w:line="240" w:lineRule="auto"/>
              <w:jc w:val="center"/>
              <w:rPr>
                <w:b/>
                <w:bCs/>
                <w:color w:val="000000"/>
                <w:sz w:val="21"/>
                <w:szCs w:val="21"/>
              </w:rPr>
            </w:pPr>
            <w:r>
              <w:rPr>
                <w:b/>
                <w:bCs/>
                <w:color w:val="000000"/>
                <w:sz w:val="21"/>
                <w:szCs w:val="21"/>
              </w:rPr>
              <w:t>1,12 [0,37–2,08]</w:t>
            </w:r>
            <w:r>
              <w:rPr>
                <w:color w:val="000000"/>
                <w:sz w:val="21"/>
                <w:szCs w:val="21"/>
              </w:rPr>
              <w:t xml:space="preserve"> ᵃ</w:t>
            </w:r>
          </w:p>
        </w:tc>
      </w:tr>
      <w:tr w:rsidR="00097466" w14:paraId="52B7C94B" w14:textId="77777777">
        <w:trPr>
          <w:trHeight w:val="397"/>
        </w:trPr>
        <w:tc>
          <w:tcPr>
            <w:tcW w:w="8485" w:type="dxa"/>
            <w:gridSpan w:val="2"/>
            <w:tcBorders>
              <w:top w:val="single" w:sz="8" w:space="0" w:color="DDDDDD"/>
              <w:left w:val="single" w:sz="8" w:space="0" w:color="DDDDDD"/>
              <w:bottom w:val="single" w:sz="8" w:space="0" w:color="DDDDDD"/>
              <w:right w:val="single" w:sz="8" w:space="0" w:color="DDDDDD"/>
            </w:tcBorders>
            <w:shd w:val="clear" w:color="auto" w:fill="auto"/>
            <w:vAlign w:val="center"/>
          </w:tcPr>
          <w:p w14:paraId="35BA9A22" w14:textId="77777777" w:rsidR="00097466" w:rsidRDefault="00000000" w:rsidP="00E43E77">
            <w:pPr>
              <w:keepNext/>
              <w:spacing w:before="120" w:after="120" w:line="240" w:lineRule="auto"/>
              <w:rPr>
                <w:color w:val="000000"/>
                <w:sz w:val="18"/>
                <w:szCs w:val="18"/>
              </w:rPr>
            </w:pPr>
            <w:r>
              <w:rPr>
                <w:color w:val="000000"/>
                <w:sz w:val="18"/>
                <w:szCs w:val="18"/>
              </w:rPr>
              <w:t>ᵃ Distribución no normal (Shapiro-Wilk, p &lt; 0,05); expresada como mediana [IQR]. Umbrales de categorización según Jesús et al. (2021). Fórmula de cálculo según Jorge et al. (2019).</w:t>
            </w:r>
          </w:p>
        </w:tc>
      </w:tr>
    </w:tbl>
    <w:p w14:paraId="072B74AA" w14:textId="7F29CDD2" w:rsidR="00E43E77" w:rsidRDefault="00E43E77" w:rsidP="00C67F76">
      <w:pPr>
        <w:pStyle w:val="Descripcin"/>
      </w:pPr>
      <w:bookmarkStart w:id="120" w:name="_Toc230792247"/>
      <w:r>
        <w:t xml:space="preserve">Tabla </w:t>
      </w:r>
      <w:fldSimple w:instr=" SEQ Tabla \* ARABIC ">
        <w:r w:rsidR="00716AEA">
          <w:rPr>
            <w:noProof/>
          </w:rPr>
          <w:t>10</w:t>
        </w:r>
      </w:fldSimple>
      <w:r>
        <w:t xml:space="preserve">. </w:t>
      </w:r>
      <w:r w:rsidRPr="00657287">
        <w:t>Distribución de pacientes LES según categoría de actividad (SLE-DAS).</w:t>
      </w:r>
      <w:bookmarkEnd w:id="120"/>
    </w:p>
    <w:p w14:paraId="1FF1DDE6" w14:textId="7B976744" w:rsidR="00097466" w:rsidRDefault="00000000">
      <w:r>
        <w:t xml:space="preserve">El 84,9% de los pacientes (n = 214) cumplía criterios </w:t>
      </w:r>
      <w:r>
        <w:rPr>
          <w:b/>
          <w:bCs/>
        </w:rPr>
        <w:t>LLDAS</w:t>
      </w:r>
      <w:r>
        <w:t>, que requieren simultáneamente SLEDAI-2K ≤ 4 sin manifestaciones graves, ausencia de actividad nueva, EVA médico ≤ 1 y prednisona ≤ 7,5 mg/día</w:t>
      </w:r>
      <w:r w:rsidR="007876F2">
        <w:t xml:space="preserve"> (Tabla 11)</w:t>
      </w:r>
      <w:r>
        <w:t>.</w:t>
      </w:r>
    </w:p>
    <w:p w14:paraId="09DA5C14" w14:textId="77777777" w:rsidR="007B48DC" w:rsidRDefault="007B48DC"/>
    <w:tbl>
      <w:tblPr>
        <w:tblStyle w:val="ab"/>
        <w:tblW w:w="8485" w:type="dxa"/>
        <w:tblInd w:w="0" w:type="dxa"/>
        <w:tblLayout w:type="fixed"/>
        <w:tblLook w:val="0400" w:firstRow="0" w:lastRow="0" w:firstColumn="0" w:lastColumn="0" w:noHBand="0" w:noVBand="1"/>
      </w:tblPr>
      <w:tblGrid>
        <w:gridCol w:w="4242"/>
        <w:gridCol w:w="4243"/>
      </w:tblGrid>
      <w:tr w:rsidR="00097466" w14:paraId="613D0F20" w14:textId="77777777">
        <w:trPr>
          <w:trHeight w:val="397"/>
        </w:trPr>
        <w:tc>
          <w:tcPr>
            <w:tcW w:w="4242"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1CDA7C46" w14:textId="77777777" w:rsidR="00097466" w:rsidRDefault="00000000" w:rsidP="008875E6">
            <w:pPr>
              <w:spacing w:before="0" w:after="0" w:line="240" w:lineRule="auto"/>
              <w:jc w:val="left"/>
              <w:rPr>
                <w:b/>
                <w:bCs/>
                <w:color w:val="000000"/>
                <w:sz w:val="20"/>
                <w:szCs w:val="20"/>
              </w:rPr>
            </w:pPr>
            <w:r>
              <w:rPr>
                <w:b/>
                <w:bCs/>
                <w:color w:val="000000"/>
                <w:sz w:val="20"/>
                <w:szCs w:val="20"/>
              </w:rPr>
              <w:lastRenderedPageBreak/>
              <w:t>Estado LLDAS</w:t>
            </w:r>
          </w:p>
        </w:tc>
        <w:tc>
          <w:tcPr>
            <w:tcW w:w="4243" w:type="dxa"/>
            <w:tcBorders>
              <w:top w:val="single" w:sz="8" w:space="0" w:color="DDDDDD"/>
              <w:left w:val="nil"/>
              <w:bottom w:val="single" w:sz="8" w:space="0" w:color="DDDDDD"/>
              <w:right w:val="single" w:sz="8" w:space="0" w:color="DDDDDD"/>
            </w:tcBorders>
            <w:shd w:val="clear" w:color="auto" w:fill="F2F2F2"/>
            <w:vAlign w:val="center"/>
          </w:tcPr>
          <w:p w14:paraId="04DE5A5B" w14:textId="77777777" w:rsidR="00097466" w:rsidRDefault="00000000" w:rsidP="008875E6">
            <w:pPr>
              <w:spacing w:before="0" w:after="0" w:line="240" w:lineRule="auto"/>
              <w:jc w:val="center"/>
              <w:rPr>
                <w:b/>
                <w:bCs/>
                <w:color w:val="000000"/>
                <w:sz w:val="20"/>
                <w:szCs w:val="20"/>
              </w:rPr>
            </w:pPr>
            <w:r>
              <w:rPr>
                <w:b/>
                <w:bCs/>
                <w:color w:val="000000"/>
                <w:sz w:val="20"/>
                <w:szCs w:val="20"/>
              </w:rPr>
              <w:t>N (%)</w:t>
            </w:r>
          </w:p>
        </w:tc>
      </w:tr>
      <w:tr w:rsidR="00097466" w14:paraId="02300033" w14:textId="77777777">
        <w:trPr>
          <w:trHeight w:val="397"/>
        </w:trPr>
        <w:tc>
          <w:tcPr>
            <w:tcW w:w="4242" w:type="dxa"/>
            <w:tcBorders>
              <w:top w:val="nil"/>
              <w:left w:val="single" w:sz="8" w:space="0" w:color="DDDDDD"/>
              <w:bottom w:val="single" w:sz="8" w:space="0" w:color="DDDDDD"/>
              <w:right w:val="single" w:sz="8" w:space="0" w:color="DDDDDD"/>
            </w:tcBorders>
            <w:shd w:val="clear" w:color="auto" w:fill="auto"/>
            <w:vAlign w:val="center"/>
          </w:tcPr>
          <w:p w14:paraId="7E7A360F" w14:textId="77777777" w:rsidR="00097466" w:rsidRDefault="00000000" w:rsidP="008875E6">
            <w:pPr>
              <w:spacing w:before="0" w:after="0" w:line="240" w:lineRule="auto"/>
              <w:jc w:val="left"/>
              <w:rPr>
                <w:color w:val="000000"/>
                <w:sz w:val="20"/>
                <w:szCs w:val="20"/>
              </w:rPr>
            </w:pPr>
            <w:r>
              <w:rPr>
                <w:color w:val="000000"/>
                <w:sz w:val="20"/>
                <w:szCs w:val="20"/>
              </w:rPr>
              <w:t>No cumple criterios LLDAS</w:t>
            </w:r>
          </w:p>
        </w:tc>
        <w:tc>
          <w:tcPr>
            <w:tcW w:w="4243" w:type="dxa"/>
            <w:tcBorders>
              <w:top w:val="nil"/>
              <w:left w:val="nil"/>
              <w:bottom w:val="single" w:sz="8" w:space="0" w:color="DDDDDD"/>
              <w:right w:val="single" w:sz="8" w:space="0" w:color="DDDDDD"/>
            </w:tcBorders>
            <w:shd w:val="clear" w:color="auto" w:fill="auto"/>
            <w:vAlign w:val="center"/>
          </w:tcPr>
          <w:p w14:paraId="3178CBD2" w14:textId="77777777" w:rsidR="00097466" w:rsidRDefault="00000000" w:rsidP="008875E6">
            <w:pPr>
              <w:spacing w:before="0" w:after="0" w:line="240" w:lineRule="auto"/>
              <w:jc w:val="center"/>
              <w:rPr>
                <w:color w:val="000000"/>
                <w:sz w:val="20"/>
                <w:szCs w:val="20"/>
              </w:rPr>
            </w:pPr>
            <w:r>
              <w:rPr>
                <w:color w:val="000000"/>
                <w:sz w:val="20"/>
                <w:szCs w:val="20"/>
              </w:rPr>
              <w:t>38 (15,1%)</w:t>
            </w:r>
          </w:p>
        </w:tc>
      </w:tr>
      <w:tr w:rsidR="00097466" w14:paraId="2F53A26A" w14:textId="77777777">
        <w:trPr>
          <w:trHeight w:val="397"/>
        </w:trPr>
        <w:tc>
          <w:tcPr>
            <w:tcW w:w="4242" w:type="dxa"/>
            <w:tcBorders>
              <w:top w:val="nil"/>
              <w:left w:val="single" w:sz="8" w:space="0" w:color="DDDDDD"/>
              <w:bottom w:val="single" w:sz="8" w:space="0" w:color="DDDDDD"/>
              <w:right w:val="single" w:sz="8" w:space="0" w:color="DDDDDD"/>
            </w:tcBorders>
            <w:shd w:val="clear" w:color="auto" w:fill="auto"/>
            <w:vAlign w:val="center"/>
          </w:tcPr>
          <w:p w14:paraId="06844DE4" w14:textId="77777777" w:rsidR="00097466" w:rsidRDefault="00000000" w:rsidP="008875E6">
            <w:pPr>
              <w:spacing w:before="0" w:after="0" w:line="240" w:lineRule="auto"/>
              <w:jc w:val="left"/>
              <w:rPr>
                <w:color w:val="000000"/>
                <w:sz w:val="20"/>
                <w:szCs w:val="20"/>
              </w:rPr>
            </w:pPr>
            <w:r>
              <w:rPr>
                <w:color w:val="000000"/>
                <w:sz w:val="20"/>
                <w:szCs w:val="20"/>
              </w:rPr>
              <w:t>Cumple criterios LLDAS</w:t>
            </w:r>
          </w:p>
        </w:tc>
        <w:tc>
          <w:tcPr>
            <w:tcW w:w="4243" w:type="dxa"/>
            <w:tcBorders>
              <w:top w:val="nil"/>
              <w:left w:val="nil"/>
              <w:bottom w:val="single" w:sz="8" w:space="0" w:color="DDDDDD"/>
              <w:right w:val="single" w:sz="8" w:space="0" w:color="DDDDDD"/>
            </w:tcBorders>
            <w:shd w:val="clear" w:color="auto" w:fill="auto"/>
            <w:vAlign w:val="center"/>
          </w:tcPr>
          <w:p w14:paraId="1CACE180" w14:textId="77777777" w:rsidR="00097466" w:rsidRDefault="00000000" w:rsidP="008875E6">
            <w:pPr>
              <w:spacing w:before="0" w:after="0" w:line="240" w:lineRule="auto"/>
              <w:jc w:val="center"/>
              <w:rPr>
                <w:color w:val="000000"/>
                <w:sz w:val="20"/>
                <w:szCs w:val="20"/>
              </w:rPr>
            </w:pPr>
            <w:r>
              <w:rPr>
                <w:color w:val="000000"/>
                <w:sz w:val="20"/>
                <w:szCs w:val="20"/>
              </w:rPr>
              <w:t>214 (84,9%)</w:t>
            </w:r>
          </w:p>
        </w:tc>
      </w:tr>
      <w:tr w:rsidR="00097466" w14:paraId="2C2652FC" w14:textId="77777777">
        <w:trPr>
          <w:trHeight w:val="397"/>
        </w:trPr>
        <w:tc>
          <w:tcPr>
            <w:tcW w:w="4242" w:type="dxa"/>
            <w:tcBorders>
              <w:top w:val="nil"/>
              <w:left w:val="single" w:sz="8" w:space="0" w:color="DDDDDD"/>
              <w:bottom w:val="single" w:sz="8" w:space="0" w:color="DDDDDD"/>
              <w:right w:val="single" w:sz="8" w:space="0" w:color="DDDDDD"/>
            </w:tcBorders>
            <w:shd w:val="clear" w:color="auto" w:fill="auto"/>
            <w:vAlign w:val="center"/>
          </w:tcPr>
          <w:p w14:paraId="368A8C92" w14:textId="77777777" w:rsidR="00097466" w:rsidRDefault="00000000" w:rsidP="008875E6">
            <w:pPr>
              <w:spacing w:before="0" w:after="0" w:line="240" w:lineRule="auto"/>
              <w:jc w:val="left"/>
              <w:rPr>
                <w:b/>
                <w:bCs/>
                <w:color w:val="000000"/>
                <w:sz w:val="20"/>
                <w:szCs w:val="20"/>
              </w:rPr>
            </w:pPr>
            <w:r>
              <w:rPr>
                <w:b/>
                <w:bCs/>
                <w:color w:val="000000"/>
                <w:sz w:val="20"/>
                <w:szCs w:val="20"/>
              </w:rPr>
              <w:t>Total</w:t>
            </w:r>
          </w:p>
        </w:tc>
        <w:tc>
          <w:tcPr>
            <w:tcW w:w="4243" w:type="dxa"/>
            <w:tcBorders>
              <w:top w:val="nil"/>
              <w:left w:val="nil"/>
              <w:bottom w:val="single" w:sz="8" w:space="0" w:color="DDDDDD"/>
              <w:right w:val="single" w:sz="8" w:space="0" w:color="DDDDDD"/>
            </w:tcBorders>
            <w:shd w:val="clear" w:color="auto" w:fill="auto"/>
            <w:vAlign w:val="center"/>
          </w:tcPr>
          <w:p w14:paraId="7C3F86E1" w14:textId="77777777" w:rsidR="00097466" w:rsidRDefault="00000000" w:rsidP="008875E6">
            <w:pPr>
              <w:keepNext/>
              <w:spacing w:before="0" w:after="0" w:line="240" w:lineRule="auto"/>
              <w:jc w:val="center"/>
              <w:rPr>
                <w:b/>
                <w:bCs/>
                <w:color w:val="000000"/>
                <w:sz w:val="20"/>
                <w:szCs w:val="20"/>
              </w:rPr>
            </w:pPr>
            <w:r>
              <w:rPr>
                <w:b/>
                <w:bCs/>
                <w:color w:val="000000"/>
                <w:sz w:val="20"/>
                <w:szCs w:val="20"/>
              </w:rPr>
              <w:t>252 (100%)</w:t>
            </w:r>
          </w:p>
        </w:tc>
      </w:tr>
    </w:tbl>
    <w:p w14:paraId="2D1E2194" w14:textId="11EFEC1B" w:rsidR="008D23B6" w:rsidRDefault="008D23B6" w:rsidP="00C67F76">
      <w:pPr>
        <w:pStyle w:val="Descripcin"/>
      </w:pPr>
      <w:bookmarkStart w:id="121" w:name="_Toc230792248"/>
      <w:r>
        <w:t xml:space="preserve">Tabla </w:t>
      </w:r>
      <w:fldSimple w:instr=" SEQ Tabla \* ARABIC ">
        <w:r w:rsidR="00716AEA">
          <w:rPr>
            <w:noProof/>
          </w:rPr>
          <w:t>11</w:t>
        </w:r>
      </w:fldSimple>
      <w:r>
        <w:t xml:space="preserve">. </w:t>
      </w:r>
      <w:r w:rsidRPr="00E169CB">
        <w:t>Estado de baja actividad (LLDAS) en pacientes LES.</w:t>
      </w:r>
      <w:bookmarkEnd w:id="121"/>
    </w:p>
    <w:p w14:paraId="217B9D81" w14:textId="3133B71E" w:rsidR="00097466" w:rsidRDefault="00000000">
      <w:r>
        <w:t xml:space="preserve">Por su parte, el 52,4% de los pacientes (n = 132) alcanzaba remisión clínica según los criterios </w:t>
      </w:r>
      <w:r>
        <w:rPr>
          <w:b/>
          <w:bCs/>
        </w:rPr>
        <w:t>DORIS</w:t>
      </w:r>
      <w:r>
        <w:t xml:space="preserve">, definida como SLEDAI-2K clínico = 0 (excluyendo ítems serológicos), </w:t>
      </w:r>
      <w:proofErr w:type="spellStart"/>
      <w:r>
        <w:t>PhGA</w:t>
      </w:r>
      <w:proofErr w:type="spellEnd"/>
      <w:r>
        <w:t xml:space="preserve"> &lt; 0,5, prednisona ≤ 5 mg/día y tratamiento de mantenimiento estable. La diferencia entre la proporción en LLDAS (84,9%) y en DORIS (52,4%) refleja la mayor exigencia de los criterios de remisión completa respecto al estado de baja actividad, tal como ha sido descrito en la literatura</w:t>
      </w:r>
      <w:r w:rsidR="007876F2">
        <w:t xml:space="preserve"> (Tabla 12)</w:t>
      </w:r>
      <w:r>
        <w:t>.</w:t>
      </w:r>
    </w:p>
    <w:tbl>
      <w:tblPr>
        <w:tblStyle w:val="ac"/>
        <w:tblW w:w="8485" w:type="dxa"/>
        <w:tblInd w:w="0" w:type="dxa"/>
        <w:tblLayout w:type="fixed"/>
        <w:tblLook w:val="0400" w:firstRow="0" w:lastRow="0" w:firstColumn="0" w:lastColumn="0" w:noHBand="0" w:noVBand="1"/>
      </w:tblPr>
      <w:tblGrid>
        <w:gridCol w:w="4242"/>
        <w:gridCol w:w="4243"/>
      </w:tblGrid>
      <w:tr w:rsidR="00097466" w14:paraId="6AC4E086" w14:textId="77777777">
        <w:trPr>
          <w:trHeight w:val="397"/>
        </w:trPr>
        <w:tc>
          <w:tcPr>
            <w:tcW w:w="4242"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1E5611CA" w14:textId="77777777" w:rsidR="00097466" w:rsidRDefault="00000000">
            <w:pPr>
              <w:spacing w:before="0" w:after="0" w:line="240" w:lineRule="auto"/>
              <w:jc w:val="left"/>
              <w:rPr>
                <w:b/>
                <w:bCs/>
                <w:color w:val="000000"/>
                <w:sz w:val="20"/>
                <w:szCs w:val="20"/>
              </w:rPr>
            </w:pPr>
            <w:r>
              <w:rPr>
                <w:b/>
                <w:bCs/>
                <w:color w:val="000000"/>
                <w:sz w:val="20"/>
                <w:szCs w:val="20"/>
              </w:rPr>
              <w:t>Estado DORIS</w:t>
            </w:r>
          </w:p>
        </w:tc>
        <w:tc>
          <w:tcPr>
            <w:tcW w:w="4243" w:type="dxa"/>
            <w:tcBorders>
              <w:top w:val="single" w:sz="8" w:space="0" w:color="DDDDDD"/>
              <w:left w:val="nil"/>
              <w:bottom w:val="single" w:sz="8" w:space="0" w:color="DDDDDD"/>
              <w:right w:val="single" w:sz="8" w:space="0" w:color="DDDDDD"/>
            </w:tcBorders>
            <w:shd w:val="clear" w:color="auto" w:fill="F2F2F2"/>
            <w:vAlign w:val="center"/>
          </w:tcPr>
          <w:p w14:paraId="66F54780" w14:textId="77777777" w:rsidR="00097466" w:rsidRDefault="00000000" w:rsidP="008875E6">
            <w:pPr>
              <w:spacing w:before="0" w:after="0" w:line="240" w:lineRule="auto"/>
              <w:jc w:val="center"/>
              <w:rPr>
                <w:b/>
                <w:bCs/>
                <w:color w:val="000000"/>
                <w:sz w:val="20"/>
                <w:szCs w:val="20"/>
              </w:rPr>
            </w:pPr>
            <w:r>
              <w:rPr>
                <w:b/>
                <w:bCs/>
                <w:color w:val="000000"/>
                <w:sz w:val="20"/>
                <w:szCs w:val="20"/>
              </w:rPr>
              <w:t>N (%)</w:t>
            </w:r>
          </w:p>
        </w:tc>
      </w:tr>
      <w:tr w:rsidR="00097466" w14:paraId="3A5337BA" w14:textId="77777777">
        <w:trPr>
          <w:trHeight w:val="397"/>
        </w:trPr>
        <w:tc>
          <w:tcPr>
            <w:tcW w:w="4242" w:type="dxa"/>
            <w:tcBorders>
              <w:top w:val="nil"/>
              <w:left w:val="single" w:sz="8" w:space="0" w:color="DDDDDD"/>
              <w:bottom w:val="single" w:sz="8" w:space="0" w:color="DDDDDD"/>
              <w:right w:val="single" w:sz="8" w:space="0" w:color="DDDDDD"/>
            </w:tcBorders>
            <w:shd w:val="clear" w:color="auto" w:fill="auto"/>
            <w:vAlign w:val="center"/>
          </w:tcPr>
          <w:p w14:paraId="1DE66B85" w14:textId="77777777" w:rsidR="00097466" w:rsidRDefault="00000000">
            <w:pPr>
              <w:spacing w:before="0" w:after="0" w:line="240" w:lineRule="auto"/>
              <w:jc w:val="left"/>
              <w:rPr>
                <w:color w:val="000000"/>
                <w:sz w:val="20"/>
                <w:szCs w:val="20"/>
              </w:rPr>
            </w:pPr>
            <w:r>
              <w:rPr>
                <w:color w:val="000000"/>
                <w:sz w:val="20"/>
                <w:szCs w:val="20"/>
              </w:rPr>
              <w:t>No cumple criterios DORIS</w:t>
            </w:r>
          </w:p>
        </w:tc>
        <w:tc>
          <w:tcPr>
            <w:tcW w:w="4243" w:type="dxa"/>
            <w:tcBorders>
              <w:top w:val="nil"/>
              <w:left w:val="nil"/>
              <w:bottom w:val="single" w:sz="8" w:space="0" w:color="DDDDDD"/>
              <w:right w:val="single" w:sz="8" w:space="0" w:color="DDDDDD"/>
            </w:tcBorders>
            <w:shd w:val="clear" w:color="auto" w:fill="auto"/>
            <w:vAlign w:val="center"/>
          </w:tcPr>
          <w:p w14:paraId="2BB78417" w14:textId="77777777" w:rsidR="00097466" w:rsidRDefault="00000000" w:rsidP="008875E6">
            <w:pPr>
              <w:spacing w:before="0" w:after="0" w:line="240" w:lineRule="auto"/>
              <w:jc w:val="center"/>
              <w:rPr>
                <w:color w:val="000000"/>
                <w:sz w:val="20"/>
                <w:szCs w:val="20"/>
              </w:rPr>
            </w:pPr>
            <w:r>
              <w:rPr>
                <w:color w:val="000000"/>
                <w:sz w:val="20"/>
                <w:szCs w:val="20"/>
              </w:rPr>
              <w:t>120 (47,6%)</w:t>
            </w:r>
          </w:p>
        </w:tc>
      </w:tr>
      <w:tr w:rsidR="00097466" w14:paraId="507B25AA" w14:textId="77777777">
        <w:trPr>
          <w:trHeight w:val="397"/>
        </w:trPr>
        <w:tc>
          <w:tcPr>
            <w:tcW w:w="4242" w:type="dxa"/>
            <w:tcBorders>
              <w:top w:val="nil"/>
              <w:left w:val="single" w:sz="8" w:space="0" w:color="DDDDDD"/>
              <w:bottom w:val="single" w:sz="8" w:space="0" w:color="DDDDDD"/>
              <w:right w:val="single" w:sz="8" w:space="0" w:color="DDDDDD"/>
            </w:tcBorders>
            <w:shd w:val="clear" w:color="auto" w:fill="auto"/>
            <w:vAlign w:val="center"/>
          </w:tcPr>
          <w:p w14:paraId="258DBE74" w14:textId="77777777" w:rsidR="00097466" w:rsidRDefault="00000000">
            <w:pPr>
              <w:spacing w:before="0" w:after="0" w:line="240" w:lineRule="auto"/>
              <w:jc w:val="left"/>
              <w:rPr>
                <w:color w:val="000000"/>
                <w:sz w:val="20"/>
                <w:szCs w:val="20"/>
              </w:rPr>
            </w:pPr>
            <w:r>
              <w:rPr>
                <w:color w:val="000000"/>
                <w:sz w:val="20"/>
                <w:szCs w:val="20"/>
              </w:rPr>
              <w:t>Cumple criterios DORIS (remisión)</w:t>
            </w:r>
          </w:p>
        </w:tc>
        <w:tc>
          <w:tcPr>
            <w:tcW w:w="4243" w:type="dxa"/>
            <w:tcBorders>
              <w:top w:val="nil"/>
              <w:left w:val="nil"/>
              <w:bottom w:val="single" w:sz="8" w:space="0" w:color="DDDDDD"/>
              <w:right w:val="single" w:sz="8" w:space="0" w:color="DDDDDD"/>
            </w:tcBorders>
            <w:shd w:val="clear" w:color="auto" w:fill="auto"/>
            <w:vAlign w:val="center"/>
          </w:tcPr>
          <w:p w14:paraId="49D0207D" w14:textId="77777777" w:rsidR="00097466" w:rsidRDefault="00000000" w:rsidP="008875E6">
            <w:pPr>
              <w:spacing w:before="0" w:after="0" w:line="240" w:lineRule="auto"/>
              <w:jc w:val="center"/>
              <w:rPr>
                <w:color w:val="000000"/>
                <w:sz w:val="20"/>
                <w:szCs w:val="20"/>
              </w:rPr>
            </w:pPr>
            <w:r>
              <w:rPr>
                <w:color w:val="000000"/>
                <w:sz w:val="20"/>
                <w:szCs w:val="20"/>
              </w:rPr>
              <w:t>132 (52,4%)</w:t>
            </w:r>
          </w:p>
        </w:tc>
      </w:tr>
      <w:tr w:rsidR="00097466" w14:paraId="5FEE1BAC" w14:textId="77777777">
        <w:trPr>
          <w:trHeight w:val="397"/>
        </w:trPr>
        <w:tc>
          <w:tcPr>
            <w:tcW w:w="4242" w:type="dxa"/>
            <w:tcBorders>
              <w:top w:val="nil"/>
              <w:left w:val="single" w:sz="8" w:space="0" w:color="DDDDDD"/>
              <w:bottom w:val="single" w:sz="8" w:space="0" w:color="DDDDDD"/>
              <w:right w:val="single" w:sz="8" w:space="0" w:color="DDDDDD"/>
            </w:tcBorders>
            <w:shd w:val="clear" w:color="auto" w:fill="auto"/>
            <w:vAlign w:val="center"/>
          </w:tcPr>
          <w:p w14:paraId="1F60C4D3" w14:textId="77777777" w:rsidR="00097466" w:rsidRDefault="00000000">
            <w:pPr>
              <w:spacing w:before="0" w:after="0" w:line="240" w:lineRule="auto"/>
              <w:jc w:val="left"/>
              <w:rPr>
                <w:b/>
                <w:bCs/>
                <w:color w:val="000000"/>
                <w:sz w:val="20"/>
                <w:szCs w:val="20"/>
              </w:rPr>
            </w:pPr>
            <w:r>
              <w:rPr>
                <w:b/>
                <w:bCs/>
                <w:color w:val="000000"/>
                <w:sz w:val="20"/>
                <w:szCs w:val="20"/>
              </w:rPr>
              <w:t>Total</w:t>
            </w:r>
          </w:p>
        </w:tc>
        <w:tc>
          <w:tcPr>
            <w:tcW w:w="4243" w:type="dxa"/>
            <w:tcBorders>
              <w:top w:val="nil"/>
              <w:left w:val="nil"/>
              <w:bottom w:val="single" w:sz="8" w:space="0" w:color="DDDDDD"/>
              <w:right w:val="single" w:sz="8" w:space="0" w:color="DDDDDD"/>
            </w:tcBorders>
            <w:shd w:val="clear" w:color="auto" w:fill="auto"/>
            <w:vAlign w:val="center"/>
          </w:tcPr>
          <w:p w14:paraId="5E6B92DD" w14:textId="77777777" w:rsidR="00097466" w:rsidRDefault="00000000" w:rsidP="008875E6">
            <w:pPr>
              <w:keepNext/>
              <w:spacing w:before="0" w:after="0" w:line="240" w:lineRule="auto"/>
              <w:jc w:val="center"/>
              <w:rPr>
                <w:b/>
                <w:bCs/>
                <w:color w:val="000000"/>
                <w:sz w:val="20"/>
                <w:szCs w:val="20"/>
              </w:rPr>
            </w:pPr>
            <w:r>
              <w:rPr>
                <w:b/>
                <w:bCs/>
                <w:color w:val="000000"/>
                <w:sz w:val="20"/>
                <w:szCs w:val="20"/>
              </w:rPr>
              <w:t>252 (100%)</w:t>
            </w:r>
          </w:p>
        </w:tc>
      </w:tr>
    </w:tbl>
    <w:p w14:paraId="2E51489E" w14:textId="3A1DA3F4" w:rsidR="008D23B6" w:rsidRDefault="008D23B6" w:rsidP="00C67F76">
      <w:pPr>
        <w:pStyle w:val="Descripcin"/>
      </w:pPr>
      <w:bookmarkStart w:id="122" w:name="_Toc230792249"/>
      <w:r>
        <w:t xml:space="preserve">Tabla </w:t>
      </w:r>
      <w:fldSimple w:instr=" SEQ Tabla \* ARABIC ">
        <w:r w:rsidR="00716AEA">
          <w:rPr>
            <w:noProof/>
          </w:rPr>
          <w:t>12</w:t>
        </w:r>
      </w:fldSimple>
      <w:r>
        <w:t xml:space="preserve">. </w:t>
      </w:r>
      <w:r w:rsidRPr="00DD07C1">
        <w:t>Cumplimiento de criterios de remisión clínica (DORIS) en pacientes LES.</w:t>
      </w:r>
      <w:bookmarkEnd w:id="122"/>
    </w:p>
    <w:p w14:paraId="78F0E4B6" w14:textId="77777777" w:rsidR="00097466" w:rsidRDefault="00000000">
      <w:pPr>
        <w:pStyle w:val="Ttulo3"/>
        <w:numPr>
          <w:ilvl w:val="2"/>
          <w:numId w:val="17"/>
        </w:numPr>
      </w:pPr>
      <w:r>
        <w:t>Variables séricas e inflamatorias (pacientes LES)</w:t>
      </w:r>
    </w:p>
    <w:p w14:paraId="4C831B5E" w14:textId="03888CF4" w:rsidR="00097466" w:rsidRDefault="00000000">
      <w:r>
        <w:t xml:space="preserve">Las variables bioquímicas e inflamatorias mostraron un perfil global compatible con enfermedad en fase predominantemente estable, en coherencia con la elevada proporción de pacientes en remisión o baja actividad observada en la cohorte (SLEDAI-2K = 0: 43,3%; SLE-DAS </w:t>
      </w:r>
      <w:r>
        <w:rPr>
          <w:color w:val="000000"/>
          <w:sz w:val="21"/>
          <w:szCs w:val="21"/>
        </w:rPr>
        <w:t>≤ 2,08: 78,2%</w:t>
      </w:r>
      <w:r>
        <w:t>; LLDAS: 84,9%). La PCR presentó una mediana de 1,88 mg/L [IQR: 0,76–4,24], concordante con la ausencia de actividad clínica agud</w:t>
      </w:r>
      <w:r w:rsidR="007B48DC">
        <w:t>a</w:t>
      </w:r>
      <w:r>
        <w:t>. Los niveles del complemento mostraron medianas de C3: 128,8 mg/</w:t>
      </w:r>
      <w:proofErr w:type="spellStart"/>
      <w:r>
        <w:t>dL</w:t>
      </w:r>
      <w:proofErr w:type="spellEnd"/>
      <w:r>
        <w:t xml:space="preserve"> [IQR: 106,5–154,95] y C4: 18,9 mg/</w:t>
      </w:r>
      <w:proofErr w:type="spellStart"/>
      <w:r>
        <w:t>dL</w:t>
      </w:r>
      <w:proofErr w:type="spellEnd"/>
      <w:r>
        <w:t xml:space="preserve"> [IQR: 12,95–25,6]</w:t>
      </w:r>
      <w:r w:rsidR="007B48DC">
        <w:t xml:space="preserve"> </w:t>
      </w:r>
      <w:r>
        <w:t>lo que evidencia consumo de complemento residual en un subgrupo de pacientes con actividad subclínica mantenida</w:t>
      </w:r>
      <w:r w:rsidR="007876F2">
        <w:t xml:space="preserve"> (Tabla 13)</w:t>
      </w:r>
      <w:r>
        <w:t>.</w:t>
      </w:r>
    </w:p>
    <w:tbl>
      <w:tblPr>
        <w:tblStyle w:val="ad"/>
        <w:tblW w:w="8485" w:type="dxa"/>
        <w:tblInd w:w="0" w:type="dxa"/>
        <w:tblLayout w:type="fixed"/>
        <w:tblLook w:val="0400" w:firstRow="0" w:lastRow="0" w:firstColumn="0" w:lastColumn="0" w:noHBand="0" w:noVBand="1"/>
      </w:tblPr>
      <w:tblGrid>
        <w:gridCol w:w="3906"/>
        <w:gridCol w:w="1441"/>
        <w:gridCol w:w="3138"/>
      </w:tblGrid>
      <w:tr w:rsidR="00097466" w14:paraId="5A4BE116" w14:textId="77777777">
        <w:trPr>
          <w:trHeight w:val="397"/>
        </w:trPr>
        <w:tc>
          <w:tcPr>
            <w:tcW w:w="3906"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5CBDCBB9" w14:textId="77777777" w:rsidR="00097466" w:rsidRDefault="00000000">
            <w:pPr>
              <w:spacing w:before="0" w:after="0" w:line="240" w:lineRule="auto"/>
              <w:jc w:val="left"/>
              <w:rPr>
                <w:b/>
                <w:bCs/>
                <w:color w:val="000000"/>
                <w:sz w:val="20"/>
                <w:szCs w:val="20"/>
              </w:rPr>
            </w:pPr>
            <w:r>
              <w:rPr>
                <w:b/>
                <w:bCs/>
                <w:color w:val="000000"/>
                <w:sz w:val="20"/>
                <w:szCs w:val="20"/>
              </w:rPr>
              <w:t>Variable</w:t>
            </w:r>
          </w:p>
        </w:tc>
        <w:tc>
          <w:tcPr>
            <w:tcW w:w="1441" w:type="dxa"/>
            <w:tcBorders>
              <w:top w:val="single" w:sz="8" w:space="0" w:color="DDDDDD"/>
              <w:left w:val="nil"/>
              <w:bottom w:val="single" w:sz="8" w:space="0" w:color="DDDDDD"/>
              <w:right w:val="single" w:sz="8" w:space="0" w:color="DDDDDD"/>
            </w:tcBorders>
            <w:shd w:val="clear" w:color="auto" w:fill="F2F2F2"/>
            <w:vAlign w:val="center"/>
          </w:tcPr>
          <w:p w14:paraId="783D6B98" w14:textId="77777777" w:rsidR="00097466" w:rsidRDefault="00000000">
            <w:pPr>
              <w:spacing w:before="0" w:after="0" w:line="240" w:lineRule="auto"/>
              <w:jc w:val="center"/>
              <w:rPr>
                <w:b/>
                <w:bCs/>
                <w:color w:val="000000"/>
                <w:sz w:val="20"/>
                <w:szCs w:val="20"/>
              </w:rPr>
            </w:pPr>
            <w:r>
              <w:rPr>
                <w:b/>
                <w:bCs/>
                <w:color w:val="000000"/>
                <w:sz w:val="20"/>
                <w:szCs w:val="20"/>
              </w:rPr>
              <w:t>N válido</w:t>
            </w:r>
          </w:p>
        </w:tc>
        <w:tc>
          <w:tcPr>
            <w:tcW w:w="3138" w:type="dxa"/>
            <w:tcBorders>
              <w:top w:val="single" w:sz="8" w:space="0" w:color="DDDDDD"/>
              <w:left w:val="nil"/>
              <w:bottom w:val="single" w:sz="8" w:space="0" w:color="DDDDDD"/>
              <w:right w:val="single" w:sz="8" w:space="0" w:color="DDDDDD"/>
            </w:tcBorders>
            <w:shd w:val="clear" w:color="auto" w:fill="F2F2F2"/>
            <w:vAlign w:val="center"/>
          </w:tcPr>
          <w:p w14:paraId="67559BEE" w14:textId="77777777" w:rsidR="00097466" w:rsidRDefault="00000000">
            <w:pPr>
              <w:spacing w:before="0" w:after="0" w:line="240" w:lineRule="auto"/>
              <w:jc w:val="center"/>
              <w:rPr>
                <w:b/>
                <w:bCs/>
                <w:color w:val="000000"/>
                <w:sz w:val="20"/>
                <w:szCs w:val="20"/>
              </w:rPr>
            </w:pPr>
            <w:r>
              <w:rPr>
                <w:b/>
                <w:bCs/>
                <w:color w:val="000000"/>
                <w:sz w:val="20"/>
                <w:szCs w:val="20"/>
              </w:rPr>
              <w:t>Resultado</w:t>
            </w:r>
          </w:p>
        </w:tc>
      </w:tr>
      <w:tr w:rsidR="00097466" w14:paraId="65FA9774" w14:textId="77777777">
        <w:trPr>
          <w:trHeight w:val="397"/>
        </w:trPr>
        <w:tc>
          <w:tcPr>
            <w:tcW w:w="3906" w:type="dxa"/>
            <w:tcBorders>
              <w:top w:val="nil"/>
              <w:left w:val="single" w:sz="8" w:space="0" w:color="DDDDDD"/>
              <w:bottom w:val="single" w:sz="8" w:space="0" w:color="DDDDDD"/>
              <w:right w:val="single" w:sz="8" w:space="0" w:color="DDDDDD"/>
            </w:tcBorders>
            <w:shd w:val="clear" w:color="auto" w:fill="auto"/>
            <w:vAlign w:val="center"/>
          </w:tcPr>
          <w:p w14:paraId="2C06EADA" w14:textId="77777777" w:rsidR="00097466" w:rsidRDefault="00000000">
            <w:pPr>
              <w:spacing w:before="0" w:after="0" w:line="240" w:lineRule="auto"/>
              <w:jc w:val="left"/>
              <w:rPr>
                <w:b/>
                <w:bCs/>
                <w:color w:val="000000"/>
                <w:sz w:val="20"/>
                <w:szCs w:val="20"/>
              </w:rPr>
            </w:pPr>
            <w:r>
              <w:rPr>
                <w:b/>
                <w:bCs/>
                <w:color w:val="000000"/>
                <w:sz w:val="20"/>
                <w:szCs w:val="20"/>
              </w:rPr>
              <w:t>PCR (mg/L)</w:t>
            </w:r>
          </w:p>
        </w:tc>
        <w:tc>
          <w:tcPr>
            <w:tcW w:w="1441" w:type="dxa"/>
            <w:tcBorders>
              <w:top w:val="nil"/>
              <w:left w:val="nil"/>
              <w:bottom w:val="single" w:sz="8" w:space="0" w:color="DDDDDD"/>
              <w:right w:val="single" w:sz="8" w:space="0" w:color="DDDDDD"/>
            </w:tcBorders>
            <w:shd w:val="clear" w:color="auto" w:fill="auto"/>
            <w:vAlign w:val="center"/>
          </w:tcPr>
          <w:p w14:paraId="206C6937" w14:textId="77777777" w:rsidR="00097466" w:rsidRDefault="00000000">
            <w:pPr>
              <w:spacing w:before="0" w:after="0" w:line="240" w:lineRule="auto"/>
              <w:jc w:val="center"/>
              <w:rPr>
                <w:color w:val="000000"/>
                <w:sz w:val="20"/>
                <w:szCs w:val="20"/>
              </w:rPr>
            </w:pPr>
            <w:r>
              <w:rPr>
                <w:color w:val="000000"/>
                <w:sz w:val="20"/>
                <w:szCs w:val="20"/>
              </w:rPr>
              <w:t>246</w:t>
            </w:r>
          </w:p>
        </w:tc>
        <w:tc>
          <w:tcPr>
            <w:tcW w:w="3138" w:type="dxa"/>
            <w:tcBorders>
              <w:top w:val="nil"/>
              <w:left w:val="nil"/>
              <w:bottom w:val="single" w:sz="8" w:space="0" w:color="DDDDDD"/>
              <w:right w:val="single" w:sz="8" w:space="0" w:color="DDDDDD"/>
            </w:tcBorders>
            <w:shd w:val="clear" w:color="auto" w:fill="auto"/>
            <w:vAlign w:val="center"/>
          </w:tcPr>
          <w:p w14:paraId="7A0D2969" w14:textId="77777777" w:rsidR="00097466" w:rsidRDefault="00000000">
            <w:pPr>
              <w:spacing w:before="0" w:after="0" w:line="240" w:lineRule="auto"/>
              <w:jc w:val="center"/>
              <w:rPr>
                <w:color w:val="000000"/>
                <w:sz w:val="20"/>
                <w:szCs w:val="20"/>
              </w:rPr>
            </w:pPr>
            <w:r>
              <w:rPr>
                <w:color w:val="000000"/>
                <w:sz w:val="20"/>
                <w:szCs w:val="20"/>
              </w:rPr>
              <w:t>1,88 [0,76–4,24]</w:t>
            </w:r>
          </w:p>
        </w:tc>
      </w:tr>
      <w:tr w:rsidR="00097466" w14:paraId="00DA1ADC" w14:textId="77777777">
        <w:trPr>
          <w:trHeight w:val="397"/>
        </w:trPr>
        <w:tc>
          <w:tcPr>
            <w:tcW w:w="3906" w:type="dxa"/>
            <w:tcBorders>
              <w:top w:val="nil"/>
              <w:left w:val="single" w:sz="8" w:space="0" w:color="DDDDDD"/>
              <w:bottom w:val="single" w:sz="8" w:space="0" w:color="DDDDDD"/>
              <w:right w:val="single" w:sz="8" w:space="0" w:color="DDDDDD"/>
            </w:tcBorders>
            <w:shd w:val="clear" w:color="auto" w:fill="auto"/>
            <w:vAlign w:val="center"/>
          </w:tcPr>
          <w:p w14:paraId="59913626" w14:textId="77777777" w:rsidR="00097466" w:rsidRDefault="00000000">
            <w:pPr>
              <w:spacing w:before="0" w:after="0" w:line="240" w:lineRule="auto"/>
              <w:jc w:val="left"/>
              <w:rPr>
                <w:b/>
                <w:bCs/>
                <w:color w:val="000000"/>
                <w:sz w:val="20"/>
                <w:szCs w:val="20"/>
              </w:rPr>
            </w:pPr>
            <w:r>
              <w:rPr>
                <w:b/>
                <w:bCs/>
                <w:color w:val="000000"/>
                <w:sz w:val="20"/>
                <w:szCs w:val="20"/>
              </w:rPr>
              <w:t>Creatinina (mg/</w:t>
            </w:r>
            <w:proofErr w:type="spellStart"/>
            <w:r>
              <w:rPr>
                <w:b/>
                <w:bCs/>
                <w:color w:val="000000"/>
                <w:sz w:val="20"/>
                <w:szCs w:val="20"/>
              </w:rPr>
              <w:t>dL</w:t>
            </w:r>
            <w:proofErr w:type="spellEnd"/>
            <w:r>
              <w:rPr>
                <w:b/>
                <w:bCs/>
                <w:color w:val="000000"/>
                <w:sz w:val="20"/>
                <w:szCs w:val="20"/>
              </w:rPr>
              <w:t>)</w:t>
            </w:r>
          </w:p>
        </w:tc>
        <w:tc>
          <w:tcPr>
            <w:tcW w:w="1441" w:type="dxa"/>
            <w:tcBorders>
              <w:top w:val="nil"/>
              <w:left w:val="nil"/>
              <w:bottom w:val="single" w:sz="8" w:space="0" w:color="DDDDDD"/>
              <w:right w:val="single" w:sz="8" w:space="0" w:color="DDDDDD"/>
            </w:tcBorders>
            <w:shd w:val="clear" w:color="auto" w:fill="auto"/>
            <w:vAlign w:val="center"/>
          </w:tcPr>
          <w:p w14:paraId="32D7370F" w14:textId="77777777" w:rsidR="00097466" w:rsidRDefault="00000000">
            <w:pPr>
              <w:spacing w:before="0" w:after="0" w:line="240" w:lineRule="auto"/>
              <w:jc w:val="center"/>
              <w:rPr>
                <w:color w:val="000000"/>
                <w:sz w:val="20"/>
                <w:szCs w:val="20"/>
              </w:rPr>
            </w:pPr>
            <w:r>
              <w:rPr>
                <w:color w:val="000000"/>
                <w:sz w:val="20"/>
                <w:szCs w:val="20"/>
              </w:rPr>
              <w:t>247</w:t>
            </w:r>
          </w:p>
        </w:tc>
        <w:tc>
          <w:tcPr>
            <w:tcW w:w="3138" w:type="dxa"/>
            <w:tcBorders>
              <w:top w:val="nil"/>
              <w:left w:val="nil"/>
              <w:bottom w:val="single" w:sz="8" w:space="0" w:color="DDDDDD"/>
              <w:right w:val="single" w:sz="8" w:space="0" w:color="DDDDDD"/>
            </w:tcBorders>
            <w:shd w:val="clear" w:color="auto" w:fill="auto"/>
            <w:vAlign w:val="center"/>
          </w:tcPr>
          <w:p w14:paraId="0567F978" w14:textId="77777777" w:rsidR="00097466" w:rsidRDefault="00000000">
            <w:pPr>
              <w:spacing w:before="0" w:after="0" w:line="240" w:lineRule="auto"/>
              <w:jc w:val="center"/>
              <w:rPr>
                <w:color w:val="000000"/>
                <w:sz w:val="20"/>
                <w:szCs w:val="20"/>
              </w:rPr>
            </w:pPr>
            <w:r>
              <w:rPr>
                <w:color w:val="000000"/>
                <w:sz w:val="20"/>
                <w:szCs w:val="20"/>
              </w:rPr>
              <w:t>0,73 [0,63–0,89]</w:t>
            </w:r>
          </w:p>
        </w:tc>
      </w:tr>
      <w:tr w:rsidR="00097466" w14:paraId="249F5139" w14:textId="77777777">
        <w:trPr>
          <w:trHeight w:val="397"/>
        </w:trPr>
        <w:tc>
          <w:tcPr>
            <w:tcW w:w="3906" w:type="dxa"/>
            <w:tcBorders>
              <w:top w:val="nil"/>
              <w:left w:val="single" w:sz="8" w:space="0" w:color="DDDDDD"/>
              <w:bottom w:val="single" w:sz="8" w:space="0" w:color="DDDDDD"/>
              <w:right w:val="single" w:sz="8" w:space="0" w:color="DDDDDD"/>
            </w:tcBorders>
            <w:shd w:val="clear" w:color="auto" w:fill="auto"/>
            <w:vAlign w:val="center"/>
          </w:tcPr>
          <w:p w14:paraId="4A45081E" w14:textId="77777777" w:rsidR="00097466" w:rsidRDefault="00000000">
            <w:pPr>
              <w:spacing w:before="0" w:after="0" w:line="240" w:lineRule="auto"/>
              <w:jc w:val="left"/>
              <w:rPr>
                <w:b/>
                <w:bCs/>
                <w:color w:val="000000"/>
                <w:sz w:val="20"/>
                <w:szCs w:val="20"/>
              </w:rPr>
            </w:pPr>
            <w:r>
              <w:rPr>
                <w:b/>
                <w:bCs/>
                <w:color w:val="000000"/>
                <w:sz w:val="20"/>
                <w:szCs w:val="20"/>
              </w:rPr>
              <w:t>Colesterol total (mg/</w:t>
            </w:r>
            <w:proofErr w:type="spellStart"/>
            <w:r>
              <w:rPr>
                <w:b/>
                <w:bCs/>
                <w:color w:val="000000"/>
                <w:sz w:val="20"/>
                <w:szCs w:val="20"/>
              </w:rPr>
              <w:t>dL</w:t>
            </w:r>
            <w:proofErr w:type="spellEnd"/>
            <w:r>
              <w:rPr>
                <w:b/>
                <w:bCs/>
                <w:color w:val="000000"/>
                <w:sz w:val="20"/>
                <w:szCs w:val="20"/>
              </w:rPr>
              <w:t>)</w:t>
            </w:r>
          </w:p>
        </w:tc>
        <w:tc>
          <w:tcPr>
            <w:tcW w:w="1441" w:type="dxa"/>
            <w:tcBorders>
              <w:top w:val="nil"/>
              <w:left w:val="nil"/>
              <w:bottom w:val="single" w:sz="8" w:space="0" w:color="DDDDDD"/>
              <w:right w:val="single" w:sz="8" w:space="0" w:color="DDDDDD"/>
            </w:tcBorders>
            <w:shd w:val="clear" w:color="auto" w:fill="auto"/>
            <w:vAlign w:val="center"/>
          </w:tcPr>
          <w:p w14:paraId="55554875" w14:textId="77777777" w:rsidR="00097466" w:rsidRDefault="00000000">
            <w:pPr>
              <w:spacing w:before="0" w:after="0" w:line="240" w:lineRule="auto"/>
              <w:jc w:val="center"/>
              <w:rPr>
                <w:color w:val="000000"/>
                <w:sz w:val="20"/>
                <w:szCs w:val="20"/>
              </w:rPr>
            </w:pPr>
            <w:r>
              <w:rPr>
                <w:color w:val="000000"/>
                <w:sz w:val="20"/>
                <w:szCs w:val="20"/>
              </w:rPr>
              <w:t>247</w:t>
            </w:r>
          </w:p>
        </w:tc>
        <w:tc>
          <w:tcPr>
            <w:tcW w:w="3138" w:type="dxa"/>
            <w:tcBorders>
              <w:top w:val="nil"/>
              <w:left w:val="nil"/>
              <w:bottom w:val="single" w:sz="8" w:space="0" w:color="DDDDDD"/>
              <w:right w:val="single" w:sz="8" w:space="0" w:color="DDDDDD"/>
            </w:tcBorders>
            <w:shd w:val="clear" w:color="auto" w:fill="auto"/>
            <w:vAlign w:val="center"/>
          </w:tcPr>
          <w:p w14:paraId="43C9827A" w14:textId="77777777" w:rsidR="00097466" w:rsidRDefault="00000000">
            <w:pPr>
              <w:spacing w:before="0" w:after="0" w:line="240" w:lineRule="auto"/>
              <w:jc w:val="center"/>
              <w:rPr>
                <w:color w:val="000000"/>
                <w:sz w:val="20"/>
                <w:szCs w:val="20"/>
              </w:rPr>
            </w:pPr>
            <w:r>
              <w:rPr>
                <w:color w:val="000000"/>
                <w:sz w:val="20"/>
                <w:szCs w:val="20"/>
              </w:rPr>
              <w:t>178,74 ± 38,59</w:t>
            </w:r>
          </w:p>
        </w:tc>
      </w:tr>
      <w:tr w:rsidR="00097466" w14:paraId="4E68374C" w14:textId="77777777">
        <w:trPr>
          <w:trHeight w:val="397"/>
        </w:trPr>
        <w:tc>
          <w:tcPr>
            <w:tcW w:w="3906" w:type="dxa"/>
            <w:tcBorders>
              <w:top w:val="nil"/>
              <w:left w:val="single" w:sz="8" w:space="0" w:color="DDDDDD"/>
              <w:bottom w:val="single" w:sz="8" w:space="0" w:color="DDDDDD"/>
              <w:right w:val="single" w:sz="8" w:space="0" w:color="DDDDDD"/>
            </w:tcBorders>
            <w:shd w:val="clear" w:color="auto" w:fill="auto"/>
            <w:vAlign w:val="center"/>
          </w:tcPr>
          <w:p w14:paraId="0EFBB574" w14:textId="77777777" w:rsidR="00097466" w:rsidRDefault="00000000">
            <w:pPr>
              <w:spacing w:before="0" w:after="0" w:line="240" w:lineRule="auto"/>
              <w:jc w:val="left"/>
              <w:rPr>
                <w:b/>
                <w:bCs/>
                <w:color w:val="000000"/>
                <w:sz w:val="20"/>
                <w:szCs w:val="20"/>
              </w:rPr>
            </w:pPr>
            <w:r>
              <w:rPr>
                <w:b/>
                <w:bCs/>
                <w:color w:val="000000"/>
                <w:sz w:val="20"/>
                <w:szCs w:val="20"/>
              </w:rPr>
              <w:t>Triglicéridos (mg/</w:t>
            </w:r>
            <w:proofErr w:type="spellStart"/>
            <w:r>
              <w:rPr>
                <w:b/>
                <w:bCs/>
                <w:color w:val="000000"/>
                <w:sz w:val="20"/>
                <w:szCs w:val="20"/>
              </w:rPr>
              <w:t>dL</w:t>
            </w:r>
            <w:proofErr w:type="spellEnd"/>
            <w:r>
              <w:rPr>
                <w:b/>
                <w:bCs/>
                <w:color w:val="000000"/>
                <w:sz w:val="20"/>
                <w:szCs w:val="20"/>
              </w:rPr>
              <w:t>)</w:t>
            </w:r>
          </w:p>
        </w:tc>
        <w:tc>
          <w:tcPr>
            <w:tcW w:w="1441" w:type="dxa"/>
            <w:tcBorders>
              <w:top w:val="nil"/>
              <w:left w:val="nil"/>
              <w:bottom w:val="single" w:sz="8" w:space="0" w:color="DDDDDD"/>
              <w:right w:val="single" w:sz="8" w:space="0" w:color="DDDDDD"/>
            </w:tcBorders>
            <w:shd w:val="clear" w:color="auto" w:fill="auto"/>
            <w:vAlign w:val="center"/>
          </w:tcPr>
          <w:p w14:paraId="696CCA07" w14:textId="77777777" w:rsidR="00097466" w:rsidRDefault="00000000">
            <w:pPr>
              <w:spacing w:before="0" w:after="0" w:line="240" w:lineRule="auto"/>
              <w:jc w:val="center"/>
              <w:rPr>
                <w:color w:val="000000"/>
                <w:sz w:val="20"/>
                <w:szCs w:val="20"/>
              </w:rPr>
            </w:pPr>
            <w:r>
              <w:rPr>
                <w:color w:val="000000"/>
                <w:sz w:val="20"/>
                <w:szCs w:val="20"/>
              </w:rPr>
              <w:t>247</w:t>
            </w:r>
          </w:p>
        </w:tc>
        <w:tc>
          <w:tcPr>
            <w:tcW w:w="3138" w:type="dxa"/>
            <w:tcBorders>
              <w:top w:val="nil"/>
              <w:left w:val="nil"/>
              <w:bottom w:val="single" w:sz="8" w:space="0" w:color="DDDDDD"/>
              <w:right w:val="single" w:sz="8" w:space="0" w:color="DDDDDD"/>
            </w:tcBorders>
            <w:shd w:val="clear" w:color="auto" w:fill="auto"/>
            <w:vAlign w:val="center"/>
          </w:tcPr>
          <w:p w14:paraId="0D8F52CD" w14:textId="77777777" w:rsidR="00097466" w:rsidRDefault="00000000">
            <w:pPr>
              <w:spacing w:before="0" w:after="0" w:line="240" w:lineRule="auto"/>
              <w:jc w:val="center"/>
              <w:rPr>
                <w:color w:val="000000"/>
                <w:sz w:val="20"/>
                <w:szCs w:val="20"/>
              </w:rPr>
            </w:pPr>
            <w:r>
              <w:rPr>
                <w:color w:val="000000"/>
                <w:sz w:val="20"/>
                <w:szCs w:val="20"/>
              </w:rPr>
              <w:t>93,4 [72,85–125,05]</w:t>
            </w:r>
          </w:p>
        </w:tc>
      </w:tr>
      <w:tr w:rsidR="00097466" w14:paraId="084C43BB" w14:textId="77777777">
        <w:trPr>
          <w:trHeight w:val="397"/>
        </w:trPr>
        <w:tc>
          <w:tcPr>
            <w:tcW w:w="3906" w:type="dxa"/>
            <w:tcBorders>
              <w:top w:val="nil"/>
              <w:left w:val="single" w:sz="8" w:space="0" w:color="DDDDDD"/>
              <w:bottom w:val="single" w:sz="8" w:space="0" w:color="DDDDDD"/>
              <w:right w:val="single" w:sz="8" w:space="0" w:color="DDDDDD"/>
            </w:tcBorders>
            <w:shd w:val="clear" w:color="auto" w:fill="auto"/>
            <w:vAlign w:val="center"/>
          </w:tcPr>
          <w:p w14:paraId="0F1E3AA0" w14:textId="77777777" w:rsidR="00097466" w:rsidRDefault="00000000">
            <w:pPr>
              <w:spacing w:before="0" w:after="0" w:line="240" w:lineRule="auto"/>
              <w:jc w:val="left"/>
              <w:rPr>
                <w:b/>
                <w:bCs/>
                <w:color w:val="000000"/>
                <w:sz w:val="20"/>
                <w:szCs w:val="20"/>
              </w:rPr>
            </w:pPr>
            <w:r>
              <w:rPr>
                <w:b/>
                <w:bCs/>
                <w:color w:val="000000"/>
                <w:sz w:val="20"/>
                <w:szCs w:val="20"/>
              </w:rPr>
              <w:t>HDL (mg/</w:t>
            </w:r>
            <w:proofErr w:type="spellStart"/>
            <w:r>
              <w:rPr>
                <w:b/>
                <w:bCs/>
                <w:color w:val="000000"/>
                <w:sz w:val="20"/>
                <w:szCs w:val="20"/>
              </w:rPr>
              <w:t>dL</w:t>
            </w:r>
            <w:proofErr w:type="spellEnd"/>
            <w:r>
              <w:rPr>
                <w:b/>
                <w:bCs/>
                <w:color w:val="000000"/>
                <w:sz w:val="20"/>
                <w:szCs w:val="20"/>
              </w:rPr>
              <w:t>)</w:t>
            </w:r>
          </w:p>
        </w:tc>
        <w:tc>
          <w:tcPr>
            <w:tcW w:w="1441" w:type="dxa"/>
            <w:tcBorders>
              <w:top w:val="nil"/>
              <w:left w:val="nil"/>
              <w:bottom w:val="single" w:sz="8" w:space="0" w:color="DDDDDD"/>
              <w:right w:val="single" w:sz="8" w:space="0" w:color="DDDDDD"/>
            </w:tcBorders>
            <w:shd w:val="clear" w:color="auto" w:fill="auto"/>
            <w:vAlign w:val="center"/>
          </w:tcPr>
          <w:p w14:paraId="15BBC1B4" w14:textId="77777777" w:rsidR="00097466" w:rsidRDefault="00000000">
            <w:pPr>
              <w:spacing w:before="0" w:after="0" w:line="240" w:lineRule="auto"/>
              <w:jc w:val="center"/>
              <w:rPr>
                <w:color w:val="000000"/>
                <w:sz w:val="20"/>
                <w:szCs w:val="20"/>
              </w:rPr>
            </w:pPr>
            <w:r>
              <w:rPr>
                <w:color w:val="000000"/>
                <w:sz w:val="20"/>
                <w:szCs w:val="20"/>
              </w:rPr>
              <w:t>247</w:t>
            </w:r>
          </w:p>
        </w:tc>
        <w:tc>
          <w:tcPr>
            <w:tcW w:w="3138" w:type="dxa"/>
            <w:tcBorders>
              <w:top w:val="nil"/>
              <w:left w:val="nil"/>
              <w:bottom w:val="single" w:sz="8" w:space="0" w:color="DDDDDD"/>
              <w:right w:val="single" w:sz="8" w:space="0" w:color="DDDDDD"/>
            </w:tcBorders>
            <w:shd w:val="clear" w:color="auto" w:fill="auto"/>
            <w:vAlign w:val="center"/>
          </w:tcPr>
          <w:p w14:paraId="5F02C4FF" w14:textId="77777777" w:rsidR="00097466" w:rsidRDefault="00000000">
            <w:pPr>
              <w:spacing w:before="0" w:after="0" w:line="240" w:lineRule="auto"/>
              <w:jc w:val="center"/>
              <w:rPr>
                <w:color w:val="000000"/>
                <w:sz w:val="20"/>
                <w:szCs w:val="20"/>
              </w:rPr>
            </w:pPr>
            <w:r>
              <w:rPr>
                <w:color w:val="000000"/>
                <w:sz w:val="20"/>
                <w:szCs w:val="20"/>
              </w:rPr>
              <w:t>52,6 [44,8–62,95]</w:t>
            </w:r>
          </w:p>
        </w:tc>
      </w:tr>
      <w:tr w:rsidR="00097466" w14:paraId="101FC27C" w14:textId="77777777">
        <w:trPr>
          <w:trHeight w:val="397"/>
        </w:trPr>
        <w:tc>
          <w:tcPr>
            <w:tcW w:w="3906" w:type="dxa"/>
            <w:tcBorders>
              <w:top w:val="nil"/>
              <w:left w:val="single" w:sz="8" w:space="0" w:color="DDDDDD"/>
              <w:bottom w:val="single" w:sz="8" w:space="0" w:color="DDDDDD"/>
              <w:right w:val="single" w:sz="8" w:space="0" w:color="DDDDDD"/>
            </w:tcBorders>
            <w:shd w:val="clear" w:color="auto" w:fill="auto"/>
            <w:vAlign w:val="center"/>
          </w:tcPr>
          <w:p w14:paraId="70CF0F48" w14:textId="77777777" w:rsidR="00097466" w:rsidRDefault="00000000">
            <w:pPr>
              <w:spacing w:before="0" w:after="0" w:line="240" w:lineRule="auto"/>
              <w:jc w:val="left"/>
              <w:rPr>
                <w:b/>
                <w:bCs/>
                <w:color w:val="000000"/>
                <w:sz w:val="20"/>
                <w:szCs w:val="20"/>
              </w:rPr>
            </w:pPr>
            <w:r>
              <w:rPr>
                <w:b/>
                <w:bCs/>
                <w:color w:val="000000"/>
                <w:sz w:val="20"/>
                <w:szCs w:val="20"/>
              </w:rPr>
              <w:t>LDL (mg/</w:t>
            </w:r>
            <w:proofErr w:type="spellStart"/>
            <w:r>
              <w:rPr>
                <w:b/>
                <w:bCs/>
                <w:color w:val="000000"/>
                <w:sz w:val="20"/>
                <w:szCs w:val="20"/>
              </w:rPr>
              <w:t>dL</w:t>
            </w:r>
            <w:proofErr w:type="spellEnd"/>
            <w:r>
              <w:rPr>
                <w:b/>
                <w:bCs/>
                <w:color w:val="000000"/>
                <w:sz w:val="20"/>
                <w:szCs w:val="20"/>
              </w:rPr>
              <w:t>)</w:t>
            </w:r>
          </w:p>
        </w:tc>
        <w:tc>
          <w:tcPr>
            <w:tcW w:w="1441" w:type="dxa"/>
            <w:tcBorders>
              <w:top w:val="nil"/>
              <w:left w:val="nil"/>
              <w:bottom w:val="single" w:sz="8" w:space="0" w:color="DDDDDD"/>
              <w:right w:val="single" w:sz="8" w:space="0" w:color="DDDDDD"/>
            </w:tcBorders>
            <w:shd w:val="clear" w:color="auto" w:fill="auto"/>
            <w:vAlign w:val="center"/>
          </w:tcPr>
          <w:p w14:paraId="528A3FC1" w14:textId="77777777" w:rsidR="00097466" w:rsidRDefault="00000000">
            <w:pPr>
              <w:spacing w:before="0" w:after="0" w:line="240" w:lineRule="auto"/>
              <w:jc w:val="center"/>
              <w:rPr>
                <w:color w:val="000000"/>
                <w:sz w:val="20"/>
                <w:szCs w:val="20"/>
              </w:rPr>
            </w:pPr>
            <w:r>
              <w:rPr>
                <w:color w:val="000000"/>
                <w:sz w:val="20"/>
                <w:szCs w:val="20"/>
              </w:rPr>
              <w:t>247</w:t>
            </w:r>
          </w:p>
        </w:tc>
        <w:tc>
          <w:tcPr>
            <w:tcW w:w="3138" w:type="dxa"/>
            <w:tcBorders>
              <w:top w:val="nil"/>
              <w:left w:val="nil"/>
              <w:bottom w:val="single" w:sz="8" w:space="0" w:color="DDDDDD"/>
              <w:right w:val="single" w:sz="8" w:space="0" w:color="DDDDDD"/>
            </w:tcBorders>
            <w:shd w:val="clear" w:color="auto" w:fill="auto"/>
            <w:vAlign w:val="center"/>
          </w:tcPr>
          <w:p w14:paraId="1CBCC008" w14:textId="77777777" w:rsidR="00097466" w:rsidRDefault="00000000">
            <w:pPr>
              <w:spacing w:before="0" w:after="0" w:line="240" w:lineRule="auto"/>
              <w:jc w:val="center"/>
              <w:rPr>
                <w:color w:val="000000"/>
                <w:sz w:val="20"/>
                <w:szCs w:val="20"/>
              </w:rPr>
            </w:pPr>
            <w:r>
              <w:rPr>
                <w:color w:val="000000"/>
                <w:sz w:val="20"/>
                <w:szCs w:val="20"/>
              </w:rPr>
              <w:t>98,9 [80,61–122,55]</w:t>
            </w:r>
          </w:p>
        </w:tc>
      </w:tr>
      <w:tr w:rsidR="00097466" w14:paraId="68F80E27" w14:textId="77777777">
        <w:trPr>
          <w:trHeight w:val="397"/>
        </w:trPr>
        <w:tc>
          <w:tcPr>
            <w:tcW w:w="3906" w:type="dxa"/>
            <w:tcBorders>
              <w:top w:val="nil"/>
              <w:left w:val="single" w:sz="8" w:space="0" w:color="DDDDDD"/>
              <w:bottom w:val="single" w:sz="8" w:space="0" w:color="DDDDDD"/>
              <w:right w:val="single" w:sz="8" w:space="0" w:color="DDDDDD"/>
            </w:tcBorders>
            <w:shd w:val="clear" w:color="auto" w:fill="auto"/>
            <w:vAlign w:val="center"/>
          </w:tcPr>
          <w:p w14:paraId="2D74BEC7" w14:textId="77777777" w:rsidR="00097466" w:rsidRDefault="00000000">
            <w:pPr>
              <w:spacing w:before="0" w:after="0" w:line="240" w:lineRule="auto"/>
              <w:jc w:val="left"/>
              <w:rPr>
                <w:b/>
                <w:bCs/>
                <w:color w:val="000000"/>
                <w:sz w:val="20"/>
                <w:szCs w:val="20"/>
              </w:rPr>
            </w:pPr>
            <w:r>
              <w:rPr>
                <w:b/>
                <w:bCs/>
                <w:color w:val="000000"/>
                <w:sz w:val="20"/>
                <w:szCs w:val="20"/>
              </w:rPr>
              <w:t>Apolipoproteína A1</w:t>
            </w:r>
          </w:p>
        </w:tc>
        <w:tc>
          <w:tcPr>
            <w:tcW w:w="1441" w:type="dxa"/>
            <w:tcBorders>
              <w:top w:val="nil"/>
              <w:left w:val="nil"/>
              <w:bottom w:val="single" w:sz="8" w:space="0" w:color="DDDDDD"/>
              <w:right w:val="single" w:sz="8" w:space="0" w:color="DDDDDD"/>
            </w:tcBorders>
            <w:shd w:val="clear" w:color="auto" w:fill="auto"/>
            <w:vAlign w:val="center"/>
          </w:tcPr>
          <w:p w14:paraId="72C7A6D1" w14:textId="77777777" w:rsidR="00097466" w:rsidRDefault="00000000">
            <w:pPr>
              <w:spacing w:before="0" w:after="0" w:line="240" w:lineRule="auto"/>
              <w:jc w:val="center"/>
              <w:rPr>
                <w:color w:val="000000"/>
                <w:sz w:val="20"/>
                <w:szCs w:val="20"/>
              </w:rPr>
            </w:pPr>
            <w:r>
              <w:rPr>
                <w:color w:val="000000"/>
                <w:sz w:val="20"/>
                <w:szCs w:val="20"/>
              </w:rPr>
              <w:t>246</w:t>
            </w:r>
          </w:p>
        </w:tc>
        <w:tc>
          <w:tcPr>
            <w:tcW w:w="3138" w:type="dxa"/>
            <w:tcBorders>
              <w:top w:val="nil"/>
              <w:left w:val="nil"/>
              <w:bottom w:val="single" w:sz="8" w:space="0" w:color="DDDDDD"/>
              <w:right w:val="single" w:sz="8" w:space="0" w:color="DDDDDD"/>
            </w:tcBorders>
            <w:shd w:val="clear" w:color="auto" w:fill="auto"/>
            <w:vAlign w:val="center"/>
          </w:tcPr>
          <w:p w14:paraId="7057878D" w14:textId="77777777" w:rsidR="00097466" w:rsidRDefault="00000000">
            <w:pPr>
              <w:spacing w:before="0" w:after="0" w:line="240" w:lineRule="auto"/>
              <w:jc w:val="center"/>
              <w:rPr>
                <w:color w:val="000000"/>
                <w:sz w:val="20"/>
                <w:szCs w:val="20"/>
              </w:rPr>
            </w:pPr>
            <w:r>
              <w:rPr>
                <w:color w:val="000000"/>
                <w:sz w:val="20"/>
                <w:szCs w:val="20"/>
              </w:rPr>
              <w:t>154 [136–168]</w:t>
            </w:r>
          </w:p>
        </w:tc>
      </w:tr>
      <w:tr w:rsidR="00097466" w14:paraId="3668DDD1" w14:textId="77777777">
        <w:trPr>
          <w:trHeight w:val="397"/>
        </w:trPr>
        <w:tc>
          <w:tcPr>
            <w:tcW w:w="3906" w:type="dxa"/>
            <w:tcBorders>
              <w:top w:val="nil"/>
              <w:left w:val="single" w:sz="8" w:space="0" w:color="DDDDDD"/>
              <w:bottom w:val="single" w:sz="8" w:space="0" w:color="DDDDDD"/>
              <w:right w:val="single" w:sz="8" w:space="0" w:color="DDDDDD"/>
            </w:tcBorders>
            <w:shd w:val="clear" w:color="auto" w:fill="auto"/>
            <w:vAlign w:val="center"/>
          </w:tcPr>
          <w:p w14:paraId="0F43D798" w14:textId="77777777" w:rsidR="00097466" w:rsidRDefault="00000000">
            <w:pPr>
              <w:spacing w:before="0" w:after="0" w:line="240" w:lineRule="auto"/>
              <w:jc w:val="left"/>
              <w:rPr>
                <w:b/>
                <w:bCs/>
                <w:color w:val="000000"/>
                <w:sz w:val="20"/>
                <w:szCs w:val="20"/>
              </w:rPr>
            </w:pPr>
            <w:r>
              <w:rPr>
                <w:b/>
                <w:bCs/>
                <w:color w:val="000000"/>
                <w:sz w:val="20"/>
                <w:szCs w:val="20"/>
              </w:rPr>
              <w:lastRenderedPageBreak/>
              <w:t>Apolipoproteína B</w:t>
            </w:r>
          </w:p>
        </w:tc>
        <w:tc>
          <w:tcPr>
            <w:tcW w:w="1441" w:type="dxa"/>
            <w:tcBorders>
              <w:top w:val="nil"/>
              <w:left w:val="nil"/>
              <w:bottom w:val="single" w:sz="8" w:space="0" w:color="DDDDDD"/>
              <w:right w:val="single" w:sz="8" w:space="0" w:color="DDDDDD"/>
            </w:tcBorders>
            <w:shd w:val="clear" w:color="auto" w:fill="auto"/>
            <w:vAlign w:val="center"/>
          </w:tcPr>
          <w:p w14:paraId="38B2AB80" w14:textId="77777777" w:rsidR="00097466" w:rsidRDefault="00000000">
            <w:pPr>
              <w:spacing w:before="0" w:after="0" w:line="240" w:lineRule="auto"/>
              <w:jc w:val="center"/>
              <w:rPr>
                <w:color w:val="000000"/>
                <w:sz w:val="20"/>
                <w:szCs w:val="20"/>
              </w:rPr>
            </w:pPr>
            <w:r>
              <w:rPr>
                <w:color w:val="000000"/>
                <w:sz w:val="20"/>
                <w:szCs w:val="20"/>
              </w:rPr>
              <w:t>246</w:t>
            </w:r>
          </w:p>
        </w:tc>
        <w:tc>
          <w:tcPr>
            <w:tcW w:w="3138" w:type="dxa"/>
            <w:tcBorders>
              <w:top w:val="nil"/>
              <w:left w:val="nil"/>
              <w:bottom w:val="single" w:sz="8" w:space="0" w:color="DDDDDD"/>
              <w:right w:val="single" w:sz="8" w:space="0" w:color="DDDDDD"/>
            </w:tcBorders>
            <w:shd w:val="clear" w:color="auto" w:fill="auto"/>
            <w:vAlign w:val="center"/>
          </w:tcPr>
          <w:p w14:paraId="396A19B4" w14:textId="77777777" w:rsidR="00097466" w:rsidRDefault="00000000">
            <w:pPr>
              <w:spacing w:before="0" w:after="0" w:line="240" w:lineRule="auto"/>
              <w:jc w:val="center"/>
              <w:rPr>
                <w:color w:val="000000"/>
                <w:sz w:val="20"/>
                <w:szCs w:val="20"/>
              </w:rPr>
            </w:pPr>
            <w:r>
              <w:rPr>
                <w:color w:val="000000"/>
                <w:sz w:val="20"/>
                <w:szCs w:val="20"/>
              </w:rPr>
              <w:t>83,4 [68,85–96,05]</w:t>
            </w:r>
          </w:p>
        </w:tc>
      </w:tr>
      <w:tr w:rsidR="00097466" w14:paraId="54FA7351" w14:textId="77777777">
        <w:trPr>
          <w:trHeight w:val="397"/>
        </w:trPr>
        <w:tc>
          <w:tcPr>
            <w:tcW w:w="3906" w:type="dxa"/>
            <w:tcBorders>
              <w:top w:val="nil"/>
              <w:left w:val="single" w:sz="8" w:space="0" w:color="DDDDDD"/>
              <w:bottom w:val="single" w:sz="8" w:space="0" w:color="DDDDDD"/>
              <w:right w:val="single" w:sz="8" w:space="0" w:color="DDDDDD"/>
            </w:tcBorders>
            <w:shd w:val="clear" w:color="auto" w:fill="auto"/>
            <w:vAlign w:val="center"/>
          </w:tcPr>
          <w:p w14:paraId="70126314" w14:textId="77777777" w:rsidR="00097466" w:rsidRDefault="00000000">
            <w:pPr>
              <w:spacing w:before="0" w:after="0" w:line="240" w:lineRule="auto"/>
              <w:jc w:val="left"/>
              <w:rPr>
                <w:b/>
                <w:bCs/>
                <w:color w:val="000000"/>
                <w:sz w:val="20"/>
                <w:szCs w:val="20"/>
              </w:rPr>
            </w:pPr>
            <w:r>
              <w:rPr>
                <w:b/>
                <w:bCs/>
                <w:color w:val="000000"/>
                <w:sz w:val="20"/>
                <w:szCs w:val="20"/>
              </w:rPr>
              <w:t>Complemento C3 (mg/</w:t>
            </w:r>
            <w:proofErr w:type="spellStart"/>
            <w:r>
              <w:rPr>
                <w:b/>
                <w:bCs/>
                <w:color w:val="000000"/>
                <w:sz w:val="20"/>
                <w:szCs w:val="20"/>
              </w:rPr>
              <w:t>dL</w:t>
            </w:r>
            <w:proofErr w:type="spellEnd"/>
            <w:r>
              <w:rPr>
                <w:b/>
                <w:bCs/>
                <w:color w:val="000000"/>
                <w:sz w:val="20"/>
                <w:szCs w:val="20"/>
              </w:rPr>
              <w:t>)</w:t>
            </w:r>
          </w:p>
        </w:tc>
        <w:tc>
          <w:tcPr>
            <w:tcW w:w="1441" w:type="dxa"/>
            <w:tcBorders>
              <w:top w:val="nil"/>
              <w:left w:val="nil"/>
              <w:bottom w:val="single" w:sz="8" w:space="0" w:color="DDDDDD"/>
              <w:right w:val="single" w:sz="8" w:space="0" w:color="DDDDDD"/>
            </w:tcBorders>
            <w:shd w:val="clear" w:color="auto" w:fill="auto"/>
            <w:vAlign w:val="center"/>
          </w:tcPr>
          <w:p w14:paraId="0C6FF366" w14:textId="77777777" w:rsidR="00097466" w:rsidRDefault="00000000">
            <w:pPr>
              <w:spacing w:before="0" w:after="0" w:line="240" w:lineRule="auto"/>
              <w:jc w:val="center"/>
              <w:rPr>
                <w:color w:val="000000"/>
                <w:sz w:val="20"/>
                <w:szCs w:val="20"/>
              </w:rPr>
            </w:pPr>
            <w:r>
              <w:rPr>
                <w:color w:val="000000"/>
                <w:sz w:val="20"/>
                <w:szCs w:val="20"/>
              </w:rPr>
              <w:t>247</w:t>
            </w:r>
          </w:p>
        </w:tc>
        <w:tc>
          <w:tcPr>
            <w:tcW w:w="3138" w:type="dxa"/>
            <w:tcBorders>
              <w:top w:val="nil"/>
              <w:left w:val="nil"/>
              <w:bottom w:val="single" w:sz="8" w:space="0" w:color="DDDDDD"/>
              <w:right w:val="single" w:sz="8" w:space="0" w:color="DDDDDD"/>
            </w:tcBorders>
            <w:shd w:val="clear" w:color="auto" w:fill="auto"/>
            <w:vAlign w:val="center"/>
          </w:tcPr>
          <w:p w14:paraId="3DD950B8" w14:textId="77777777" w:rsidR="00097466" w:rsidRDefault="00000000">
            <w:pPr>
              <w:spacing w:before="0" w:after="0" w:line="240" w:lineRule="auto"/>
              <w:jc w:val="center"/>
              <w:rPr>
                <w:color w:val="000000"/>
                <w:sz w:val="20"/>
                <w:szCs w:val="20"/>
              </w:rPr>
            </w:pPr>
            <w:r>
              <w:rPr>
                <w:color w:val="000000"/>
                <w:sz w:val="20"/>
                <w:szCs w:val="20"/>
              </w:rPr>
              <w:t>128,8 [106,5–154,95]</w:t>
            </w:r>
          </w:p>
        </w:tc>
      </w:tr>
      <w:tr w:rsidR="00097466" w14:paraId="61D55971" w14:textId="77777777">
        <w:trPr>
          <w:trHeight w:val="397"/>
        </w:trPr>
        <w:tc>
          <w:tcPr>
            <w:tcW w:w="3906" w:type="dxa"/>
            <w:tcBorders>
              <w:top w:val="nil"/>
              <w:left w:val="single" w:sz="8" w:space="0" w:color="DDDDDD"/>
              <w:bottom w:val="single" w:sz="8" w:space="0" w:color="DDDDDD"/>
              <w:right w:val="single" w:sz="8" w:space="0" w:color="DDDDDD"/>
            </w:tcBorders>
            <w:shd w:val="clear" w:color="auto" w:fill="auto"/>
            <w:vAlign w:val="center"/>
          </w:tcPr>
          <w:p w14:paraId="2726C76A" w14:textId="77777777" w:rsidR="00097466" w:rsidRDefault="00000000">
            <w:pPr>
              <w:spacing w:before="0" w:after="0" w:line="240" w:lineRule="auto"/>
              <w:jc w:val="left"/>
              <w:rPr>
                <w:b/>
                <w:bCs/>
                <w:color w:val="000000"/>
                <w:sz w:val="20"/>
                <w:szCs w:val="20"/>
              </w:rPr>
            </w:pPr>
            <w:r>
              <w:rPr>
                <w:b/>
                <w:bCs/>
                <w:color w:val="000000"/>
                <w:sz w:val="20"/>
                <w:szCs w:val="20"/>
              </w:rPr>
              <w:t>Complemento C4 (mg/</w:t>
            </w:r>
            <w:proofErr w:type="spellStart"/>
            <w:r>
              <w:rPr>
                <w:b/>
                <w:bCs/>
                <w:color w:val="000000"/>
                <w:sz w:val="20"/>
                <w:szCs w:val="20"/>
              </w:rPr>
              <w:t>dL</w:t>
            </w:r>
            <w:proofErr w:type="spellEnd"/>
            <w:r>
              <w:rPr>
                <w:b/>
                <w:bCs/>
                <w:color w:val="000000"/>
                <w:sz w:val="20"/>
                <w:szCs w:val="20"/>
              </w:rPr>
              <w:t>)</w:t>
            </w:r>
          </w:p>
        </w:tc>
        <w:tc>
          <w:tcPr>
            <w:tcW w:w="1441" w:type="dxa"/>
            <w:tcBorders>
              <w:top w:val="nil"/>
              <w:left w:val="nil"/>
              <w:bottom w:val="single" w:sz="8" w:space="0" w:color="DDDDDD"/>
              <w:right w:val="single" w:sz="8" w:space="0" w:color="DDDDDD"/>
            </w:tcBorders>
            <w:shd w:val="clear" w:color="auto" w:fill="auto"/>
            <w:vAlign w:val="center"/>
          </w:tcPr>
          <w:p w14:paraId="15BCF0F2" w14:textId="77777777" w:rsidR="00097466" w:rsidRDefault="00000000">
            <w:pPr>
              <w:spacing w:before="0" w:after="0" w:line="240" w:lineRule="auto"/>
              <w:jc w:val="center"/>
              <w:rPr>
                <w:color w:val="000000"/>
                <w:sz w:val="20"/>
                <w:szCs w:val="20"/>
              </w:rPr>
            </w:pPr>
            <w:r>
              <w:rPr>
                <w:color w:val="000000"/>
                <w:sz w:val="20"/>
                <w:szCs w:val="20"/>
              </w:rPr>
              <w:t>247</w:t>
            </w:r>
          </w:p>
        </w:tc>
        <w:tc>
          <w:tcPr>
            <w:tcW w:w="3138" w:type="dxa"/>
            <w:tcBorders>
              <w:top w:val="nil"/>
              <w:left w:val="nil"/>
              <w:bottom w:val="single" w:sz="8" w:space="0" w:color="DDDDDD"/>
              <w:right w:val="single" w:sz="8" w:space="0" w:color="DDDDDD"/>
            </w:tcBorders>
            <w:shd w:val="clear" w:color="auto" w:fill="auto"/>
            <w:vAlign w:val="center"/>
          </w:tcPr>
          <w:p w14:paraId="0C7439AD" w14:textId="77777777" w:rsidR="00097466" w:rsidRDefault="00000000">
            <w:pPr>
              <w:spacing w:before="0" w:after="0" w:line="240" w:lineRule="auto"/>
              <w:jc w:val="center"/>
              <w:rPr>
                <w:color w:val="000000"/>
                <w:sz w:val="20"/>
                <w:szCs w:val="20"/>
              </w:rPr>
            </w:pPr>
            <w:r>
              <w:rPr>
                <w:color w:val="000000"/>
                <w:sz w:val="20"/>
                <w:szCs w:val="20"/>
              </w:rPr>
              <w:t>18,9 [12,95–25,6]</w:t>
            </w:r>
          </w:p>
        </w:tc>
      </w:tr>
    </w:tbl>
    <w:p w14:paraId="70F4F4E3" w14:textId="6F148665" w:rsidR="008D23B6" w:rsidRDefault="008D23B6" w:rsidP="00C67F76">
      <w:pPr>
        <w:pStyle w:val="Descripcin"/>
      </w:pPr>
      <w:bookmarkStart w:id="123" w:name="_Toc230792250"/>
      <w:r>
        <w:t xml:space="preserve">Tabla </w:t>
      </w:r>
      <w:fldSimple w:instr=" SEQ Tabla \* ARABIC ">
        <w:r w:rsidR="00716AEA">
          <w:rPr>
            <w:noProof/>
          </w:rPr>
          <w:t>13</w:t>
        </w:r>
      </w:fldSimple>
      <w:r>
        <w:t xml:space="preserve">. </w:t>
      </w:r>
      <w:r w:rsidRPr="00C331FF">
        <w:t>Variables de laboratorio convencionales (n = 252 pacientes LES)</w:t>
      </w:r>
      <w:bookmarkEnd w:id="123"/>
    </w:p>
    <w:p w14:paraId="23A09CE7" w14:textId="08512223" w:rsidR="00097466" w:rsidRDefault="00000000">
      <w:r>
        <w:t>Respecto a los mediadores inflamatorios y citoquinas, los valores observados fueron en general concordantes con una fase de enfermedad controlada</w:t>
      </w:r>
      <w:r w:rsidR="007876F2">
        <w:t xml:space="preserve"> (Tabla 14)</w:t>
      </w:r>
      <w:r>
        <w:t>.</w:t>
      </w:r>
    </w:p>
    <w:tbl>
      <w:tblPr>
        <w:tblStyle w:val="ae"/>
        <w:tblW w:w="8485" w:type="dxa"/>
        <w:tblInd w:w="0" w:type="dxa"/>
        <w:tblLayout w:type="fixed"/>
        <w:tblLook w:val="0400" w:firstRow="0" w:lastRow="0" w:firstColumn="0" w:lastColumn="0" w:noHBand="0" w:noVBand="1"/>
      </w:tblPr>
      <w:tblGrid>
        <w:gridCol w:w="2943"/>
        <w:gridCol w:w="1724"/>
        <w:gridCol w:w="3818"/>
      </w:tblGrid>
      <w:tr w:rsidR="00097466" w14:paraId="76DF26F1" w14:textId="77777777">
        <w:trPr>
          <w:trHeight w:val="397"/>
        </w:trPr>
        <w:tc>
          <w:tcPr>
            <w:tcW w:w="2943"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63B01B10" w14:textId="77777777" w:rsidR="00097466" w:rsidRDefault="00000000">
            <w:pPr>
              <w:spacing w:before="0" w:after="0" w:line="240" w:lineRule="auto"/>
              <w:jc w:val="left"/>
              <w:rPr>
                <w:b/>
                <w:bCs/>
                <w:color w:val="000000"/>
                <w:sz w:val="20"/>
                <w:szCs w:val="20"/>
              </w:rPr>
            </w:pPr>
            <w:r>
              <w:rPr>
                <w:b/>
                <w:bCs/>
                <w:color w:val="000000"/>
                <w:sz w:val="20"/>
                <w:szCs w:val="20"/>
              </w:rPr>
              <w:t>Variable</w:t>
            </w:r>
          </w:p>
        </w:tc>
        <w:tc>
          <w:tcPr>
            <w:tcW w:w="1724" w:type="dxa"/>
            <w:tcBorders>
              <w:top w:val="single" w:sz="8" w:space="0" w:color="DDDDDD"/>
              <w:left w:val="nil"/>
              <w:bottom w:val="single" w:sz="8" w:space="0" w:color="DDDDDD"/>
              <w:right w:val="single" w:sz="8" w:space="0" w:color="DDDDDD"/>
            </w:tcBorders>
            <w:shd w:val="clear" w:color="auto" w:fill="F2F2F2"/>
            <w:vAlign w:val="center"/>
          </w:tcPr>
          <w:p w14:paraId="760B2A26" w14:textId="77777777" w:rsidR="00097466" w:rsidRDefault="00000000">
            <w:pPr>
              <w:spacing w:before="0" w:after="0" w:line="240" w:lineRule="auto"/>
              <w:jc w:val="center"/>
              <w:rPr>
                <w:b/>
                <w:bCs/>
                <w:color w:val="000000"/>
                <w:sz w:val="20"/>
                <w:szCs w:val="20"/>
              </w:rPr>
            </w:pPr>
            <w:r>
              <w:rPr>
                <w:b/>
                <w:bCs/>
                <w:color w:val="000000"/>
                <w:sz w:val="20"/>
                <w:szCs w:val="20"/>
              </w:rPr>
              <w:t>N válido</w:t>
            </w:r>
          </w:p>
        </w:tc>
        <w:tc>
          <w:tcPr>
            <w:tcW w:w="3818" w:type="dxa"/>
            <w:tcBorders>
              <w:top w:val="single" w:sz="8" w:space="0" w:color="DDDDDD"/>
              <w:left w:val="nil"/>
              <w:bottom w:val="single" w:sz="8" w:space="0" w:color="DDDDDD"/>
              <w:right w:val="single" w:sz="8" w:space="0" w:color="DDDDDD"/>
            </w:tcBorders>
            <w:shd w:val="clear" w:color="auto" w:fill="F2F2F2"/>
            <w:vAlign w:val="center"/>
          </w:tcPr>
          <w:p w14:paraId="255CDEE1" w14:textId="77777777" w:rsidR="00097466" w:rsidRDefault="00000000">
            <w:pPr>
              <w:spacing w:before="0" w:after="0" w:line="240" w:lineRule="auto"/>
              <w:jc w:val="center"/>
              <w:rPr>
                <w:b/>
                <w:bCs/>
                <w:color w:val="000000"/>
                <w:sz w:val="20"/>
                <w:szCs w:val="20"/>
              </w:rPr>
            </w:pPr>
            <w:r>
              <w:rPr>
                <w:b/>
                <w:bCs/>
                <w:color w:val="000000"/>
                <w:sz w:val="20"/>
                <w:szCs w:val="20"/>
              </w:rPr>
              <w:t>Resultado</w:t>
            </w:r>
          </w:p>
        </w:tc>
      </w:tr>
      <w:tr w:rsidR="00097466" w14:paraId="58F2769C" w14:textId="77777777">
        <w:trPr>
          <w:trHeight w:val="397"/>
        </w:trPr>
        <w:tc>
          <w:tcPr>
            <w:tcW w:w="2943" w:type="dxa"/>
            <w:tcBorders>
              <w:top w:val="nil"/>
              <w:left w:val="single" w:sz="8" w:space="0" w:color="DDDDDD"/>
              <w:bottom w:val="single" w:sz="8" w:space="0" w:color="DDDDDD"/>
              <w:right w:val="single" w:sz="8" w:space="0" w:color="DDDDDD"/>
            </w:tcBorders>
            <w:shd w:val="clear" w:color="auto" w:fill="auto"/>
            <w:vAlign w:val="center"/>
          </w:tcPr>
          <w:p w14:paraId="69E5D725" w14:textId="77777777" w:rsidR="00097466" w:rsidRDefault="00000000">
            <w:pPr>
              <w:spacing w:before="0" w:after="0" w:line="240" w:lineRule="auto"/>
              <w:jc w:val="left"/>
              <w:rPr>
                <w:b/>
                <w:bCs/>
                <w:color w:val="000000"/>
                <w:sz w:val="20"/>
                <w:szCs w:val="20"/>
              </w:rPr>
            </w:pPr>
            <w:r>
              <w:rPr>
                <w:b/>
                <w:bCs/>
                <w:color w:val="000000"/>
                <w:sz w:val="20"/>
                <w:szCs w:val="20"/>
              </w:rPr>
              <w:t>IFN-α (pg/</w:t>
            </w:r>
            <w:proofErr w:type="spellStart"/>
            <w:r>
              <w:rPr>
                <w:b/>
                <w:bCs/>
                <w:color w:val="000000"/>
                <w:sz w:val="20"/>
                <w:szCs w:val="20"/>
              </w:rPr>
              <w:t>mL</w:t>
            </w:r>
            <w:proofErr w:type="spellEnd"/>
            <w:r>
              <w:rPr>
                <w:b/>
                <w:bCs/>
                <w:color w:val="000000"/>
                <w:sz w:val="20"/>
                <w:szCs w:val="20"/>
              </w:rPr>
              <w:t>)</w:t>
            </w:r>
          </w:p>
        </w:tc>
        <w:tc>
          <w:tcPr>
            <w:tcW w:w="1724" w:type="dxa"/>
            <w:tcBorders>
              <w:top w:val="nil"/>
              <w:left w:val="nil"/>
              <w:bottom w:val="single" w:sz="8" w:space="0" w:color="DDDDDD"/>
              <w:right w:val="single" w:sz="8" w:space="0" w:color="DDDDDD"/>
            </w:tcBorders>
            <w:shd w:val="clear" w:color="auto" w:fill="auto"/>
            <w:vAlign w:val="center"/>
          </w:tcPr>
          <w:p w14:paraId="317BA05A" w14:textId="77777777" w:rsidR="00097466" w:rsidRDefault="00000000">
            <w:pPr>
              <w:spacing w:before="0" w:after="0" w:line="240" w:lineRule="auto"/>
              <w:jc w:val="center"/>
              <w:rPr>
                <w:color w:val="000000"/>
                <w:sz w:val="20"/>
                <w:szCs w:val="20"/>
              </w:rPr>
            </w:pPr>
            <w:r>
              <w:rPr>
                <w:color w:val="000000"/>
                <w:sz w:val="20"/>
                <w:szCs w:val="20"/>
              </w:rPr>
              <w:t>244</w:t>
            </w:r>
          </w:p>
        </w:tc>
        <w:tc>
          <w:tcPr>
            <w:tcW w:w="3818" w:type="dxa"/>
            <w:tcBorders>
              <w:top w:val="nil"/>
              <w:left w:val="nil"/>
              <w:bottom w:val="single" w:sz="8" w:space="0" w:color="DDDDDD"/>
              <w:right w:val="single" w:sz="8" w:space="0" w:color="DDDDDD"/>
            </w:tcBorders>
            <w:shd w:val="clear" w:color="auto" w:fill="auto"/>
            <w:vAlign w:val="center"/>
          </w:tcPr>
          <w:p w14:paraId="6EC36479" w14:textId="77777777" w:rsidR="00097466" w:rsidRDefault="00000000">
            <w:pPr>
              <w:spacing w:before="0" w:after="0" w:line="240" w:lineRule="auto"/>
              <w:jc w:val="center"/>
              <w:rPr>
                <w:color w:val="000000"/>
                <w:sz w:val="20"/>
                <w:szCs w:val="20"/>
              </w:rPr>
            </w:pPr>
            <w:r>
              <w:rPr>
                <w:color w:val="000000"/>
                <w:sz w:val="20"/>
                <w:szCs w:val="20"/>
              </w:rPr>
              <w:t>0,19 [0,04–1,38]</w:t>
            </w:r>
          </w:p>
        </w:tc>
      </w:tr>
      <w:tr w:rsidR="00097466" w14:paraId="2882A197" w14:textId="77777777">
        <w:trPr>
          <w:trHeight w:val="397"/>
        </w:trPr>
        <w:tc>
          <w:tcPr>
            <w:tcW w:w="2943" w:type="dxa"/>
            <w:tcBorders>
              <w:top w:val="nil"/>
              <w:left w:val="single" w:sz="8" w:space="0" w:color="DDDDDD"/>
              <w:bottom w:val="single" w:sz="8" w:space="0" w:color="DDDDDD"/>
              <w:right w:val="single" w:sz="8" w:space="0" w:color="DDDDDD"/>
            </w:tcBorders>
            <w:shd w:val="clear" w:color="auto" w:fill="auto"/>
            <w:vAlign w:val="center"/>
          </w:tcPr>
          <w:p w14:paraId="68BD13DD" w14:textId="77777777" w:rsidR="00097466" w:rsidRDefault="00000000">
            <w:pPr>
              <w:spacing w:before="0" w:after="0" w:line="240" w:lineRule="auto"/>
              <w:jc w:val="left"/>
              <w:rPr>
                <w:b/>
                <w:bCs/>
                <w:color w:val="000000"/>
                <w:sz w:val="20"/>
                <w:szCs w:val="20"/>
              </w:rPr>
            </w:pPr>
            <w:r>
              <w:rPr>
                <w:b/>
                <w:bCs/>
                <w:color w:val="000000"/>
                <w:sz w:val="20"/>
                <w:szCs w:val="20"/>
              </w:rPr>
              <w:t>IFN-γ (pg/</w:t>
            </w:r>
            <w:proofErr w:type="spellStart"/>
            <w:r>
              <w:rPr>
                <w:b/>
                <w:bCs/>
                <w:color w:val="000000"/>
                <w:sz w:val="20"/>
                <w:szCs w:val="20"/>
              </w:rPr>
              <w:t>mL</w:t>
            </w:r>
            <w:proofErr w:type="spellEnd"/>
            <w:r>
              <w:rPr>
                <w:b/>
                <w:bCs/>
                <w:color w:val="000000"/>
                <w:sz w:val="20"/>
                <w:szCs w:val="20"/>
              </w:rPr>
              <w:t>)</w:t>
            </w:r>
          </w:p>
        </w:tc>
        <w:tc>
          <w:tcPr>
            <w:tcW w:w="1724" w:type="dxa"/>
            <w:tcBorders>
              <w:top w:val="nil"/>
              <w:left w:val="nil"/>
              <w:bottom w:val="single" w:sz="8" w:space="0" w:color="DDDDDD"/>
              <w:right w:val="single" w:sz="8" w:space="0" w:color="DDDDDD"/>
            </w:tcBorders>
            <w:shd w:val="clear" w:color="auto" w:fill="auto"/>
            <w:vAlign w:val="center"/>
          </w:tcPr>
          <w:p w14:paraId="38AFF348" w14:textId="77777777" w:rsidR="00097466" w:rsidRDefault="00000000">
            <w:pPr>
              <w:spacing w:before="0" w:after="0" w:line="240" w:lineRule="auto"/>
              <w:jc w:val="center"/>
              <w:rPr>
                <w:color w:val="000000"/>
                <w:sz w:val="20"/>
                <w:szCs w:val="20"/>
              </w:rPr>
            </w:pPr>
            <w:r>
              <w:rPr>
                <w:color w:val="000000"/>
                <w:sz w:val="20"/>
                <w:szCs w:val="20"/>
              </w:rPr>
              <w:t>250</w:t>
            </w:r>
          </w:p>
        </w:tc>
        <w:tc>
          <w:tcPr>
            <w:tcW w:w="3818" w:type="dxa"/>
            <w:tcBorders>
              <w:top w:val="nil"/>
              <w:left w:val="nil"/>
              <w:bottom w:val="single" w:sz="8" w:space="0" w:color="DDDDDD"/>
              <w:right w:val="single" w:sz="8" w:space="0" w:color="DDDDDD"/>
            </w:tcBorders>
            <w:shd w:val="clear" w:color="auto" w:fill="auto"/>
            <w:vAlign w:val="center"/>
          </w:tcPr>
          <w:p w14:paraId="5114DD82" w14:textId="77777777" w:rsidR="00097466" w:rsidRDefault="00000000">
            <w:pPr>
              <w:spacing w:before="0" w:after="0" w:line="240" w:lineRule="auto"/>
              <w:jc w:val="center"/>
              <w:rPr>
                <w:color w:val="000000"/>
                <w:sz w:val="20"/>
                <w:szCs w:val="20"/>
              </w:rPr>
            </w:pPr>
            <w:r>
              <w:rPr>
                <w:color w:val="000000"/>
                <w:sz w:val="20"/>
                <w:szCs w:val="20"/>
              </w:rPr>
              <w:t>0,44 [0,25–0,95]</w:t>
            </w:r>
          </w:p>
        </w:tc>
      </w:tr>
      <w:tr w:rsidR="00097466" w14:paraId="5AB7BBEB" w14:textId="77777777">
        <w:trPr>
          <w:trHeight w:val="397"/>
        </w:trPr>
        <w:tc>
          <w:tcPr>
            <w:tcW w:w="2943" w:type="dxa"/>
            <w:tcBorders>
              <w:top w:val="nil"/>
              <w:left w:val="single" w:sz="8" w:space="0" w:color="DDDDDD"/>
              <w:bottom w:val="single" w:sz="8" w:space="0" w:color="DDDDDD"/>
              <w:right w:val="single" w:sz="8" w:space="0" w:color="DDDDDD"/>
            </w:tcBorders>
            <w:shd w:val="clear" w:color="auto" w:fill="auto"/>
            <w:vAlign w:val="center"/>
          </w:tcPr>
          <w:p w14:paraId="367DDDC5" w14:textId="77777777" w:rsidR="00097466" w:rsidRDefault="00000000">
            <w:pPr>
              <w:spacing w:before="0" w:after="0" w:line="240" w:lineRule="auto"/>
              <w:jc w:val="left"/>
              <w:rPr>
                <w:b/>
                <w:bCs/>
                <w:color w:val="000000"/>
                <w:sz w:val="20"/>
                <w:szCs w:val="20"/>
              </w:rPr>
            </w:pPr>
            <w:r>
              <w:rPr>
                <w:b/>
                <w:bCs/>
                <w:color w:val="000000"/>
                <w:sz w:val="20"/>
                <w:szCs w:val="20"/>
              </w:rPr>
              <w:t>IL-2 (pg/</w:t>
            </w:r>
            <w:proofErr w:type="spellStart"/>
            <w:r>
              <w:rPr>
                <w:b/>
                <w:bCs/>
                <w:color w:val="000000"/>
                <w:sz w:val="20"/>
                <w:szCs w:val="20"/>
              </w:rPr>
              <w:t>mL</w:t>
            </w:r>
            <w:proofErr w:type="spellEnd"/>
            <w:r>
              <w:rPr>
                <w:b/>
                <w:bCs/>
                <w:color w:val="000000"/>
                <w:sz w:val="20"/>
                <w:szCs w:val="20"/>
              </w:rPr>
              <w:t>)</w:t>
            </w:r>
          </w:p>
        </w:tc>
        <w:tc>
          <w:tcPr>
            <w:tcW w:w="1724" w:type="dxa"/>
            <w:tcBorders>
              <w:top w:val="nil"/>
              <w:left w:val="nil"/>
              <w:bottom w:val="single" w:sz="8" w:space="0" w:color="DDDDDD"/>
              <w:right w:val="single" w:sz="8" w:space="0" w:color="DDDDDD"/>
            </w:tcBorders>
            <w:shd w:val="clear" w:color="auto" w:fill="auto"/>
            <w:vAlign w:val="center"/>
          </w:tcPr>
          <w:p w14:paraId="15B1A616" w14:textId="77777777" w:rsidR="00097466" w:rsidRDefault="00000000">
            <w:pPr>
              <w:spacing w:before="0" w:after="0" w:line="240" w:lineRule="auto"/>
              <w:jc w:val="center"/>
              <w:rPr>
                <w:color w:val="000000"/>
                <w:sz w:val="20"/>
                <w:szCs w:val="20"/>
              </w:rPr>
            </w:pPr>
            <w:r>
              <w:rPr>
                <w:color w:val="000000"/>
                <w:sz w:val="20"/>
                <w:szCs w:val="20"/>
              </w:rPr>
              <w:t>178</w:t>
            </w:r>
          </w:p>
        </w:tc>
        <w:tc>
          <w:tcPr>
            <w:tcW w:w="3818" w:type="dxa"/>
            <w:tcBorders>
              <w:top w:val="nil"/>
              <w:left w:val="nil"/>
              <w:bottom w:val="single" w:sz="8" w:space="0" w:color="DDDDDD"/>
              <w:right w:val="single" w:sz="8" w:space="0" w:color="DDDDDD"/>
            </w:tcBorders>
            <w:shd w:val="clear" w:color="auto" w:fill="auto"/>
            <w:vAlign w:val="center"/>
          </w:tcPr>
          <w:p w14:paraId="5B3D5376" w14:textId="77777777" w:rsidR="00097466" w:rsidRDefault="00000000">
            <w:pPr>
              <w:spacing w:before="0" w:after="0" w:line="240" w:lineRule="auto"/>
              <w:jc w:val="center"/>
              <w:rPr>
                <w:color w:val="000000"/>
                <w:sz w:val="20"/>
                <w:szCs w:val="20"/>
              </w:rPr>
            </w:pPr>
            <w:r>
              <w:rPr>
                <w:color w:val="000000"/>
                <w:sz w:val="20"/>
                <w:szCs w:val="20"/>
              </w:rPr>
              <w:t>0,11 [0,08–0,17]</w:t>
            </w:r>
          </w:p>
        </w:tc>
      </w:tr>
      <w:tr w:rsidR="00097466" w14:paraId="1985B59E" w14:textId="77777777">
        <w:trPr>
          <w:trHeight w:val="397"/>
        </w:trPr>
        <w:tc>
          <w:tcPr>
            <w:tcW w:w="2943" w:type="dxa"/>
            <w:tcBorders>
              <w:top w:val="nil"/>
              <w:left w:val="single" w:sz="8" w:space="0" w:color="DDDDDD"/>
              <w:bottom w:val="single" w:sz="8" w:space="0" w:color="DDDDDD"/>
              <w:right w:val="single" w:sz="8" w:space="0" w:color="DDDDDD"/>
            </w:tcBorders>
            <w:shd w:val="clear" w:color="auto" w:fill="auto"/>
            <w:vAlign w:val="center"/>
          </w:tcPr>
          <w:p w14:paraId="55B10F58" w14:textId="77777777" w:rsidR="00097466" w:rsidRDefault="00000000">
            <w:pPr>
              <w:spacing w:before="0" w:after="0" w:line="240" w:lineRule="auto"/>
              <w:jc w:val="left"/>
              <w:rPr>
                <w:b/>
                <w:bCs/>
                <w:color w:val="000000"/>
                <w:sz w:val="20"/>
                <w:szCs w:val="20"/>
              </w:rPr>
            </w:pPr>
            <w:r>
              <w:rPr>
                <w:b/>
                <w:bCs/>
                <w:color w:val="000000"/>
                <w:sz w:val="20"/>
                <w:szCs w:val="20"/>
              </w:rPr>
              <w:t>IL-6 (pg/</w:t>
            </w:r>
            <w:proofErr w:type="spellStart"/>
            <w:r>
              <w:rPr>
                <w:b/>
                <w:bCs/>
                <w:color w:val="000000"/>
                <w:sz w:val="20"/>
                <w:szCs w:val="20"/>
              </w:rPr>
              <w:t>mL</w:t>
            </w:r>
            <w:proofErr w:type="spellEnd"/>
            <w:r>
              <w:rPr>
                <w:b/>
                <w:bCs/>
                <w:color w:val="000000"/>
                <w:sz w:val="20"/>
                <w:szCs w:val="20"/>
              </w:rPr>
              <w:t>)</w:t>
            </w:r>
          </w:p>
        </w:tc>
        <w:tc>
          <w:tcPr>
            <w:tcW w:w="1724" w:type="dxa"/>
            <w:tcBorders>
              <w:top w:val="nil"/>
              <w:left w:val="nil"/>
              <w:bottom w:val="single" w:sz="8" w:space="0" w:color="DDDDDD"/>
              <w:right w:val="single" w:sz="8" w:space="0" w:color="DDDDDD"/>
            </w:tcBorders>
            <w:shd w:val="clear" w:color="auto" w:fill="auto"/>
            <w:vAlign w:val="center"/>
          </w:tcPr>
          <w:p w14:paraId="04A68F2B" w14:textId="77777777" w:rsidR="00097466" w:rsidRDefault="00000000">
            <w:pPr>
              <w:spacing w:before="0" w:after="0" w:line="240" w:lineRule="auto"/>
              <w:jc w:val="center"/>
              <w:rPr>
                <w:color w:val="000000"/>
                <w:sz w:val="20"/>
                <w:szCs w:val="20"/>
              </w:rPr>
            </w:pPr>
            <w:r>
              <w:rPr>
                <w:color w:val="000000"/>
                <w:sz w:val="20"/>
                <w:szCs w:val="20"/>
              </w:rPr>
              <w:t>178</w:t>
            </w:r>
          </w:p>
        </w:tc>
        <w:tc>
          <w:tcPr>
            <w:tcW w:w="3818" w:type="dxa"/>
            <w:tcBorders>
              <w:top w:val="nil"/>
              <w:left w:val="nil"/>
              <w:bottom w:val="single" w:sz="8" w:space="0" w:color="DDDDDD"/>
              <w:right w:val="single" w:sz="8" w:space="0" w:color="DDDDDD"/>
            </w:tcBorders>
            <w:shd w:val="clear" w:color="auto" w:fill="auto"/>
            <w:vAlign w:val="center"/>
          </w:tcPr>
          <w:p w14:paraId="04CF2331" w14:textId="77777777" w:rsidR="00097466" w:rsidRDefault="00000000">
            <w:pPr>
              <w:spacing w:before="0" w:after="0" w:line="240" w:lineRule="auto"/>
              <w:jc w:val="center"/>
              <w:rPr>
                <w:color w:val="000000"/>
                <w:sz w:val="20"/>
                <w:szCs w:val="20"/>
              </w:rPr>
            </w:pPr>
            <w:r>
              <w:rPr>
                <w:color w:val="000000"/>
                <w:sz w:val="20"/>
                <w:szCs w:val="20"/>
              </w:rPr>
              <w:t>4,26 [2,65–7,62]</w:t>
            </w:r>
          </w:p>
        </w:tc>
      </w:tr>
      <w:tr w:rsidR="00097466" w14:paraId="7BE44E4D" w14:textId="77777777">
        <w:trPr>
          <w:trHeight w:val="397"/>
        </w:trPr>
        <w:tc>
          <w:tcPr>
            <w:tcW w:w="2943" w:type="dxa"/>
            <w:tcBorders>
              <w:top w:val="nil"/>
              <w:left w:val="single" w:sz="8" w:space="0" w:color="DDDDDD"/>
              <w:bottom w:val="single" w:sz="8" w:space="0" w:color="DDDDDD"/>
              <w:right w:val="single" w:sz="8" w:space="0" w:color="DDDDDD"/>
            </w:tcBorders>
            <w:shd w:val="clear" w:color="auto" w:fill="auto"/>
            <w:vAlign w:val="center"/>
          </w:tcPr>
          <w:p w14:paraId="39952552" w14:textId="77777777" w:rsidR="00097466" w:rsidRDefault="00000000">
            <w:pPr>
              <w:spacing w:before="0" w:after="0" w:line="240" w:lineRule="auto"/>
              <w:jc w:val="left"/>
              <w:rPr>
                <w:b/>
                <w:bCs/>
                <w:color w:val="000000"/>
                <w:sz w:val="20"/>
                <w:szCs w:val="20"/>
              </w:rPr>
            </w:pPr>
            <w:r>
              <w:rPr>
                <w:b/>
                <w:bCs/>
                <w:color w:val="000000"/>
                <w:sz w:val="20"/>
                <w:szCs w:val="20"/>
              </w:rPr>
              <w:t>IL-8 (pg/</w:t>
            </w:r>
            <w:proofErr w:type="spellStart"/>
            <w:r>
              <w:rPr>
                <w:b/>
                <w:bCs/>
                <w:color w:val="000000"/>
                <w:sz w:val="20"/>
                <w:szCs w:val="20"/>
              </w:rPr>
              <w:t>mL</w:t>
            </w:r>
            <w:proofErr w:type="spellEnd"/>
            <w:r>
              <w:rPr>
                <w:b/>
                <w:bCs/>
                <w:color w:val="000000"/>
                <w:sz w:val="20"/>
                <w:szCs w:val="20"/>
              </w:rPr>
              <w:t>)</w:t>
            </w:r>
          </w:p>
        </w:tc>
        <w:tc>
          <w:tcPr>
            <w:tcW w:w="1724" w:type="dxa"/>
            <w:tcBorders>
              <w:top w:val="nil"/>
              <w:left w:val="nil"/>
              <w:bottom w:val="single" w:sz="8" w:space="0" w:color="DDDDDD"/>
              <w:right w:val="single" w:sz="8" w:space="0" w:color="DDDDDD"/>
            </w:tcBorders>
            <w:shd w:val="clear" w:color="auto" w:fill="auto"/>
            <w:vAlign w:val="center"/>
          </w:tcPr>
          <w:p w14:paraId="29C59A19" w14:textId="77777777" w:rsidR="00097466" w:rsidRDefault="00000000">
            <w:pPr>
              <w:spacing w:before="0" w:after="0" w:line="240" w:lineRule="auto"/>
              <w:jc w:val="center"/>
              <w:rPr>
                <w:color w:val="000000"/>
                <w:sz w:val="20"/>
                <w:szCs w:val="20"/>
              </w:rPr>
            </w:pPr>
            <w:r>
              <w:rPr>
                <w:color w:val="000000"/>
                <w:sz w:val="20"/>
                <w:szCs w:val="20"/>
              </w:rPr>
              <w:t>178</w:t>
            </w:r>
          </w:p>
        </w:tc>
        <w:tc>
          <w:tcPr>
            <w:tcW w:w="3818" w:type="dxa"/>
            <w:tcBorders>
              <w:top w:val="nil"/>
              <w:left w:val="nil"/>
              <w:bottom w:val="single" w:sz="8" w:space="0" w:color="DDDDDD"/>
              <w:right w:val="single" w:sz="8" w:space="0" w:color="DDDDDD"/>
            </w:tcBorders>
            <w:shd w:val="clear" w:color="auto" w:fill="auto"/>
            <w:vAlign w:val="center"/>
          </w:tcPr>
          <w:p w14:paraId="1CB58CB9" w14:textId="77777777" w:rsidR="00097466" w:rsidRDefault="00000000">
            <w:pPr>
              <w:spacing w:before="0" w:after="0" w:line="240" w:lineRule="auto"/>
              <w:jc w:val="center"/>
              <w:rPr>
                <w:color w:val="000000"/>
                <w:sz w:val="20"/>
                <w:szCs w:val="20"/>
              </w:rPr>
            </w:pPr>
            <w:r>
              <w:rPr>
                <w:color w:val="000000"/>
                <w:sz w:val="20"/>
                <w:szCs w:val="20"/>
              </w:rPr>
              <w:t>10,05 [7,4–13,97]</w:t>
            </w:r>
          </w:p>
        </w:tc>
      </w:tr>
      <w:tr w:rsidR="00097466" w14:paraId="53B79CA3" w14:textId="77777777">
        <w:trPr>
          <w:trHeight w:val="397"/>
        </w:trPr>
        <w:tc>
          <w:tcPr>
            <w:tcW w:w="2943" w:type="dxa"/>
            <w:tcBorders>
              <w:top w:val="nil"/>
              <w:left w:val="single" w:sz="8" w:space="0" w:color="DDDDDD"/>
              <w:bottom w:val="single" w:sz="8" w:space="0" w:color="DDDDDD"/>
              <w:right w:val="single" w:sz="8" w:space="0" w:color="DDDDDD"/>
            </w:tcBorders>
            <w:shd w:val="clear" w:color="auto" w:fill="auto"/>
            <w:vAlign w:val="center"/>
          </w:tcPr>
          <w:p w14:paraId="009CC98D" w14:textId="77777777" w:rsidR="00097466" w:rsidRDefault="00000000">
            <w:pPr>
              <w:spacing w:before="0" w:after="0" w:line="240" w:lineRule="auto"/>
              <w:jc w:val="left"/>
              <w:rPr>
                <w:b/>
                <w:bCs/>
                <w:color w:val="000000"/>
                <w:sz w:val="20"/>
                <w:szCs w:val="20"/>
              </w:rPr>
            </w:pPr>
            <w:r>
              <w:rPr>
                <w:b/>
                <w:bCs/>
                <w:color w:val="000000"/>
                <w:sz w:val="20"/>
                <w:szCs w:val="20"/>
              </w:rPr>
              <w:t>BAFF (pg/</w:t>
            </w:r>
            <w:proofErr w:type="spellStart"/>
            <w:r>
              <w:rPr>
                <w:b/>
                <w:bCs/>
                <w:color w:val="000000"/>
                <w:sz w:val="20"/>
                <w:szCs w:val="20"/>
              </w:rPr>
              <w:t>mL</w:t>
            </w:r>
            <w:proofErr w:type="spellEnd"/>
            <w:r>
              <w:rPr>
                <w:b/>
                <w:bCs/>
                <w:color w:val="000000"/>
                <w:sz w:val="20"/>
                <w:szCs w:val="20"/>
              </w:rPr>
              <w:t>)</w:t>
            </w:r>
            <w:r>
              <w:rPr>
                <w:color w:val="000000"/>
                <w:sz w:val="20"/>
                <w:szCs w:val="20"/>
              </w:rPr>
              <w:t xml:space="preserve"> †</w:t>
            </w:r>
          </w:p>
        </w:tc>
        <w:tc>
          <w:tcPr>
            <w:tcW w:w="1724" w:type="dxa"/>
            <w:tcBorders>
              <w:top w:val="nil"/>
              <w:left w:val="nil"/>
              <w:bottom w:val="single" w:sz="8" w:space="0" w:color="DDDDDD"/>
              <w:right w:val="single" w:sz="8" w:space="0" w:color="DDDDDD"/>
            </w:tcBorders>
            <w:shd w:val="clear" w:color="auto" w:fill="auto"/>
            <w:vAlign w:val="center"/>
          </w:tcPr>
          <w:p w14:paraId="19ECD727" w14:textId="77777777" w:rsidR="00097466" w:rsidRDefault="00000000">
            <w:pPr>
              <w:spacing w:before="0" w:after="0" w:line="240" w:lineRule="auto"/>
              <w:jc w:val="center"/>
              <w:rPr>
                <w:color w:val="000000"/>
                <w:sz w:val="20"/>
                <w:szCs w:val="20"/>
              </w:rPr>
            </w:pPr>
            <w:r>
              <w:rPr>
                <w:color w:val="000000"/>
                <w:sz w:val="20"/>
                <w:szCs w:val="20"/>
              </w:rPr>
              <w:t>82</w:t>
            </w:r>
          </w:p>
        </w:tc>
        <w:tc>
          <w:tcPr>
            <w:tcW w:w="3818" w:type="dxa"/>
            <w:tcBorders>
              <w:top w:val="nil"/>
              <w:left w:val="nil"/>
              <w:bottom w:val="single" w:sz="8" w:space="0" w:color="DDDDDD"/>
              <w:right w:val="single" w:sz="8" w:space="0" w:color="DDDDDD"/>
            </w:tcBorders>
            <w:shd w:val="clear" w:color="auto" w:fill="auto"/>
            <w:vAlign w:val="center"/>
          </w:tcPr>
          <w:p w14:paraId="2E06BE19" w14:textId="77777777" w:rsidR="00097466" w:rsidRDefault="00000000">
            <w:pPr>
              <w:spacing w:before="0" w:after="0" w:line="240" w:lineRule="auto"/>
              <w:jc w:val="center"/>
              <w:rPr>
                <w:color w:val="000000"/>
                <w:sz w:val="20"/>
                <w:szCs w:val="20"/>
              </w:rPr>
            </w:pPr>
            <w:r>
              <w:rPr>
                <w:color w:val="000000"/>
                <w:sz w:val="20"/>
                <w:szCs w:val="20"/>
              </w:rPr>
              <w:t>493 [388,81–896,43]</w:t>
            </w:r>
          </w:p>
        </w:tc>
      </w:tr>
      <w:tr w:rsidR="00097466" w14:paraId="2C04F278" w14:textId="77777777">
        <w:trPr>
          <w:trHeight w:val="397"/>
        </w:trPr>
        <w:tc>
          <w:tcPr>
            <w:tcW w:w="8485" w:type="dxa"/>
            <w:gridSpan w:val="3"/>
            <w:tcBorders>
              <w:top w:val="single" w:sz="8" w:space="0" w:color="DDDDDD"/>
              <w:left w:val="single" w:sz="8" w:space="0" w:color="DDDDDD"/>
              <w:bottom w:val="single" w:sz="8" w:space="0" w:color="DDDDDD"/>
              <w:right w:val="single" w:sz="8" w:space="0" w:color="DDDDDD"/>
            </w:tcBorders>
            <w:shd w:val="clear" w:color="auto" w:fill="auto"/>
            <w:vAlign w:val="center"/>
          </w:tcPr>
          <w:p w14:paraId="4600E95A" w14:textId="77777777" w:rsidR="00097466" w:rsidRDefault="00000000" w:rsidP="008D23B6">
            <w:pPr>
              <w:keepNext/>
              <w:spacing w:before="120" w:after="120" w:line="240" w:lineRule="auto"/>
              <w:jc w:val="left"/>
              <w:rPr>
                <w:color w:val="000000"/>
                <w:sz w:val="18"/>
                <w:szCs w:val="18"/>
              </w:rPr>
            </w:pPr>
            <w:r>
              <w:rPr>
                <w:color w:val="000000"/>
                <w:sz w:val="18"/>
                <w:szCs w:val="18"/>
              </w:rPr>
              <w:t>† Variable con alto porcentaje de datos faltantes (&gt;67%); resultado interpretado con cautela.</w:t>
            </w:r>
          </w:p>
        </w:tc>
      </w:tr>
    </w:tbl>
    <w:p w14:paraId="7A5EFD70" w14:textId="79743206" w:rsidR="008D23B6" w:rsidRDefault="008D23B6" w:rsidP="00C67F76">
      <w:pPr>
        <w:pStyle w:val="Descripcin"/>
      </w:pPr>
      <w:bookmarkStart w:id="124" w:name="_Toc230792251"/>
      <w:r>
        <w:t xml:space="preserve">Tabla </w:t>
      </w:r>
      <w:fldSimple w:instr=" SEQ Tabla \* ARABIC ">
        <w:r w:rsidR="00716AEA">
          <w:rPr>
            <w:noProof/>
          </w:rPr>
          <w:t>14</w:t>
        </w:r>
      </w:fldSimple>
      <w:r>
        <w:t xml:space="preserve">. </w:t>
      </w:r>
      <w:r w:rsidRPr="00E00DF2">
        <w:t>Biomarcadores séricos inflamatorios e inmunológicos (n = 252 pacientes LES)</w:t>
      </w:r>
      <w:bookmarkEnd w:id="124"/>
    </w:p>
    <w:p w14:paraId="4C6123AB" w14:textId="77777777" w:rsidR="00097466" w:rsidRDefault="00000000">
      <w:pPr>
        <w:pStyle w:val="Ttulo2"/>
        <w:numPr>
          <w:ilvl w:val="1"/>
          <w:numId w:val="17"/>
        </w:numPr>
      </w:pPr>
      <w:bookmarkStart w:id="125" w:name="_Toc229237688"/>
      <w:bookmarkStart w:id="126" w:name="_Toc230792328"/>
      <w:r>
        <w:t xml:space="preserve">Pipeline de procesamiento </w:t>
      </w:r>
      <w:proofErr w:type="spellStart"/>
      <w:r>
        <w:t>NanoString</w:t>
      </w:r>
      <w:bookmarkEnd w:id="125"/>
      <w:bookmarkEnd w:id="126"/>
      <w:proofErr w:type="spellEnd"/>
    </w:p>
    <w:p w14:paraId="7D33FCE5" w14:textId="77777777" w:rsidR="00097466" w:rsidRDefault="00000000">
      <w:pPr>
        <w:pStyle w:val="Ttulo3"/>
        <w:numPr>
          <w:ilvl w:val="2"/>
          <w:numId w:val="17"/>
        </w:numPr>
      </w:pPr>
      <w:r>
        <w:t xml:space="preserve">Control de calidad del ensayo </w:t>
      </w:r>
      <w:proofErr w:type="spellStart"/>
      <w:r>
        <w:t>NanoString</w:t>
      </w:r>
      <w:proofErr w:type="spellEnd"/>
    </w:p>
    <w:p w14:paraId="4E79CF28" w14:textId="77777777" w:rsidR="00097466" w:rsidRDefault="00000000">
      <w:pPr>
        <w:rPr>
          <w:b/>
          <w:bCs/>
        </w:rPr>
      </w:pPr>
      <w:r>
        <w:rPr>
          <w:b/>
          <w:bCs/>
        </w:rPr>
        <w:t>Controles negativos</w:t>
      </w:r>
    </w:p>
    <w:p w14:paraId="4C8907D5" w14:textId="09EE3795" w:rsidR="008D23B6" w:rsidRDefault="00000000" w:rsidP="00D536CD">
      <w:r>
        <w:t xml:space="preserve">Las sondas negativas (NEG_A a NEG_F) mostraron recuentos bajos y estables entre muestras, con valores medios que oscilaron entre 6,6 cuentas (NEG_D) y 26,4 cuentas (NEG_E). Estos valores confirmaron la ausencia de contaminación sistémica o hibridación inespecífica relevante en el ensayo. </w:t>
      </w:r>
    </w:p>
    <w:p w14:paraId="6B8B9586" w14:textId="77777777" w:rsidR="005D3858" w:rsidRDefault="00000000" w:rsidP="005D3858">
      <w:pPr>
        <w:keepNext/>
        <w:jc w:val="center"/>
      </w:pPr>
      <w:r>
        <w:rPr>
          <w:noProof/>
        </w:rPr>
        <w:drawing>
          <wp:inline distT="0" distB="0" distL="0" distR="0" wp14:anchorId="086F8379" wp14:editId="1BC4F760">
            <wp:extent cx="3200400" cy="1807535"/>
            <wp:effectExtent l="0" t="0" r="0" b="0"/>
            <wp:docPr id="4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7"/>
                    <a:srcRect/>
                    <a:stretch>
                      <a:fillRect/>
                    </a:stretch>
                  </pic:blipFill>
                  <pic:spPr>
                    <a:xfrm>
                      <a:off x="0" y="0"/>
                      <a:ext cx="3246121" cy="1833358"/>
                    </a:xfrm>
                    <a:prstGeom prst="rect">
                      <a:avLst/>
                    </a:prstGeom>
                    <a:ln/>
                  </pic:spPr>
                </pic:pic>
              </a:graphicData>
            </a:graphic>
          </wp:inline>
        </w:drawing>
      </w:r>
    </w:p>
    <w:p w14:paraId="0BFF2F35" w14:textId="6E52E8A7" w:rsidR="00097466" w:rsidRDefault="005D3858" w:rsidP="00C67F76">
      <w:pPr>
        <w:pStyle w:val="Descripcin"/>
      </w:pPr>
      <w:bookmarkStart w:id="127" w:name="_Toc230792277"/>
      <w:r>
        <w:t xml:space="preserve">Ilustración </w:t>
      </w:r>
      <w:fldSimple w:instr=" SEQ Ilustración \* ARABIC ">
        <w:r w:rsidR="00E76F9C">
          <w:rPr>
            <w:noProof/>
          </w:rPr>
          <w:t>4</w:t>
        </w:r>
      </w:fldSimple>
      <w:r>
        <w:t xml:space="preserve">. </w:t>
      </w:r>
      <w:r w:rsidRPr="00187BCE">
        <w:t>Recuentos medios de las sondas de control negativo (NEG_A–NEG_F)</w:t>
      </w:r>
      <w:bookmarkEnd w:id="127"/>
    </w:p>
    <w:p w14:paraId="659EE0A1" w14:textId="77777777" w:rsidR="00097466" w:rsidRDefault="00000000">
      <w:pPr>
        <w:rPr>
          <w:b/>
          <w:bCs/>
        </w:rPr>
      </w:pPr>
      <w:r>
        <w:rPr>
          <w:b/>
          <w:bCs/>
        </w:rPr>
        <w:lastRenderedPageBreak/>
        <w:t>Controles positivos</w:t>
      </w:r>
    </w:p>
    <w:p w14:paraId="09E3EABD" w14:textId="62F0DF96" w:rsidR="005D3858" w:rsidRDefault="00000000" w:rsidP="00D536CD">
      <w:r>
        <w:t xml:space="preserve">Los controles positivos (POS_A a POS_E), sondas de ADN sintético con concentraciones de 0,5 </w:t>
      </w:r>
      <w:proofErr w:type="spellStart"/>
      <w:r>
        <w:t>fM</w:t>
      </w:r>
      <w:proofErr w:type="spellEnd"/>
      <w:r>
        <w:t xml:space="preserve"> a 128 </w:t>
      </w:r>
      <w:proofErr w:type="spellStart"/>
      <w:r>
        <w:t>fM</w:t>
      </w:r>
      <w:proofErr w:type="spellEnd"/>
      <w:r>
        <w:t xml:space="preserve">, mostraron recuentos consistentes con la linealidad esperada del ensayo (POS_A: media = 62.075 cuentas; POS_F: media = 99,2 cuentas). </w:t>
      </w:r>
    </w:p>
    <w:p w14:paraId="77F2AEB2" w14:textId="77777777" w:rsidR="005D3858" w:rsidRDefault="00000000" w:rsidP="005D3858">
      <w:pPr>
        <w:keepNext/>
        <w:jc w:val="center"/>
      </w:pPr>
      <w:r>
        <w:rPr>
          <w:noProof/>
        </w:rPr>
        <w:drawing>
          <wp:inline distT="0" distB="0" distL="0" distR="0" wp14:anchorId="3781A386" wp14:editId="036B2D8A">
            <wp:extent cx="4394569" cy="2746800"/>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8"/>
                    <a:srcRect/>
                    <a:stretch>
                      <a:fillRect/>
                    </a:stretch>
                  </pic:blipFill>
                  <pic:spPr>
                    <a:xfrm>
                      <a:off x="0" y="0"/>
                      <a:ext cx="4394569" cy="2746800"/>
                    </a:xfrm>
                    <a:prstGeom prst="rect">
                      <a:avLst/>
                    </a:prstGeom>
                    <a:ln/>
                  </pic:spPr>
                </pic:pic>
              </a:graphicData>
            </a:graphic>
          </wp:inline>
        </w:drawing>
      </w:r>
    </w:p>
    <w:p w14:paraId="65D375D5" w14:textId="481AD578" w:rsidR="00097466" w:rsidRDefault="005D3858" w:rsidP="00C67F76">
      <w:pPr>
        <w:pStyle w:val="Descripcin"/>
      </w:pPr>
      <w:bookmarkStart w:id="128" w:name="_Toc230792278"/>
      <w:r>
        <w:t xml:space="preserve">Ilustración </w:t>
      </w:r>
      <w:fldSimple w:instr=" SEQ Ilustración \* ARABIC ">
        <w:r w:rsidR="00E76F9C">
          <w:rPr>
            <w:noProof/>
          </w:rPr>
          <w:t>5</w:t>
        </w:r>
      </w:fldSimple>
      <w:r>
        <w:t xml:space="preserve">. </w:t>
      </w:r>
      <w:r w:rsidRPr="00C748B8">
        <w:t>Linealidad de los controles positivos (escala log).</w:t>
      </w:r>
      <w:bookmarkEnd w:id="128"/>
    </w:p>
    <w:p w14:paraId="7E431E61" w14:textId="77777777" w:rsidR="00097466" w:rsidRDefault="00000000">
      <w:pPr>
        <w:rPr>
          <w:b/>
          <w:bCs/>
        </w:rPr>
      </w:pPr>
      <w:r>
        <w:rPr>
          <w:b/>
          <w:bCs/>
        </w:rPr>
        <w:t xml:space="preserve">Genes </w:t>
      </w:r>
      <w:proofErr w:type="spellStart"/>
      <w:r>
        <w:rPr>
          <w:b/>
          <w:bCs/>
        </w:rPr>
        <w:t>housekeeping</w:t>
      </w:r>
      <w:proofErr w:type="spellEnd"/>
      <w:r>
        <w:rPr>
          <w:b/>
          <w:bCs/>
        </w:rPr>
        <w:t xml:space="preserve"> y exclusión de muestras</w:t>
      </w:r>
    </w:p>
    <w:p w14:paraId="6FF16519" w14:textId="43E8B067" w:rsidR="00097466" w:rsidRDefault="00000000">
      <w:r>
        <w:t xml:space="preserve">Los cinco genes </w:t>
      </w:r>
      <w:proofErr w:type="spellStart"/>
      <w:r>
        <w:t>housekeeping</w:t>
      </w:r>
      <w:proofErr w:type="spellEnd"/>
      <w:r>
        <w:t xml:space="preserve"> evaluados (ALAS1, G6PD, HPRT1, POLR2A, TBP) presentaron coeficientes de variación (CV%) que oscilaron entre 54,9% (HPRT1) y 73,6% (POLR2A). Los elevados coeficientes de variación observados en los genes </w:t>
      </w:r>
      <w:proofErr w:type="spellStart"/>
      <w:r>
        <w:t>housekeeping</w:t>
      </w:r>
      <w:proofErr w:type="spellEnd"/>
      <w:r>
        <w:t xml:space="preserve"> (54,9–73,6%) son esperables en sangre periférica total de pacientes con LES, ya que esta muestra es una mezcla heterogénea de tipos celulares cuya composición varía marcadamente entre pacientes y condiciona la expresión absoluta de los genes de referencia. Este fenómeno no compromete la normalización, dado que el uso de la media geométrica de los cinco genes </w:t>
      </w:r>
      <w:proofErr w:type="spellStart"/>
      <w:r>
        <w:t>housekeeping</w:t>
      </w:r>
      <w:proofErr w:type="spellEnd"/>
      <w:r>
        <w:t xml:space="preserve"> amortigua la variabilidad individual de cada uno. </w:t>
      </w:r>
    </w:p>
    <w:tbl>
      <w:tblPr>
        <w:tblStyle w:val="af1"/>
        <w:tblW w:w="8485" w:type="dxa"/>
        <w:tblInd w:w="0" w:type="dxa"/>
        <w:tblLayout w:type="fixed"/>
        <w:tblLook w:val="0400" w:firstRow="0" w:lastRow="0" w:firstColumn="0" w:lastColumn="0" w:noHBand="0" w:noVBand="1"/>
      </w:tblPr>
      <w:tblGrid>
        <w:gridCol w:w="2122"/>
        <w:gridCol w:w="2121"/>
        <w:gridCol w:w="2121"/>
        <w:gridCol w:w="2121"/>
      </w:tblGrid>
      <w:tr w:rsidR="00097466" w14:paraId="4052332D" w14:textId="77777777">
        <w:trPr>
          <w:trHeight w:val="397"/>
        </w:trPr>
        <w:tc>
          <w:tcPr>
            <w:tcW w:w="2122"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1AC065A6" w14:textId="77777777" w:rsidR="00097466" w:rsidRDefault="00000000">
            <w:pPr>
              <w:spacing w:before="0" w:after="0" w:line="240" w:lineRule="auto"/>
              <w:jc w:val="left"/>
              <w:rPr>
                <w:b/>
                <w:bCs/>
                <w:color w:val="000000"/>
                <w:sz w:val="20"/>
                <w:szCs w:val="20"/>
              </w:rPr>
            </w:pPr>
            <w:r>
              <w:rPr>
                <w:b/>
                <w:bCs/>
                <w:color w:val="000000"/>
                <w:sz w:val="20"/>
                <w:szCs w:val="20"/>
              </w:rPr>
              <w:t>Gen</w:t>
            </w:r>
          </w:p>
        </w:tc>
        <w:tc>
          <w:tcPr>
            <w:tcW w:w="2121" w:type="dxa"/>
            <w:tcBorders>
              <w:top w:val="single" w:sz="8" w:space="0" w:color="DDDDDD"/>
              <w:left w:val="nil"/>
              <w:bottom w:val="single" w:sz="8" w:space="0" w:color="DDDDDD"/>
              <w:right w:val="single" w:sz="8" w:space="0" w:color="DDDDDD"/>
            </w:tcBorders>
            <w:shd w:val="clear" w:color="auto" w:fill="F2F2F2"/>
            <w:vAlign w:val="center"/>
          </w:tcPr>
          <w:p w14:paraId="620844A1" w14:textId="77777777" w:rsidR="00097466" w:rsidRDefault="00000000">
            <w:pPr>
              <w:spacing w:before="0" w:after="0" w:line="240" w:lineRule="auto"/>
              <w:jc w:val="left"/>
              <w:rPr>
                <w:b/>
                <w:bCs/>
                <w:color w:val="000000"/>
                <w:sz w:val="20"/>
                <w:szCs w:val="20"/>
              </w:rPr>
            </w:pPr>
            <w:r>
              <w:rPr>
                <w:b/>
                <w:bCs/>
                <w:color w:val="000000"/>
                <w:sz w:val="20"/>
                <w:szCs w:val="20"/>
              </w:rPr>
              <w:t>Media</w:t>
            </w:r>
          </w:p>
        </w:tc>
        <w:tc>
          <w:tcPr>
            <w:tcW w:w="2121" w:type="dxa"/>
            <w:tcBorders>
              <w:top w:val="single" w:sz="8" w:space="0" w:color="DDDDDD"/>
              <w:left w:val="nil"/>
              <w:bottom w:val="single" w:sz="8" w:space="0" w:color="DDDDDD"/>
              <w:right w:val="single" w:sz="8" w:space="0" w:color="DDDDDD"/>
            </w:tcBorders>
            <w:shd w:val="clear" w:color="auto" w:fill="F2F2F2"/>
            <w:vAlign w:val="center"/>
          </w:tcPr>
          <w:p w14:paraId="723DBE96" w14:textId="77777777" w:rsidR="00097466" w:rsidRDefault="00000000">
            <w:pPr>
              <w:spacing w:before="0" w:after="0" w:line="240" w:lineRule="auto"/>
              <w:jc w:val="left"/>
              <w:rPr>
                <w:b/>
                <w:bCs/>
                <w:color w:val="000000"/>
                <w:sz w:val="20"/>
                <w:szCs w:val="20"/>
              </w:rPr>
            </w:pPr>
            <w:r>
              <w:rPr>
                <w:b/>
                <w:bCs/>
                <w:color w:val="000000"/>
                <w:sz w:val="20"/>
                <w:szCs w:val="20"/>
              </w:rPr>
              <w:t>DE</w:t>
            </w:r>
          </w:p>
        </w:tc>
        <w:tc>
          <w:tcPr>
            <w:tcW w:w="2121" w:type="dxa"/>
            <w:tcBorders>
              <w:top w:val="single" w:sz="8" w:space="0" w:color="DDDDDD"/>
              <w:left w:val="nil"/>
              <w:bottom w:val="single" w:sz="8" w:space="0" w:color="DDDDDD"/>
              <w:right w:val="single" w:sz="8" w:space="0" w:color="DDDDDD"/>
            </w:tcBorders>
            <w:shd w:val="clear" w:color="auto" w:fill="F2F2F2"/>
            <w:vAlign w:val="center"/>
          </w:tcPr>
          <w:p w14:paraId="45C56220" w14:textId="77777777" w:rsidR="00097466" w:rsidRDefault="00000000">
            <w:pPr>
              <w:spacing w:before="0" w:after="0" w:line="240" w:lineRule="auto"/>
              <w:jc w:val="left"/>
              <w:rPr>
                <w:b/>
                <w:bCs/>
                <w:color w:val="000000"/>
                <w:sz w:val="20"/>
                <w:szCs w:val="20"/>
              </w:rPr>
            </w:pPr>
            <w:r>
              <w:rPr>
                <w:b/>
                <w:bCs/>
                <w:color w:val="000000"/>
                <w:sz w:val="20"/>
                <w:szCs w:val="20"/>
              </w:rPr>
              <w:t>CV (%)</w:t>
            </w:r>
          </w:p>
        </w:tc>
      </w:tr>
      <w:tr w:rsidR="00097466" w14:paraId="487B3D84" w14:textId="77777777">
        <w:trPr>
          <w:trHeight w:val="397"/>
        </w:trPr>
        <w:tc>
          <w:tcPr>
            <w:tcW w:w="2122" w:type="dxa"/>
            <w:tcBorders>
              <w:top w:val="nil"/>
              <w:left w:val="single" w:sz="8" w:space="0" w:color="DDDDDD"/>
              <w:bottom w:val="single" w:sz="8" w:space="0" w:color="DDDDDD"/>
              <w:right w:val="single" w:sz="8" w:space="0" w:color="DDDDDD"/>
            </w:tcBorders>
            <w:shd w:val="clear" w:color="auto" w:fill="auto"/>
            <w:vAlign w:val="center"/>
          </w:tcPr>
          <w:p w14:paraId="2C821F1D" w14:textId="77777777" w:rsidR="00097466" w:rsidRDefault="00000000">
            <w:pPr>
              <w:spacing w:before="0" w:after="0" w:line="240" w:lineRule="auto"/>
              <w:jc w:val="left"/>
              <w:rPr>
                <w:color w:val="000000"/>
                <w:sz w:val="20"/>
                <w:szCs w:val="20"/>
              </w:rPr>
            </w:pPr>
            <w:r>
              <w:rPr>
                <w:color w:val="000000"/>
                <w:sz w:val="20"/>
                <w:szCs w:val="20"/>
              </w:rPr>
              <w:t>HPRT1</w:t>
            </w:r>
          </w:p>
        </w:tc>
        <w:tc>
          <w:tcPr>
            <w:tcW w:w="2121" w:type="dxa"/>
            <w:tcBorders>
              <w:top w:val="nil"/>
              <w:left w:val="nil"/>
              <w:bottom w:val="single" w:sz="8" w:space="0" w:color="DDDDDD"/>
              <w:right w:val="single" w:sz="8" w:space="0" w:color="DDDDDD"/>
            </w:tcBorders>
            <w:shd w:val="clear" w:color="auto" w:fill="auto"/>
            <w:vAlign w:val="center"/>
          </w:tcPr>
          <w:p w14:paraId="16F0663E" w14:textId="77777777" w:rsidR="00097466" w:rsidRDefault="00000000">
            <w:pPr>
              <w:spacing w:before="0" w:after="0" w:line="240" w:lineRule="auto"/>
              <w:jc w:val="left"/>
              <w:rPr>
                <w:color w:val="000000"/>
                <w:sz w:val="20"/>
                <w:szCs w:val="20"/>
              </w:rPr>
            </w:pPr>
            <w:r>
              <w:rPr>
                <w:color w:val="000000"/>
                <w:sz w:val="20"/>
                <w:szCs w:val="20"/>
              </w:rPr>
              <w:t>727,7</w:t>
            </w:r>
          </w:p>
        </w:tc>
        <w:tc>
          <w:tcPr>
            <w:tcW w:w="2121" w:type="dxa"/>
            <w:tcBorders>
              <w:top w:val="nil"/>
              <w:left w:val="nil"/>
              <w:bottom w:val="single" w:sz="8" w:space="0" w:color="DDDDDD"/>
              <w:right w:val="single" w:sz="8" w:space="0" w:color="DDDDDD"/>
            </w:tcBorders>
            <w:shd w:val="clear" w:color="auto" w:fill="auto"/>
            <w:vAlign w:val="center"/>
          </w:tcPr>
          <w:p w14:paraId="1F8F0FAC" w14:textId="77777777" w:rsidR="00097466" w:rsidRDefault="00000000">
            <w:pPr>
              <w:spacing w:before="0" w:after="0" w:line="240" w:lineRule="auto"/>
              <w:jc w:val="left"/>
              <w:rPr>
                <w:color w:val="000000"/>
                <w:sz w:val="20"/>
                <w:szCs w:val="20"/>
              </w:rPr>
            </w:pPr>
            <w:r>
              <w:rPr>
                <w:color w:val="000000"/>
                <w:sz w:val="20"/>
                <w:szCs w:val="20"/>
              </w:rPr>
              <w:t>399,7</w:t>
            </w:r>
          </w:p>
        </w:tc>
        <w:tc>
          <w:tcPr>
            <w:tcW w:w="2121" w:type="dxa"/>
            <w:tcBorders>
              <w:top w:val="nil"/>
              <w:left w:val="nil"/>
              <w:bottom w:val="single" w:sz="8" w:space="0" w:color="DDDDDD"/>
              <w:right w:val="single" w:sz="8" w:space="0" w:color="DDDDDD"/>
            </w:tcBorders>
            <w:shd w:val="clear" w:color="auto" w:fill="auto"/>
            <w:vAlign w:val="center"/>
          </w:tcPr>
          <w:p w14:paraId="4E590756" w14:textId="77777777" w:rsidR="00097466" w:rsidRDefault="00000000">
            <w:pPr>
              <w:spacing w:before="0" w:after="0" w:line="240" w:lineRule="auto"/>
              <w:jc w:val="left"/>
              <w:rPr>
                <w:color w:val="000000"/>
                <w:sz w:val="20"/>
                <w:szCs w:val="20"/>
              </w:rPr>
            </w:pPr>
            <w:r>
              <w:rPr>
                <w:color w:val="000000"/>
                <w:sz w:val="20"/>
                <w:szCs w:val="20"/>
              </w:rPr>
              <w:t>54,9</w:t>
            </w:r>
          </w:p>
        </w:tc>
      </w:tr>
      <w:tr w:rsidR="00097466" w14:paraId="736042A3" w14:textId="77777777">
        <w:trPr>
          <w:trHeight w:val="397"/>
        </w:trPr>
        <w:tc>
          <w:tcPr>
            <w:tcW w:w="2122" w:type="dxa"/>
            <w:tcBorders>
              <w:top w:val="nil"/>
              <w:left w:val="single" w:sz="8" w:space="0" w:color="DDDDDD"/>
              <w:bottom w:val="single" w:sz="8" w:space="0" w:color="DDDDDD"/>
              <w:right w:val="single" w:sz="8" w:space="0" w:color="DDDDDD"/>
            </w:tcBorders>
            <w:shd w:val="clear" w:color="auto" w:fill="auto"/>
            <w:vAlign w:val="center"/>
          </w:tcPr>
          <w:p w14:paraId="3AF3D189" w14:textId="77777777" w:rsidR="00097466" w:rsidRDefault="00000000">
            <w:pPr>
              <w:spacing w:before="0" w:after="0" w:line="240" w:lineRule="auto"/>
              <w:jc w:val="left"/>
              <w:rPr>
                <w:color w:val="000000"/>
                <w:sz w:val="20"/>
                <w:szCs w:val="20"/>
              </w:rPr>
            </w:pPr>
            <w:r>
              <w:rPr>
                <w:color w:val="000000"/>
                <w:sz w:val="20"/>
                <w:szCs w:val="20"/>
              </w:rPr>
              <w:t>ALAS1</w:t>
            </w:r>
          </w:p>
        </w:tc>
        <w:tc>
          <w:tcPr>
            <w:tcW w:w="2121" w:type="dxa"/>
            <w:tcBorders>
              <w:top w:val="nil"/>
              <w:left w:val="nil"/>
              <w:bottom w:val="single" w:sz="8" w:space="0" w:color="DDDDDD"/>
              <w:right w:val="single" w:sz="8" w:space="0" w:color="DDDDDD"/>
            </w:tcBorders>
            <w:shd w:val="clear" w:color="auto" w:fill="auto"/>
            <w:vAlign w:val="center"/>
          </w:tcPr>
          <w:p w14:paraId="36BA53C8" w14:textId="77777777" w:rsidR="00097466" w:rsidRDefault="00000000">
            <w:pPr>
              <w:spacing w:before="0" w:after="0" w:line="240" w:lineRule="auto"/>
              <w:jc w:val="left"/>
              <w:rPr>
                <w:color w:val="000000"/>
                <w:sz w:val="20"/>
                <w:szCs w:val="20"/>
              </w:rPr>
            </w:pPr>
            <w:r>
              <w:rPr>
                <w:color w:val="000000"/>
                <w:sz w:val="20"/>
                <w:szCs w:val="20"/>
              </w:rPr>
              <w:t>724,2</w:t>
            </w:r>
          </w:p>
        </w:tc>
        <w:tc>
          <w:tcPr>
            <w:tcW w:w="2121" w:type="dxa"/>
            <w:tcBorders>
              <w:top w:val="nil"/>
              <w:left w:val="nil"/>
              <w:bottom w:val="single" w:sz="8" w:space="0" w:color="DDDDDD"/>
              <w:right w:val="single" w:sz="8" w:space="0" w:color="DDDDDD"/>
            </w:tcBorders>
            <w:shd w:val="clear" w:color="auto" w:fill="auto"/>
            <w:vAlign w:val="center"/>
          </w:tcPr>
          <w:p w14:paraId="252CDF6C" w14:textId="77777777" w:rsidR="00097466" w:rsidRDefault="00000000">
            <w:pPr>
              <w:spacing w:before="0" w:after="0" w:line="240" w:lineRule="auto"/>
              <w:jc w:val="left"/>
              <w:rPr>
                <w:color w:val="000000"/>
                <w:sz w:val="20"/>
                <w:szCs w:val="20"/>
              </w:rPr>
            </w:pPr>
            <w:r>
              <w:rPr>
                <w:color w:val="000000"/>
                <w:sz w:val="20"/>
                <w:szCs w:val="20"/>
              </w:rPr>
              <w:t>459,1</w:t>
            </w:r>
          </w:p>
        </w:tc>
        <w:tc>
          <w:tcPr>
            <w:tcW w:w="2121" w:type="dxa"/>
            <w:tcBorders>
              <w:top w:val="nil"/>
              <w:left w:val="nil"/>
              <w:bottom w:val="single" w:sz="8" w:space="0" w:color="DDDDDD"/>
              <w:right w:val="single" w:sz="8" w:space="0" w:color="DDDDDD"/>
            </w:tcBorders>
            <w:shd w:val="clear" w:color="auto" w:fill="auto"/>
            <w:vAlign w:val="center"/>
          </w:tcPr>
          <w:p w14:paraId="4583FBD0" w14:textId="77777777" w:rsidR="00097466" w:rsidRDefault="00000000">
            <w:pPr>
              <w:spacing w:before="0" w:after="0" w:line="240" w:lineRule="auto"/>
              <w:jc w:val="left"/>
              <w:rPr>
                <w:color w:val="000000"/>
                <w:sz w:val="20"/>
                <w:szCs w:val="20"/>
              </w:rPr>
            </w:pPr>
            <w:r>
              <w:rPr>
                <w:color w:val="000000"/>
                <w:sz w:val="20"/>
                <w:szCs w:val="20"/>
              </w:rPr>
              <w:t>63,4</w:t>
            </w:r>
          </w:p>
        </w:tc>
      </w:tr>
      <w:tr w:rsidR="00097466" w14:paraId="54CFC495" w14:textId="77777777">
        <w:trPr>
          <w:trHeight w:val="397"/>
        </w:trPr>
        <w:tc>
          <w:tcPr>
            <w:tcW w:w="2122" w:type="dxa"/>
            <w:tcBorders>
              <w:top w:val="nil"/>
              <w:left w:val="single" w:sz="8" w:space="0" w:color="DDDDDD"/>
              <w:bottom w:val="single" w:sz="8" w:space="0" w:color="DDDDDD"/>
              <w:right w:val="single" w:sz="8" w:space="0" w:color="DDDDDD"/>
            </w:tcBorders>
            <w:shd w:val="clear" w:color="auto" w:fill="auto"/>
            <w:vAlign w:val="center"/>
          </w:tcPr>
          <w:p w14:paraId="4EE94C84" w14:textId="77777777" w:rsidR="00097466" w:rsidRDefault="00000000">
            <w:pPr>
              <w:spacing w:before="0" w:after="0" w:line="240" w:lineRule="auto"/>
              <w:jc w:val="left"/>
              <w:rPr>
                <w:color w:val="000000"/>
                <w:sz w:val="20"/>
                <w:szCs w:val="20"/>
              </w:rPr>
            </w:pPr>
            <w:r>
              <w:rPr>
                <w:color w:val="000000"/>
                <w:sz w:val="20"/>
                <w:szCs w:val="20"/>
              </w:rPr>
              <w:t>G6PD</w:t>
            </w:r>
          </w:p>
        </w:tc>
        <w:tc>
          <w:tcPr>
            <w:tcW w:w="2121" w:type="dxa"/>
            <w:tcBorders>
              <w:top w:val="nil"/>
              <w:left w:val="nil"/>
              <w:bottom w:val="single" w:sz="8" w:space="0" w:color="DDDDDD"/>
              <w:right w:val="single" w:sz="8" w:space="0" w:color="DDDDDD"/>
            </w:tcBorders>
            <w:shd w:val="clear" w:color="auto" w:fill="auto"/>
            <w:vAlign w:val="center"/>
          </w:tcPr>
          <w:p w14:paraId="672953F8" w14:textId="77777777" w:rsidR="00097466" w:rsidRDefault="00000000">
            <w:pPr>
              <w:spacing w:before="0" w:after="0" w:line="240" w:lineRule="auto"/>
              <w:jc w:val="left"/>
              <w:rPr>
                <w:color w:val="000000"/>
                <w:sz w:val="20"/>
                <w:szCs w:val="20"/>
              </w:rPr>
            </w:pPr>
            <w:r>
              <w:rPr>
                <w:color w:val="000000"/>
                <w:sz w:val="20"/>
                <w:szCs w:val="20"/>
              </w:rPr>
              <w:t>2.151,20</w:t>
            </w:r>
          </w:p>
        </w:tc>
        <w:tc>
          <w:tcPr>
            <w:tcW w:w="2121" w:type="dxa"/>
            <w:tcBorders>
              <w:top w:val="nil"/>
              <w:left w:val="nil"/>
              <w:bottom w:val="single" w:sz="8" w:space="0" w:color="DDDDDD"/>
              <w:right w:val="single" w:sz="8" w:space="0" w:color="DDDDDD"/>
            </w:tcBorders>
            <w:shd w:val="clear" w:color="auto" w:fill="auto"/>
            <w:vAlign w:val="center"/>
          </w:tcPr>
          <w:p w14:paraId="37874023" w14:textId="77777777" w:rsidR="00097466" w:rsidRDefault="00000000">
            <w:pPr>
              <w:spacing w:before="0" w:after="0" w:line="240" w:lineRule="auto"/>
              <w:jc w:val="left"/>
              <w:rPr>
                <w:color w:val="000000"/>
                <w:sz w:val="20"/>
                <w:szCs w:val="20"/>
              </w:rPr>
            </w:pPr>
            <w:r>
              <w:rPr>
                <w:color w:val="000000"/>
                <w:sz w:val="20"/>
                <w:szCs w:val="20"/>
              </w:rPr>
              <w:t>1.404,70</w:t>
            </w:r>
          </w:p>
        </w:tc>
        <w:tc>
          <w:tcPr>
            <w:tcW w:w="2121" w:type="dxa"/>
            <w:tcBorders>
              <w:top w:val="nil"/>
              <w:left w:val="nil"/>
              <w:bottom w:val="single" w:sz="8" w:space="0" w:color="DDDDDD"/>
              <w:right w:val="single" w:sz="8" w:space="0" w:color="DDDDDD"/>
            </w:tcBorders>
            <w:shd w:val="clear" w:color="auto" w:fill="auto"/>
            <w:vAlign w:val="center"/>
          </w:tcPr>
          <w:p w14:paraId="5AB45FE5" w14:textId="77777777" w:rsidR="00097466" w:rsidRDefault="00000000">
            <w:pPr>
              <w:spacing w:before="0" w:after="0" w:line="240" w:lineRule="auto"/>
              <w:jc w:val="left"/>
              <w:rPr>
                <w:color w:val="000000"/>
                <w:sz w:val="20"/>
                <w:szCs w:val="20"/>
              </w:rPr>
            </w:pPr>
            <w:r>
              <w:rPr>
                <w:color w:val="000000"/>
                <w:sz w:val="20"/>
                <w:szCs w:val="20"/>
              </w:rPr>
              <w:t>65,3</w:t>
            </w:r>
          </w:p>
        </w:tc>
      </w:tr>
      <w:tr w:rsidR="00097466" w14:paraId="571A9D40" w14:textId="77777777">
        <w:trPr>
          <w:trHeight w:val="397"/>
        </w:trPr>
        <w:tc>
          <w:tcPr>
            <w:tcW w:w="2122" w:type="dxa"/>
            <w:tcBorders>
              <w:top w:val="nil"/>
              <w:left w:val="single" w:sz="8" w:space="0" w:color="DDDDDD"/>
              <w:bottom w:val="single" w:sz="8" w:space="0" w:color="DDDDDD"/>
              <w:right w:val="single" w:sz="8" w:space="0" w:color="DDDDDD"/>
            </w:tcBorders>
            <w:shd w:val="clear" w:color="auto" w:fill="auto"/>
            <w:vAlign w:val="center"/>
          </w:tcPr>
          <w:p w14:paraId="41B573A7" w14:textId="77777777" w:rsidR="00097466" w:rsidRDefault="00000000">
            <w:pPr>
              <w:spacing w:before="0" w:after="0" w:line="240" w:lineRule="auto"/>
              <w:jc w:val="left"/>
              <w:rPr>
                <w:color w:val="000000"/>
                <w:sz w:val="20"/>
                <w:szCs w:val="20"/>
              </w:rPr>
            </w:pPr>
            <w:r>
              <w:rPr>
                <w:color w:val="000000"/>
                <w:sz w:val="20"/>
                <w:szCs w:val="20"/>
              </w:rPr>
              <w:t>TBP</w:t>
            </w:r>
          </w:p>
        </w:tc>
        <w:tc>
          <w:tcPr>
            <w:tcW w:w="2121" w:type="dxa"/>
            <w:tcBorders>
              <w:top w:val="nil"/>
              <w:left w:val="nil"/>
              <w:bottom w:val="single" w:sz="8" w:space="0" w:color="DDDDDD"/>
              <w:right w:val="single" w:sz="8" w:space="0" w:color="DDDDDD"/>
            </w:tcBorders>
            <w:shd w:val="clear" w:color="auto" w:fill="auto"/>
            <w:vAlign w:val="center"/>
          </w:tcPr>
          <w:p w14:paraId="69229A3E" w14:textId="77777777" w:rsidR="00097466" w:rsidRDefault="00000000">
            <w:pPr>
              <w:spacing w:before="0" w:after="0" w:line="240" w:lineRule="auto"/>
              <w:jc w:val="left"/>
              <w:rPr>
                <w:color w:val="000000"/>
                <w:sz w:val="20"/>
                <w:szCs w:val="20"/>
              </w:rPr>
            </w:pPr>
            <w:r>
              <w:rPr>
                <w:color w:val="000000"/>
                <w:sz w:val="20"/>
                <w:szCs w:val="20"/>
              </w:rPr>
              <w:t>548,7</w:t>
            </w:r>
          </w:p>
        </w:tc>
        <w:tc>
          <w:tcPr>
            <w:tcW w:w="2121" w:type="dxa"/>
            <w:tcBorders>
              <w:top w:val="nil"/>
              <w:left w:val="nil"/>
              <w:bottom w:val="single" w:sz="8" w:space="0" w:color="DDDDDD"/>
              <w:right w:val="single" w:sz="8" w:space="0" w:color="DDDDDD"/>
            </w:tcBorders>
            <w:shd w:val="clear" w:color="auto" w:fill="auto"/>
            <w:vAlign w:val="center"/>
          </w:tcPr>
          <w:p w14:paraId="6F842EC9" w14:textId="77777777" w:rsidR="00097466" w:rsidRDefault="00000000">
            <w:pPr>
              <w:spacing w:before="0" w:after="0" w:line="240" w:lineRule="auto"/>
              <w:jc w:val="left"/>
              <w:rPr>
                <w:color w:val="000000"/>
                <w:sz w:val="20"/>
                <w:szCs w:val="20"/>
              </w:rPr>
            </w:pPr>
            <w:r>
              <w:rPr>
                <w:color w:val="000000"/>
                <w:sz w:val="20"/>
                <w:szCs w:val="20"/>
              </w:rPr>
              <w:t>365,1</w:t>
            </w:r>
          </w:p>
        </w:tc>
        <w:tc>
          <w:tcPr>
            <w:tcW w:w="2121" w:type="dxa"/>
            <w:tcBorders>
              <w:top w:val="nil"/>
              <w:left w:val="nil"/>
              <w:bottom w:val="single" w:sz="8" w:space="0" w:color="DDDDDD"/>
              <w:right w:val="single" w:sz="8" w:space="0" w:color="DDDDDD"/>
            </w:tcBorders>
            <w:shd w:val="clear" w:color="auto" w:fill="auto"/>
            <w:vAlign w:val="center"/>
          </w:tcPr>
          <w:p w14:paraId="3D03D54C" w14:textId="77777777" w:rsidR="00097466" w:rsidRDefault="00000000">
            <w:pPr>
              <w:spacing w:before="0" w:after="0" w:line="240" w:lineRule="auto"/>
              <w:jc w:val="left"/>
              <w:rPr>
                <w:color w:val="000000"/>
                <w:sz w:val="20"/>
                <w:szCs w:val="20"/>
              </w:rPr>
            </w:pPr>
            <w:r>
              <w:rPr>
                <w:color w:val="000000"/>
                <w:sz w:val="20"/>
                <w:szCs w:val="20"/>
              </w:rPr>
              <w:t>66,5</w:t>
            </w:r>
          </w:p>
        </w:tc>
      </w:tr>
      <w:tr w:rsidR="00097466" w14:paraId="6C22EAF7" w14:textId="77777777">
        <w:trPr>
          <w:trHeight w:val="397"/>
        </w:trPr>
        <w:tc>
          <w:tcPr>
            <w:tcW w:w="2122" w:type="dxa"/>
            <w:tcBorders>
              <w:top w:val="nil"/>
              <w:left w:val="single" w:sz="8" w:space="0" w:color="DDDDDD"/>
              <w:bottom w:val="single" w:sz="8" w:space="0" w:color="DDDDDD"/>
              <w:right w:val="single" w:sz="8" w:space="0" w:color="DDDDDD"/>
            </w:tcBorders>
            <w:shd w:val="clear" w:color="auto" w:fill="auto"/>
            <w:vAlign w:val="center"/>
          </w:tcPr>
          <w:p w14:paraId="330F7585" w14:textId="77777777" w:rsidR="00097466" w:rsidRDefault="00000000">
            <w:pPr>
              <w:spacing w:before="0" w:after="0" w:line="240" w:lineRule="auto"/>
              <w:jc w:val="left"/>
              <w:rPr>
                <w:color w:val="000000"/>
                <w:sz w:val="20"/>
                <w:szCs w:val="20"/>
              </w:rPr>
            </w:pPr>
            <w:r>
              <w:rPr>
                <w:color w:val="000000"/>
                <w:sz w:val="20"/>
                <w:szCs w:val="20"/>
              </w:rPr>
              <w:t>POLR2A</w:t>
            </w:r>
          </w:p>
        </w:tc>
        <w:tc>
          <w:tcPr>
            <w:tcW w:w="2121" w:type="dxa"/>
            <w:tcBorders>
              <w:top w:val="nil"/>
              <w:left w:val="nil"/>
              <w:bottom w:val="single" w:sz="8" w:space="0" w:color="DDDDDD"/>
              <w:right w:val="single" w:sz="8" w:space="0" w:color="DDDDDD"/>
            </w:tcBorders>
            <w:shd w:val="clear" w:color="auto" w:fill="auto"/>
            <w:vAlign w:val="center"/>
          </w:tcPr>
          <w:p w14:paraId="731C3DEA" w14:textId="77777777" w:rsidR="00097466" w:rsidRDefault="00000000">
            <w:pPr>
              <w:spacing w:before="0" w:after="0" w:line="240" w:lineRule="auto"/>
              <w:jc w:val="left"/>
              <w:rPr>
                <w:color w:val="000000"/>
                <w:sz w:val="20"/>
                <w:szCs w:val="20"/>
              </w:rPr>
            </w:pPr>
            <w:r>
              <w:rPr>
                <w:color w:val="000000"/>
                <w:sz w:val="20"/>
                <w:szCs w:val="20"/>
              </w:rPr>
              <w:t>1.902,90</w:t>
            </w:r>
          </w:p>
        </w:tc>
        <w:tc>
          <w:tcPr>
            <w:tcW w:w="2121" w:type="dxa"/>
            <w:tcBorders>
              <w:top w:val="nil"/>
              <w:left w:val="nil"/>
              <w:bottom w:val="single" w:sz="8" w:space="0" w:color="DDDDDD"/>
              <w:right w:val="single" w:sz="8" w:space="0" w:color="DDDDDD"/>
            </w:tcBorders>
            <w:shd w:val="clear" w:color="auto" w:fill="auto"/>
            <w:vAlign w:val="center"/>
          </w:tcPr>
          <w:p w14:paraId="1D80289B" w14:textId="77777777" w:rsidR="00097466" w:rsidRDefault="00000000">
            <w:pPr>
              <w:spacing w:before="0" w:after="0" w:line="240" w:lineRule="auto"/>
              <w:jc w:val="left"/>
              <w:rPr>
                <w:color w:val="000000"/>
                <w:sz w:val="20"/>
                <w:szCs w:val="20"/>
              </w:rPr>
            </w:pPr>
            <w:r>
              <w:rPr>
                <w:color w:val="000000"/>
                <w:sz w:val="20"/>
                <w:szCs w:val="20"/>
              </w:rPr>
              <w:t>1.400,20</w:t>
            </w:r>
          </w:p>
        </w:tc>
        <w:tc>
          <w:tcPr>
            <w:tcW w:w="2121" w:type="dxa"/>
            <w:tcBorders>
              <w:top w:val="nil"/>
              <w:left w:val="nil"/>
              <w:bottom w:val="single" w:sz="8" w:space="0" w:color="DDDDDD"/>
              <w:right w:val="single" w:sz="8" w:space="0" w:color="DDDDDD"/>
            </w:tcBorders>
            <w:shd w:val="clear" w:color="auto" w:fill="auto"/>
            <w:vAlign w:val="center"/>
          </w:tcPr>
          <w:p w14:paraId="58A279AE" w14:textId="77777777" w:rsidR="00097466" w:rsidRDefault="00000000" w:rsidP="005D3858">
            <w:pPr>
              <w:keepNext/>
              <w:spacing w:before="0" w:after="0" w:line="240" w:lineRule="auto"/>
              <w:jc w:val="left"/>
              <w:rPr>
                <w:color w:val="000000"/>
                <w:sz w:val="20"/>
                <w:szCs w:val="20"/>
              </w:rPr>
            </w:pPr>
            <w:r>
              <w:rPr>
                <w:color w:val="000000"/>
                <w:sz w:val="20"/>
                <w:szCs w:val="20"/>
              </w:rPr>
              <w:t>73,6</w:t>
            </w:r>
          </w:p>
        </w:tc>
      </w:tr>
    </w:tbl>
    <w:p w14:paraId="565CA61A" w14:textId="5FD1DF2D" w:rsidR="005D3858" w:rsidRDefault="005D3858" w:rsidP="00C67F76">
      <w:pPr>
        <w:pStyle w:val="Descripcin"/>
      </w:pPr>
      <w:bookmarkStart w:id="129" w:name="_Toc230792252"/>
      <w:r>
        <w:t xml:space="preserve">Tabla </w:t>
      </w:r>
      <w:fldSimple w:instr=" SEQ Tabla \* ARABIC ">
        <w:r w:rsidR="00716AEA">
          <w:rPr>
            <w:noProof/>
          </w:rPr>
          <w:t>17</w:t>
        </w:r>
      </w:fldSimple>
      <w:r>
        <w:t xml:space="preserve">. </w:t>
      </w:r>
      <w:r w:rsidRPr="00CC0AE7">
        <w:t xml:space="preserve">Coeficiente de variación (CV%) de los genes </w:t>
      </w:r>
      <w:proofErr w:type="spellStart"/>
      <w:r w:rsidRPr="00CC0AE7">
        <w:t>housekeeping</w:t>
      </w:r>
      <w:bookmarkEnd w:id="129"/>
      <w:proofErr w:type="spellEnd"/>
    </w:p>
    <w:p w14:paraId="2989DB25" w14:textId="77777777" w:rsidR="00097466" w:rsidRDefault="00000000">
      <w:pPr>
        <w:pStyle w:val="Ttulo3"/>
        <w:numPr>
          <w:ilvl w:val="2"/>
          <w:numId w:val="17"/>
        </w:numPr>
      </w:pPr>
      <w:r>
        <w:lastRenderedPageBreak/>
        <w:t>Normalización de la expresión génica</w:t>
      </w:r>
    </w:p>
    <w:p w14:paraId="28A8F5DB" w14:textId="77777777" w:rsidR="00097466" w:rsidRDefault="00000000">
      <w:r>
        <w:t xml:space="preserve">La normalización de los datos de expresión se realizó mediante un proceso secuencial de tres etapas, siguiendo el protocolo estándar de </w:t>
      </w:r>
      <w:proofErr w:type="spellStart"/>
      <w:r>
        <w:t>NanoString</w:t>
      </w:r>
      <w:proofErr w:type="spellEnd"/>
      <w:r>
        <w:t xml:space="preserve"> Technologies.</w:t>
      </w:r>
    </w:p>
    <w:p w14:paraId="74EC9D1C" w14:textId="77777777" w:rsidR="00097466" w:rsidRDefault="00000000">
      <w:r>
        <w:t xml:space="preserve">En primer lugar, se aplicó una corrección de </w:t>
      </w:r>
      <w:proofErr w:type="spellStart"/>
      <w:r>
        <w:t>background</w:t>
      </w:r>
      <w:proofErr w:type="spellEnd"/>
      <w:r>
        <w:t xml:space="preserve"> (</w:t>
      </w:r>
      <w:proofErr w:type="spellStart"/>
      <w:r>
        <w:t>background</w:t>
      </w:r>
      <w:proofErr w:type="spellEnd"/>
      <w:r>
        <w:t xml:space="preserve"> </w:t>
      </w:r>
      <w:proofErr w:type="spellStart"/>
      <w:r>
        <w:t>thresholding</w:t>
      </w:r>
      <w:proofErr w:type="spellEnd"/>
      <w:r>
        <w:t xml:space="preserve">): todos los recuentos por debajo del umbral individualizado (media + 2 DE </w:t>
      </w:r>
      <w:proofErr w:type="spellStart"/>
      <w:r>
        <w:t>de</w:t>
      </w:r>
      <w:proofErr w:type="spellEnd"/>
      <w:r>
        <w:t xml:space="preserve"> las sondas negativas) fueron igualados a dicho umbral. El umbral de </w:t>
      </w:r>
      <w:proofErr w:type="spellStart"/>
      <w:r>
        <w:t>background</w:t>
      </w:r>
      <w:proofErr w:type="spellEnd"/>
      <w:r>
        <w:t xml:space="preserve"> individualizado por muestra (media + 2 DE </w:t>
      </w:r>
      <w:proofErr w:type="spellStart"/>
      <w:r>
        <w:t>de</w:t>
      </w:r>
      <w:proofErr w:type="spellEnd"/>
      <w:r>
        <w:t xml:space="preserve"> las sondas negativas) presentó un valor medio de 31,35 cuentas (rango: 4,6–87,6). Esta corrección afectó a 296 recuentos de un total de 19.872 (1,49% del total), lo que confirmó la baja proporción de señal comprometida en la matriz de expresión. </w:t>
      </w:r>
    </w:p>
    <w:p w14:paraId="3454311C" w14:textId="77777777" w:rsidR="00097466" w:rsidRDefault="00000000">
      <w:r>
        <w:t xml:space="preserve">A continuación, se aplicó la normalización técnica mediante la media geométrica de los controles positivos (POS_A a POS_E). Se excluyó POS_F de la normalización técnica por representar la concentración más baja del gradiente (0,125 </w:t>
      </w:r>
      <w:proofErr w:type="spellStart"/>
      <w:r>
        <w:t>fM</w:t>
      </w:r>
      <w:proofErr w:type="spellEnd"/>
      <w:r>
        <w:t xml:space="preserve">), que puede aproximarse al ruido de fondo y comprometer la estimación de la media geométrica. La normalización por controles positivos para las muestras se situó en el rango 0,501–2,624, dentro del intervalo de aceptabilidad establecido por </w:t>
      </w:r>
      <w:proofErr w:type="spellStart"/>
      <w:r>
        <w:t>NanoString</w:t>
      </w:r>
      <w:proofErr w:type="spellEnd"/>
      <w:r>
        <w:t xml:space="preserve"> Technologies (0,3–3,0), sin que ninguna muestra fuera excluida por este criterio.</w:t>
      </w:r>
    </w:p>
    <w:p w14:paraId="1CECD56B" w14:textId="77777777" w:rsidR="00097466" w:rsidRDefault="00000000">
      <w:r>
        <w:t xml:space="preserve">Posteriormente se hizo la normalización biológica mediante la media geométrica de los cinco genes </w:t>
      </w:r>
      <w:proofErr w:type="spellStart"/>
      <w:r>
        <w:t>housekeeping</w:t>
      </w:r>
      <w:proofErr w:type="spellEnd"/>
      <w:r>
        <w:t xml:space="preserve">. Todos los factores de corrección se mantuvieron dentro del rango aceptable (0,1–10), a excepción de la muestra LES136, que obtuvo un factor de normalización por </w:t>
      </w:r>
      <w:proofErr w:type="spellStart"/>
      <w:r>
        <w:t>housekeeping</w:t>
      </w:r>
      <w:proofErr w:type="spellEnd"/>
      <w:r>
        <w:t xml:space="preserve"> de 11,673, superior al umbral de aceptabilidad (&gt;10), cuyos recuentos de todos los genes de referencia se encontraban muy por debajo de la media global (p. ej., HPRT1: 60,2 cuentas frente a una media de 735,6). Esta muestra fue excluida del análisis por indicar probable baja concentración o degradación del ARN, resultando en una cohorte final de 275 sujetos (251 pacientes con LES y 24 controles sanos).</w:t>
      </w:r>
    </w:p>
    <w:p w14:paraId="46C02415" w14:textId="77777777" w:rsidR="00C65868" w:rsidRDefault="00000000" w:rsidP="00C65868">
      <w:pPr>
        <w:keepNext/>
        <w:jc w:val="center"/>
      </w:pPr>
      <w:r>
        <w:rPr>
          <w:noProof/>
        </w:rPr>
        <w:drawing>
          <wp:inline distT="0" distB="0" distL="0" distR="0" wp14:anchorId="41BEC327" wp14:editId="4E51759A">
            <wp:extent cx="3588509" cy="2242976"/>
            <wp:effectExtent l="0" t="0" r="0" b="0"/>
            <wp:docPr id="4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9"/>
                    <a:srcRect/>
                    <a:stretch>
                      <a:fillRect/>
                    </a:stretch>
                  </pic:blipFill>
                  <pic:spPr>
                    <a:xfrm>
                      <a:off x="0" y="0"/>
                      <a:ext cx="3588509" cy="2242976"/>
                    </a:xfrm>
                    <a:prstGeom prst="rect">
                      <a:avLst/>
                    </a:prstGeom>
                    <a:ln/>
                  </pic:spPr>
                </pic:pic>
              </a:graphicData>
            </a:graphic>
          </wp:inline>
        </w:drawing>
      </w:r>
    </w:p>
    <w:p w14:paraId="5381C6ED" w14:textId="26A4357C" w:rsidR="00097466" w:rsidRDefault="00C65868" w:rsidP="00C67F76">
      <w:pPr>
        <w:pStyle w:val="Descripcin"/>
      </w:pPr>
      <w:bookmarkStart w:id="130" w:name="_Toc230792279"/>
      <w:r>
        <w:t xml:space="preserve">Ilustración </w:t>
      </w:r>
      <w:fldSimple w:instr=" SEQ Ilustración \* ARABIC ">
        <w:r w:rsidR="00E76F9C">
          <w:rPr>
            <w:noProof/>
          </w:rPr>
          <w:t>6</w:t>
        </w:r>
      </w:fldSimple>
      <w:r>
        <w:t xml:space="preserve">. </w:t>
      </w:r>
      <w:r w:rsidRPr="000E13A4">
        <w:t xml:space="preserve">Recuentos de los genes </w:t>
      </w:r>
      <w:proofErr w:type="spellStart"/>
      <w:r w:rsidRPr="000E13A4">
        <w:t>housekeeping</w:t>
      </w:r>
      <w:proofErr w:type="spellEnd"/>
      <w:r w:rsidRPr="000E13A4">
        <w:t xml:space="preserve"> de la muestra excluida (LES136) frente a la media global de la cohorte (n = 275). Factor de normalización HK = 11,673 (criterio de exclusión: &gt; 10).</w:t>
      </w:r>
      <w:bookmarkEnd w:id="130"/>
    </w:p>
    <w:p w14:paraId="34B94D70" w14:textId="377628C4" w:rsidR="00097466" w:rsidRDefault="00000000">
      <w:r>
        <w:lastRenderedPageBreak/>
        <w:t xml:space="preserve">Finalmente, se aplicó una transformación logarítmica en base 2 para estabilizar la varianza y facilitar la interpretación de las diferencias de expresión como log2 </w:t>
      </w:r>
      <w:proofErr w:type="spellStart"/>
      <w:r>
        <w:t>fold-changes</w:t>
      </w:r>
      <w:proofErr w:type="spellEnd"/>
      <w:r>
        <w:t xml:space="preserve"> aditivos. El rango de expresión normalizada tras este proceso fue de 2,94 a 18,12 unidades log2.</w:t>
      </w:r>
    </w:p>
    <w:p w14:paraId="43DC8546" w14:textId="77777777" w:rsidR="00097466" w:rsidRDefault="00000000">
      <w:pPr>
        <w:pStyle w:val="Ttulo3"/>
        <w:numPr>
          <w:ilvl w:val="2"/>
          <w:numId w:val="17"/>
        </w:numPr>
      </w:pPr>
      <w:r>
        <w:t>Cálculo del IFN-score y distribución en la cohorte</w:t>
      </w:r>
    </w:p>
    <w:p w14:paraId="7DF1A21F" w14:textId="77777777" w:rsidR="00097466" w:rsidRDefault="00000000">
      <w:pPr>
        <w:rPr>
          <w:b/>
          <w:bCs/>
        </w:rPr>
      </w:pPr>
      <w:r>
        <w:t xml:space="preserve">El IFN-score se calculó como la mediana de la expresión relativa (en escala log2) de los genes ISG respecto a la mediana de expresión de los controles sanos, siguiendo el enfoque descrito por </w:t>
      </w:r>
      <w:proofErr w:type="spellStart"/>
      <w:r>
        <w:t>Chasset</w:t>
      </w:r>
      <w:proofErr w:type="spellEnd"/>
      <w:r>
        <w:t xml:space="preserve"> et al. (2022) </w:t>
      </w:r>
      <w:r>
        <w:rPr>
          <w:color w:val="000000"/>
        </w:rPr>
        <w:t>[25]</w:t>
      </w:r>
      <w:r>
        <w:t>. Se derivaron dos scores: el IFN-score principal, basado en los 72 ISGs del panel, y el IFN-score de validación, basado en los 4 genes clásicos ampliamente utilizados en la literatura (IFI27, IFI44, IFI44L y RSAD2).</w:t>
      </w:r>
    </w:p>
    <w:p w14:paraId="39E57B58" w14:textId="217250C1" w:rsidR="00097466" w:rsidRDefault="00000000">
      <w:r>
        <w:t>Los pacientes con LES presentaron valores significativamente más elevados que los controles en ambos scores</w:t>
      </w:r>
      <w:r w:rsidR="00F17B42">
        <w:t xml:space="preserve"> tal y como muestra la Tabla 18</w:t>
      </w:r>
      <w:r>
        <w:t xml:space="preserve">. </w:t>
      </w:r>
    </w:p>
    <w:tbl>
      <w:tblPr>
        <w:tblStyle w:val="af2"/>
        <w:tblW w:w="8484" w:type="dxa"/>
        <w:tblInd w:w="0" w:type="dxa"/>
        <w:tblLayout w:type="fixed"/>
        <w:tblLook w:val="0400" w:firstRow="0" w:lastRow="0" w:firstColumn="0" w:lastColumn="0" w:noHBand="0" w:noVBand="1"/>
      </w:tblPr>
      <w:tblGrid>
        <w:gridCol w:w="1746"/>
        <w:gridCol w:w="1086"/>
        <w:gridCol w:w="648"/>
        <w:gridCol w:w="977"/>
        <w:gridCol w:w="869"/>
        <w:gridCol w:w="1278"/>
        <w:gridCol w:w="1013"/>
        <w:gridCol w:w="867"/>
      </w:tblGrid>
      <w:tr w:rsidR="00097466" w14:paraId="5D668E8A" w14:textId="77777777">
        <w:trPr>
          <w:trHeight w:val="397"/>
        </w:trPr>
        <w:tc>
          <w:tcPr>
            <w:tcW w:w="1747"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33B9B104" w14:textId="77777777" w:rsidR="00097466" w:rsidRDefault="00000000">
            <w:pPr>
              <w:spacing w:before="0" w:after="0" w:line="240" w:lineRule="auto"/>
              <w:jc w:val="left"/>
              <w:rPr>
                <w:b/>
                <w:bCs/>
                <w:color w:val="000000"/>
                <w:sz w:val="20"/>
                <w:szCs w:val="20"/>
              </w:rPr>
            </w:pPr>
            <w:r>
              <w:rPr>
                <w:b/>
                <w:bCs/>
                <w:color w:val="000000"/>
                <w:sz w:val="20"/>
                <w:szCs w:val="20"/>
              </w:rPr>
              <w:t>Score</w:t>
            </w:r>
          </w:p>
        </w:tc>
        <w:tc>
          <w:tcPr>
            <w:tcW w:w="1086" w:type="dxa"/>
            <w:tcBorders>
              <w:top w:val="single" w:sz="8" w:space="0" w:color="DDDDDD"/>
              <w:left w:val="nil"/>
              <w:bottom w:val="single" w:sz="8" w:space="0" w:color="DDDDDD"/>
              <w:right w:val="single" w:sz="8" w:space="0" w:color="DDDDDD"/>
            </w:tcBorders>
            <w:shd w:val="clear" w:color="auto" w:fill="F2F2F2"/>
            <w:vAlign w:val="center"/>
          </w:tcPr>
          <w:p w14:paraId="75C8BC51" w14:textId="77777777" w:rsidR="00097466" w:rsidRDefault="00000000">
            <w:pPr>
              <w:spacing w:before="0" w:after="0" w:line="240" w:lineRule="auto"/>
              <w:jc w:val="left"/>
              <w:rPr>
                <w:b/>
                <w:bCs/>
                <w:color w:val="000000"/>
                <w:sz w:val="20"/>
                <w:szCs w:val="20"/>
              </w:rPr>
            </w:pPr>
            <w:r>
              <w:rPr>
                <w:b/>
                <w:bCs/>
                <w:color w:val="000000"/>
                <w:sz w:val="20"/>
                <w:szCs w:val="20"/>
              </w:rPr>
              <w:t>Grupo</w:t>
            </w:r>
          </w:p>
        </w:tc>
        <w:tc>
          <w:tcPr>
            <w:tcW w:w="648" w:type="dxa"/>
            <w:tcBorders>
              <w:top w:val="single" w:sz="8" w:space="0" w:color="DDDDDD"/>
              <w:left w:val="nil"/>
              <w:bottom w:val="single" w:sz="8" w:space="0" w:color="DDDDDD"/>
              <w:right w:val="single" w:sz="8" w:space="0" w:color="DDDDDD"/>
            </w:tcBorders>
            <w:shd w:val="clear" w:color="auto" w:fill="F2F2F2"/>
            <w:vAlign w:val="center"/>
          </w:tcPr>
          <w:p w14:paraId="30ED75C6" w14:textId="77777777" w:rsidR="00097466" w:rsidRDefault="00000000">
            <w:pPr>
              <w:spacing w:before="0" w:after="0" w:line="240" w:lineRule="auto"/>
              <w:jc w:val="left"/>
              <w:rPr>
                <w:b/>
                <w:bCs/>
                <w:color w:val="000000"/>
                <w:sz w:val="20"/>
                <w:szCs w:val="20"/>
              </w:rPr>
            </w:pPr>
            <w:r>
              <w:rPr>
                <w:b/>
                <w:bCs/>
                <w:color w:val="000000"/>
                <w:sz w:val="20"/>
                <w:szCs w:val="20"/>
              </w:rPr>
              <w:t>N</w:t>
            </w:r>
          </w:p>
        </w:tc>
        <w:tc>
          <w:tcPr>
            <w:tcW w:w="977" w:type="dxa"/>
            <w:tcBorders>
              <w:top w:val="single" w:sz="8" w:space="0" w:color="DDDDDD"/>
              <w:left w:val="nil"/>
              <w:bottom w:val="single" w:sz="8" w:space="0" w:color="DDDDDD"/>
              <w:right w:val="single" w:sz="8" w:space="0" w:color="DDDDDD"/>
            </w:tcBorders>
            <w:shd w:val="clear" w:color="auto" w:fill="F2F2F2"/>
            <w:vAlign w:val="center"/>
          </w:tcPr>
          <w:p w14:paraId="20CBFAA2" w14:textId="77777777" w:rsidR="00097466" w:rsidRDefault="00000000">
            <w:pPr>
              <w:spacing w:before="0" w:after="0" w:line="240" w:lineRule="auto"/>
              <w:jc w:val="left"/>
              <w:rPr>
                <w:b/>
                <w:bCs/>
                <w:color w:val="000000"/>
                <w:sz w:val="20"/>
                <w:szCs w:val="20"/>
              </w:rPr>
            </w:pPr>
            <w:r>
              <w:rPr>
                <w:b/>
                <w:bCs/>
                <w:color w:val="000000"/>
                <w:sz w:val="20"/>
                <w:szCs w:val="20"/>
              </w:rPr>
              <w:t>Media</w:t>
            </w:r>
          </w:p>
        </w:tc>
        <w:tc>
          <w:tcPr>
            <w:tcW w:w="869" w:type="dxa"/>
            <w:tcBorders>
              <w:top w:val="single" w:sz="8" w:space="0" w:color="DDDDDD"/>
              <w:left w:val="nil"/>
              <w:bottom w:val="single" w:sz="8" w:space="0" w:color="DDDDDD"/>
              <w:right w:val="single" w:sz="8" w:space="0" w:color="DDDDDD"/>
            </w:tcBorders>
            <w:shd w:val="clear" w:color="auto" w:fill="F2F2F2"/>
            <w:vAlign w:val="center"/>
          </w:tcPr>
          <w:p w14:paraId="4C5ADA30" w14:textId="77777777" w:rsidR="00097466" w:rsidRDefault="00000000">
            <w:pPr>
              <w:spacing w:before="0" w:after="0" w:line="240" w:lineRule="auto"/>
              <w:jc w:val="left"/>
              <w:rPr>
                <w:b/>
                <w:bCs/>
                <w:color w:val="000000"/>
                <w:sz w:val="20"/>
                <w:szCs w:val="20"/>
              </w:rPr>
            </w:pPr>
            <w:r>
              <w:rPr>
                <w:b/>
                <w:bCs/>
                <w:color w:val="000000"/>
                <w:sz w:val="20"/>
                <w:szCs w:val="20"/>
              </w:rPr>
              <w:t>DE</w:t>
            </w:r>
          </w:p>
        </w:tc>
        <w:tc>
          <w:tcPr>
            <w:tcW w:w="1278" w:type="dxa"/>
            <w:tcBorders>
              <w:top w:val="single" w:sz="8" w:space="0" w:color="DDDDDD"/>
              <w:left w:val="nil"/>
              <w:bottom w:val="single" w:sz="8" w:space="0" w:color="DDDDDD"/>
              <w:right w:val="single" w:sz="8" w:space="0" w:color="DDDDDD"/>
            </w:tcBorders>
            <w:shd w:val="clear" w:color="auto" w:fill="F2F2F2"/>
            <w:vAlign w:val="center"/>
          </w:tcPr>
          <w:p w14:paraId="54714C43" w14:textId="77777777" w:rsidR="00097466" w:rsidRDefault="00000000">
            <w:pPr>
              <w:spacing w:before="0" w:after="0" w:line="240" w:lineRule="auto"/>
              <w:jc w:val="left"/>
              <w:rPr>
                <w:b/>
                <w:bCs/>
                <w:color w:val="000000"/>
                <w:sz w:val="20"/>
                <w:szCs w:val="20"/>
              </w:rPr>
            </w:pPr>
            <w:r>
              <w:rPr>
                <w:b/>
                <w:bCs/>
                <w:color w:val="000000"/>
                <w:sz w:val="20"/>
                <w:szCs w:val="20"/>
              </w:rPr>
              <w:t>Mediana</w:t>
            </w:r>
          </w:p>
        </w:tc>
        <w:tc>
          <w:tcPr>
            <w:tcW w:w="1013" w:type="dxa"/>
            <w:tcBorders>
              <w:top w:val="single" w:sz="8" w:space="0" w:color="DDDDDD"/>
              <w:left w:val="nil"/>
              <w:bottom w:val="single" w:sz="8" w:space="0" w:color="DDDDDD"/>
              <w:right w:val="single" w:sz="8" w:space="0" w:color="DDDDDD"/>
            </w:tcBorders>
            <w:shd w:val="clear" w:color="auto" w:fill="F2F2F2"/>
            <w:vAlign w:val="center"/>
          </w:tcPr>
          <w:p w14:paraId="1987849A" w14:textId="77777777" w:rsidR="00097466" w:rsidRDefault="00000000">
            <w:pPr>
              <w:spacing w:before="0" w:after="0" w:line="240" w:lineRule="auto"/>
              <w:jc w:val="left"/>
              <w:rPr>
                <w:b/>
                <w:bCs/>
                <w:color w:val="000000"/>
                <w:sz w:val="20"/>
                <w:szCs w:val="20"/>
              </w:rPr>
            </w:pPr>
            <w:r>
              <w:rPr>
                <w:b/>
                <w:bCs/>
                <w:color w:val="000000"/>
                <w:sz w:val="20"/>
                <w:szCs w:val="20"/>
              </w:rPr>
              <w:t>P25</w:t>
            </w:r>
          </w:p>
        </w:tc>
        <w:tc>
          <w:tcPr>
            <w:tcW w:w="867" w:type="dxa"/>
            <w:tcBorders>
              <w:top w:val="single" w:sz="8" w:space="0" w:color="DDDDDD"/>
              <w:left w:val="nil"/>
              <w:bottom w:val="single" w:sz="8" w:space="0" w:color="DDDDDD"/>
              <w:right w:val="single" w:sz="8" w:space="0" w:color="DDDDDD"/>
            </w:tcBorders>
            <w:shd w:val="clear" w:color="auto" w:fill="F2F2F2"/>
            <w:vAlign w:val="center"/>
          </w:tcPr>
          <w:p w14:paraId="7EF6CEC0" w14:textId="77777777" w:rsidR="00097466" w:rsidRDefault="00000000">
            <w:pPr>
              <w:spacing w:before="0" w:after="0" w:line="240" w:lineRule="auto"/>
              <w:jc w:val="left"/>
              <w:rPr>
                <w:b/>
                <w:bCs/>
                <w:color w:val="000000"/>
                <w:sz w:val="20"/>
                <w:szCs w:val="20"/>
              </w:rPr>
            </w:pPr>
            <w:r>
              <w:rPr>
                <w:b/>
                <w:bCs/>
                <w:color w:val="000000"/>
                <w:sz w:val="20"/>
                <w:szCs w:val="20"/>
              </w:rPr>
              <w:t>P75</w:t>
            </w:r>
          </w:p>
        </w:tc>
      </w:tr>
      <w:tr w:rsidR="00097466" w14:paraId="70A75BDD" w14:textId="77777777">
        <w:trPr>
          <w:trHeight w:val="397"/>
        </w:trPr>
        <w:tc>
          <w:tcPr>
            <w:tcW w:w="1747" w:type="dxa"/>
            <w:tcBorders>
              <w:top w:val="nil"/>
              <w:left w:val="single" w:sz="8" w:space="0" w:color="DDDDDD"/>
              <w:bottom w:val="single" w:sz="8" w:space="0" w:color="DDDDDD"/>
              <w:right w:val="single" w:sz="8" w:space="0" w:color="DDDDDD"/>
            </w:tcBorders>
            <w:shd w:val="clear" w:color="auto" w:fill="auto"/>
            <w:vAlign w:val="center"/>
          </w:tcPr>
          <w:p w14:paraId="42772876" w14:textId="77777777" w:rsidR="00097466" w:rsidRDefault="00000000">
            <w:pPr>
              <w:spacing w:before="0" w:after="0" w:line="240" w:lineRule="auto"/>
              <w:jc w:val="left"/>
              <w:rPr>
                <w:color w:val="000000"/>
                <w:sz w:val="20"/>
                <w:szCs w:val="20"/>
              </w:rPr>
            </w:pPr>
            <w:r>
              <w:rPr>
                <w:color w:val="000000"/>
                <w:sz w:val="20"/>
                <w:szCs w:val="20"/>
              </w:rPr>
              <w:t>IFN-72 genes</w:t>
            </w:r>
          </w:p>
        </w:tc>
        <w:tc>
          <w:tcPr>
            <w:tcW w:w="1086" w:type="dxa"/>
            <w:tcBorders>
              <w:top w:val="nil"/>
              <w:left w:val="nil"/>
              <w:bottom w:val="single" w:sz="8" w:space="0" w:color="DDDDDD"/>
              <w:right w:val="single" w:sz="8" w:space="0" w:color="DDDDDD"/>
            </w:tcBorders>
            <w:shd w:val="clear" w:color="auto" w:fill="auto"/>
            <w:vAlign w:val="center"/>
          </w:tcPr>
          <w:p w14:paraId="70581905" w14:textId="77777777" w:rsidR="00097466" w:rsidRDefault="00000000">
            <w:pPr>
              <w:spacing w:before="0" w:after="0" w:line="240" w:lineRule="auto"/>
              <w:jc w:val="left"/>
              <w:rPr>
                <w:color w:val="000000"/>
                <w:sz w:val="20"/>
                <w:szCs w:val="20"/>
              </w:rPr>
            </w:pPr>
            <w:r>
              <w:rPr>
                <w:color w:val="000000"/>
                <w:sz w:val="20"/>
                <w:szCs w:val="20"/>
              </w:rPr>
              <w:t>Control</w:t>
            </w:r>
          </w:p>
        </w:tc>
        <w:tc>
          <w:tcPr>
            <w:tcW w:w="648" w:type="dxa"/>
            <w:tcBorders>
              <w:top w:val="nil"/>
              <w:left w:val="nil"/>
              <w:bottom w:val="single" w:sz="8" w:space="0" w:color="DDDDDD"/>
              <w:right w:val="single" w:sz="8" w:space="0" w:color="DDDDDD"/>
            </w:tcBorders>
            <w:shd w:val="clear" w:color="auto" w:fill="auto"/>
            <w:vAlign w:val="center"/>
          </w:tcPr>
          <w:p w14:paraId="7EC4D311" w14:textId="77777777" w:rsidR="00097466" w:rsidRDefault="00000000">
            <w:pPr>
              <w:spacing w:before="0" w:after="0" w:line="240" w:lineRule="auto"/>
              <w:jc w:val="left"/>
              <w:rPr>
                <w:color w:val="000000"/>
                <w:sz w:val="20"/>
                <w:szCs w:val="20"/>
              </w:rPr>
            </w:pPr>
            <w:r>
              <w:rPr>
                <w:color w:val="000000"/>
                <w:sz w:val="20"/>
                <w:szCs w:val="20"/>
              </w:rPr>
              <w:t>24</w:t>
            </w:r>
          </w:p>
        </w:tc>
        <w:tc>
          <w:tcPr>
            <w:tcW w:w="977" w:type="dxa"/>
            <w:tcBorders>
              <w:top w:val="nil"/>
              <w:left w:val="nil"/>
              <w:bottom w:val="single" w:sz="8" w:space="0" w:color="DDDDDD"/>
              <w:right w:val="single" w:sz="8" w:space="0" w:color="DDDDDD"/>
            </w:tcBorders>
            <w:shd w:val="clear" w:color="auto" w:fill="auto"/>
            <w:vAlign w:val="center"/>
          </w:tcPr>
          <w:p w14:paraId="5FE235ED" w14:textId="77777777" w:rsidR="00097466" w:rsidRDefault="00000000">
            <w:pPr>
              <w:spacing w:before="0" w:after="0" w:line="240" w:lineRule="auto"/>
              <w:jc w:val="left"/>
              <w:rPr>
                <w:color w:val="000000"/>
                <w:sz w:val="20"/>
                <w:szCs w:val="20"/>
              </w:rPr>
            </w:pPr>
            <w:r>
              <w:rPr>
                <w:color w:val="000000"/>
                <w:sz w:val="20"/>
                <w:szCs w:val="20"/>
              </w:rPr>
              <w:t>0,144</w:t>
            </w:r>
          </w:p>
        </w:tc>
        <w:tc>
          <w:tcPr>
            <w:tcW w:w="869" w:type="dxa"/>
            <w:tcBorders>
              <w:top w:val="nil"/>
              <w:left w:val="nil"/>
              <w:bottom w:val="single" w:sz="8" w:space="0" w:color="DDDDDD"/>
              <w:right w:val="single" w:sz="8" w:space="0" w:color="DDDDDD"/>
            </w:tcBorders>
            <w:shd w:val="clear" w:color="auto" w:fill="auto"/>
            <w:vAlign w:val="center"/>
          </w:tcPr>
          <w:p w14:paraId="043B9D98" w14:textId="77777777" w:rsidR="00097466" w:rsidRDefault="00000000">
            <w:pPr>
              <w:spacing w:before="0" w:after="0" w:line="240" w:lineRule="auto"/>
              <w:jc w:val="left"/>
              <w:rPr>
                <w:color w:val="000000"/>
                <w:sz w:val="20"/>
                <w:szCs w:val="20"/>
              </w:rPr>
            </w:pPr>
            <w:r>
              <w:rPr>
                <w:color w:val="000000"/>
                <w:sz w:val="20"/>
                <w:szCs w:val="20"/>
              </w:rPr>
              <w:t>0,56</w:t>
            </w:r>
          </w:p>
        </w:tc>
        <w:tc>
          <w:tcPr>
            <w:tcW w:w="1278" w:type="dxa"/>
            <w:tcBorders>
              <w:top w:val="nil"/>
              <w:left w:val="nil"/>
              <w:bottom w:val="single" w:sz="8" w:space="0" w:color="DDDDDD"/>
              <w:right w:val="single" w:sz="8" w:space="0" w:color="DDDDDD"/>
            </w:tcBorders>
            <w:shd w:val="clear" w:color="auto" w:fill="auto"/>
            <w:vAlign w:val="center"/>
          </w:tcPr>
          <w:p w14:paraId="7E19712F" w14:textId="77777777" w:rsidR="00097466" w:rsidRDefault="00000000">
            <w:pPr>
              <w:spacing w:before="0" w:after="0" w:line="240" w:lineRule="auto"/>
              <w:jc w:val="left"/>
              <w:rPr>
                <w:color w:val="000000"/>
                <w:sz w:val="20"/>
                <w:szCs w:val="20"/>
              </w:rPr>
            </w:pPr>
            <w:r>
              <w:rPr>
                <w:color w:val="000000"/>
                <w:sz w:val="20"/>
                <w:szCs w:val="20"/>
              </w:rPr>
              <w:t>0,006</w:t>
            </w:r>
          </w:p>
        </w:tc>
        <w:tc>
          <w:tcPr>
            <w:tcW w:w="1013" w:type="dxa"/>
            <w:tcBorders>
              <w:top w:val="nil"/>
              <w:left w:val="nil"/>
              <w:bottom w:val="single" w:sz="8" w:space="0" w:color="DDDDDD"/>
              <w:right w:val="single" w:sz="8" w:space="0" w:color="DDDDDD"/>
            </w:tcBorders>
            <w:shd w:val="clear" w:color="auto" w:fill="auto"/>
            <w:vAlign w:val="center"/>
          </w:tcPr>
          <w:p w14:paraId="31181548" w14:textId="77777777" w:rsidR="00097466" w:rsidRDefault="00000000">
            <w:pPr>
              <w:spacing w:before="0" w:after="0" w:line="240" w:lineRule="auto"/>
              <w:jc w:val="left"/>
              <w:rPr>
                <w:color w:val="000000"/>
                <w:sz w:val="20"/>
                <w:szCs w:val="20"/>
              </w:rPr>
            </w:pPr>
            <w:r>
              <w:rPr>
                <w:color w:val="000000"/>
                <w:sz w:val="20"/>
                <w:szCs w:val="20"/>
              </w:rPr>
              <w:t>−0,212</w:t>
            </w:r>
          </w:p>
        </w:tc>
        <w:tc>
          <w:tcPr>
            <w:tcW w:w="867" w:type="dxa"/>
            <w:tcBorders>
              <w:top w:val="nil"/>
              <w:left w:val="nil"/>
              <w:bottom w:val="single" w:sz="8" w:space="0" w:color="DDDDDD"/>
              <w:right w:val="single" w:sz="8" w:space="0" w:color="DDDDDD"/>
            </w:tcBorders>
            <w:shd w:val="clear" w:color="auto" w:fill="auto"/>
            <w:vAlign w:val="center"/>
          </w:tcPr>
          <w:p w14:paraId="03F532B7" w14:textId="77777777" w:rsidR="00097466" w:rsidRDefault="00000000">
            <w:pPr>
              <w:spacing w:before="0" w:after="0" w:line="240" w:lineRule="auto"/>
              <w:jc w:val="left"/>
              <w:rPr>
                <w:color w:val="000000"/>
                <w:sz w:val="20"/>
                <w:szCs w:val="20"/>
              </w:rPr>
            </w:pPr>
            <w:r>
              <w:rPr>
                <w:color w:val="000000"/>
                <w:sz w:val="20"/>
                <w:szCs w:val="20"/>
              </w:rPr>
              <w:t>0,175</w:t>
            </w:r>
          </w:p>
        </w:tc>
      </w:tr>
      <w:tr w:rsidR="00097466" w14:paraId="7B417BD9" w14:textId="77777777">
        <w:trPr>
          <w:trHeight w:val="397"/>
        </w:trPr>
        <w:tc>
          <w:tcPr>
            <w:tcW w:w="1747" w:type="dxa"/>
            <w:tcBorders>
              <w:top w:val="nil"/>
              <w:left w:val="single" w:sz="8" w:space="0" w:color="DDDDDD"/>
              <w:bottom w:val="single" w:sz="8" w:space="0" w:color="DDDDDD"/>
              <w:right w:val="single" w:sz="8" w:space="0" w:color="DDDDDD"/>
            </w:tcBorders>
            <w:shd w:val="clear" w:color="auto" w:fill="auto"/>
            <w:vAlign w:val="center"/>
          </w:tcPr>
          <w:p w14:paraId="5F7C0EC4" w14:textId="77777777" w:rsidR="00097466" w:rsidRDefault="00000000">
            <w:pPr>
              <w:spacing w:before="0" w:after="0" w:line="240" w:lineRule="auto"/>
              <w:jc w:val="left"/>
              <w:rPr>
                <w:color w:val="000000"/>
                <w:sz w:val="20"/>
                <w:szCs w:val="20"/>
              </w:rPr>
            </w:pPr>
            <w:r>
              <w:rPr>
                <w:color w:val="000000"/>
                <w:sz w:val="20"/>
                <w:szCs w:val="20"/>
              </w:rPr>
              <w:t>IFN-72 genes</w:t>
            </w:r>
          </w:p>
        </w:tc>
        <w:tc>
          <w:tcPr>
            <w:tcW w:w="1086" w:type="dxa"/>
            <w:tcBorders>
              <w:top w:val="nil"/>
              <w:left w:val="nil"/>
              <w:bottom w:val="single" w:sz="8" w:space="0" w:color="DDDDDD"/>
              <w:right w:val="single" w:sz="8" w:space="0" w:color="DDDDDD"/>
            </w:tcBorders>
            <w:shd w:val="clear" w:color="auto" w:fill="auto"/>
            <w:vAlign w:val="center"/>
          </w:tcPr>
          <w:p w14:paraId="354F5B2E" w14:textId="77777777" w:rsidR="00097466" w:rsidRDefault="00000000">
            <w:pPr>
              <w:spacing w:before="0" w:after="0" w:line="240" w:lineRule="auto"/>
              <w:jc w:val="left"/>
              <w:rPr>
                <w:color w:val="000000"/>
                <w:sz w:val="20"/>
                <w:szCs w:val="20"/>
              </w:rPr>
            </w:pPr>
            <w:r>
              <w:rPr>
                <w:color w:val="000000"/>
                <w:sz w:val="20"/>
                <w:szCs w:val="20"/>
              </w:rPr>
              <w:t>LES</w:t>
            </w:r>
          </w:p>
        </w:tc>
        <w:tc>
          <w:tcPr>
            <w:tcW w:w="648" w:type="dxa"/>
            <w:tcBorders>
              <w:top w:val="nil"/>
              <w:left w:val="nil"/>
              <w:bottom w:val="single" w:sz="8" w:space="0" w:color="DDDDDD"/>
              <w:right w:val="single" w:sz="8" w:space="0" w:color="DDDDDD"/>
            </w:tcBorders>
            <w:shd w:val="clear" w:color="auto" w:fill="auto"/>
            <w:vAlign w:val="center"/>
          </w:tcPr>
          <w:p w14:paraId="4069D5B8" w14:textId="77777777" w:rsidR="00097466" w:rsidRDefault="00000000">
            <w:pPr>
              <w:spacing w:before="0" w:after="0" w:line="240" w:lineRule="auto"/>
              <w:jc w:val="left"/>
              <w:rPr>
                <w:color w:val="000000"/>
                <w:sz w:val="20"/>
                <w:szCs w:val="20"/>
              </w:rPr>
            </w:pPr>
            <w:r>
              <w:rPr>
                <w:color w:val="000000"/>
                <w:sz w:val="20"/>
                <w:szCs w:val="20"/>
              </w:rPr>
              <w:t>251</w:t>
            </w:r>
          </w:p>
        </w:tc>
        <w:tc>
          <w:tcPr>
            <w:tcW w:w="977" w:type="dxa"/>
            <w:tcBorders>
              <w:top w:val="nil"/>
              <w:left w:val="nil"/>
              <w:bottom w:val="single" w:sz="8" w:space="0" w:color="DDDDDD"/>
              <w:right w:val="single" w:sz="8" w:space="0" w:color="DDDDDD"/>
            </w:tcBorders>
            <w:shd w:val="clear" w:color="auto" w:fill="auto"/>
            <w:vAlign w:val="center"/>
          </w:tcPr>
          <w:p w14:paraId="3738BDCD" w14:textId="77777777" w:rsidR="00097466" w:rsidRDefault="00000000">
            <w:pPr>
              <w:spacing w:before="0" w:after="0" w:line="240" w:lineRule="auto"/>
              <w:jc w:val="left"/>
              <w:rPr>
                <w:color w:val="000000"/>
                <w:sz w:val="20"/>
                <w:szCs w:val="20"/>
              </w:rPr>
            </w:pPr>
            <w:r>
              <w:rPr>
                <w:color w:val="000000"/>
                <w:sz w:val="20"/>
                <w:szCs w:val="20"/>
              </w:rPr>
              <w:t>0,818</w:t>
            </w:r>
          </w:p>
        </w:tc>
        <w:tc>
          <w:tcPr>
            <w:tcW w:w="869" w:type="dxa"/>
            <w:tcBorders>
              <w:top w:val="nil"/>
              <w:left w:val="nil"/>
              <w:bottom w:val="single" w:sz="8" w:space="0" w:color="DDDDDD"/>
              <w:right w:val="single" w:sz="8" w:space="0" w:color="DDDDDD"/>
            </w:tcBorders>
            <w:shd w:val="clear" w:color="auto" w:fill="auto"/>
            <w:vAlign w:val="center"/>
          </w:tcPr>
          <w:p w14:paraId="16D61FAA" w14:textId="77777777" w:rsidR="00097466" w:rsidRDefault="00000000">
            <w:pPr>
              <w:spacing w:before="0" w:after="0" w:line="240" w:lineRule="auto"/>
              <w:jc w:val="left"/>
              <w:rPr>
                <w:color w:val="000000"/>
                <w:sz w:val="20"/>
                <w:szCs w:val="20"/>
              </w:rPr>
            </w:pPr>
            <w:r>
              <w:rPr>
                <w:color w:val="000000"/>
                <w:sz w:val="20"/>
                <w:szCs w:val="20"/>
              </w:rPr>
              <w:t>0,864</w:t>
            </w:r>
          </w:p>
        </w:tc>
        <w:tc>
          <w:tcPr>
            <w:tcW w:w="1278" w:type="dxa"/>
            <w:tcBorders>
              <w:top w:val="nil"/>
              <w:left w:val="nil"/>
              <w:bottom w:val="single" w:sz="8" w:space="0" w:color="DDDDDD"/>
              <w:right w:val="single" w:sz="8" w:space="0" w:color="DDDDDD"/>
            </w:tcBorders>
            <w:shd w:val="clear" w:color="auto" w:fill="auto"/>
            <w:vAlign w:val="center"/>
          </w:tcPr>
          <w:p w14:paraId="2F898D75" w14:textId="77777777" w:rsidR="00097466" w:rsidRDefault="00000000">
            <w:pPr>
              <w:spacing w:before="0" w:after="0" w:line="240" w:lineRule="auto"/>
              <w:jc w:val="left"/>
              <w:rPr>
                <w:color w:val="000000"/>
                <w:sz w:val="20"/>
                <w:szCs w:val="20"/>
              </w:rPr>
            </w:pPr>
            <w:r>
              <w:rPr>
                <w:color w:val="000000"/>
                <w:sz w:val="20"/>
                <w:szCs w:val="20"/>
              </w:rPr>
              <w:t>0,782</w:t>
            </w:r>
          </w:p>
        </w:tc>
        <w:tc>
          <w:tcPr>
            <w:tcW w:w="1013" w:type="dxa"/>
            <w:tcBorders>
              <w:top w:val="nil"/>
              <w:left w:val="nil"/>
              <w:bottom w:val="single" w:sz="8" w:space="0" w:color="DDDDDD"/>
              <w:right w:val="single" w:sz="8" w:space="0" w:color="DDDDDD"/>
            </w:tcBorders>
            <w:shd w:val="clear" w:color="auto" w:fill="auto"/>
            <w:vAlign w:val="center"/>
          </w:tcPr>
          <w:p w14:paraId="4B048D08" w14:textId="77777777" w:rsidR="00097466" w:rsidRDefault="00000000">
            <w:pPr>
              <w:spacing w:before="0" w:after="0" w:line="240" w:lineRule="auto"/>
              <w:jc w:val="left"/>
              <w:rPr>
                <w:color w:val="000000"/>
                <w:sz w:val="20"/>
                <w:szCs w:val="20"/>
              </w:rPr>
            </w:pPr>
            <w:r>
              <w:rPr>
                <w:color w:val="000000"/>
                <w:sz w:val="20"/>
                <w:szCs w:val="20"/>
              </w:rPr>
              <w:t>0,088</w:t>
            </w:r>
          </w:p>
        </w:tc>
        <w:tc>
          <w:tcPr>
            <w:tcW w:w="867" w:type="dxa"/>
            <w:tcBorders>
              <w:top w:val="nil"/>
              <w:left w:val="nil"/>
              <w:bottom w:val="single" w:sz="8" w:space="0" w:color="DDDDDD"/>
              <w:right w:val="single" w:sz="8" w:space="0" w:color="DDDDDD"/>
            </w:tcBorders>
            <w:shd w:val="clear" w:color="auto" w:fill="auto"/>
            <w:vAlign w:val="center"/>
          </w:tcPr>
          <w:p w14:paraId="08A34958" w14:textId="77777777" w:rsidR="00097466" w:rsidRDefault="00000000">
            <w:pPr>
              <w:spacing w:before="0" w:after="0" w:line="240" w:lineRule="auto"/>
              <w:jc w:val="left"/>
              <w:rPr>
                <w:color w:val="000000"/>
                <w:sz w:val="20"/>
                <w:szCs w:val="20"/>
              </w:rPr>
            </w:pPr>
            <w:r>
              <w:rPr>
                <w:color w:val="000000"/>
                <w:sz w:val="20"/>
                <w:szCs w:val="20"/>
              </w:rPr>
              <w:t>1,526</w:t>
            </w:r>
          </w:p>
        </w:tc>
      </w:tr>
      <w:tr w:rsidR="00097466" w14:paraId="79E7A765" w14:textId="77777777">
        <w:trPr>
          <w:trHeight w:val="397"/>
        </w:trPr>
        <w:tc>
          <w:tcPr>
            <w:tcW w:w="1747" w:type="dxa"/>
            <w:tcBorders>
              <w:top w:val="nil"/>
              <w:left w:val="single" w:sz="8" w:space="0" w:color="DDDDDD"/>
              <w:bottom w:val="single" w:sz="8" w:space="0" w:color="DDDDDD"/>
              <w:right w:val="single" w:sz="8" w:space="0" w:color="DDDDDD"/>
            </w:tcBorders>
            <w:shd w:val="clear" w:color="auto" w:fill="auto"/>
            <w:vAlign w:val="center"/>
          </w:tcPr>
          <w:p w14:paraId="1A392D98" w14:textId="77777777" w:rsidR="00097466" w:rsidRDefault="00000000">
            <w:pPr>
              <w:spacing w:before="0" w:after="0" w:line="240" w:lineRule="auto"/>
              <w:jc w:val="left"/>
              <w:rPr>
                <w:color w:val="000000"/>
                <w:sz w:val="20"/>
                <w:szCs w:val="20"/>
              </w:rPr>
            </w:pPr>
            <w:r>
              <w:rPr>
                <w:color w:val="000000"/>
                <w:sz w:val="20"/>
                <w:szCs w:val="20"/>
              </w:rPr>
              <w:t>IFN-4 genes</w:t>
            </w:r>
          </w:p>
        </w:tc>
        <w:tc>
          <w:tcPr>
            <w:tcW w:w="1086" w:type="dxa"/>
            <w:tcBorders>
              <w:top w:val="nil"/>
              <w:left w:val="nil"/>
              <w:bottom w:val="single" w:sz="8" w:space="0" w:color="DDDDDD"/>
              <w:right w:val="single" w:sz="8" w:space="0" w:color="DDDDDD"/>
            </w:tcBorders>
            <w:shd w:val="clear" w:color="auto" w:fill="auto"/>
            <w:vAlign w:val="center"/>
          </w:tcPr>
          <w:p w14:paraId="1E96DA24" w14:textId="77777777" w:rsidR="00097466" w:rsidRDefault="00000000">
            <w:pPr>
              <w:spacing w:before="0" w:after="0" w:line="240" w:lineRule="auto"/>
              <w:jc w:val="left"/>
              <w:rPr>
                <w:color w:val="000000"/>
                <w:sz w:val="20"/>
                <w:szCs w:val="20"/>
              </w:rPr>
            </w:pPr>
            <w:r>
              <w:rPr>
                <w:color w:val="000000"/>
                <w:sz w:val="20"/>
                <w:szCs w:val="20"/>
              </w:rPr>
              <w:t>Control</w:t>
            </w:r>
          </w:p>
        </w:tc>
        <w:tc>
          <w:tcPr>
            <w:tcW w:w="648" w:type="dxa"/>
            <w:tcBorders>
              <w:top w:val="nil"/>
              <w:left w:val="nil"/>
              <w:bottom w:val="single" w:sz="8" w:space="0" w:color="DDDDDD"/>
              <w:right w:val="single" w:sz="8" w:space="0" w:color="DDDDDD"/>
            </w:tcBorders>
            <w:shd w:val="clear" w:color="auto" w:fill="auto"/>
            <w:vAlign w:val="center"/>
          </w:tcPr>
          <w:p w14:paraId="1C3B5A37" w14:textId="77777777" w:rsidR="00097466" w:rsidRDefault="00000000">
            <w:pPr>
              <w:spacing w:before="0" w:after="0" w:line="240" w:lineRule="auto"/>
              <w:jc w:val="left"/>
              <w:rPr>
                <w:color w:val="000000"/>
                <w:sz w:val="20"/>
                <w:szCs w:val="20"/>
              </w:rPr>
            </w:pPr>
            <w:r>
              <w:rPr>
                <w:color w:val="000000"/>
                <w:sz w:val="20"/>
                <w:szCs w:val="20"/>
              </w:rPr>
              <w:t>24</w:t>
            </w:r>
          </w:p>
        </w:tc>
        <w:tc>
          <w:tcPr>
            <w:tcW w:w="977" w:type="dxa"/>
            <w:tcBorders>
              <w:top w:val="nil"/>
              <w:left w:val="nil"/>
              <w:bottom w:val="single" w:sz="8" w:space="0" w:color="DDDDDD"/>
              <w:right w:val="single" w:sz="8" w:space="0" w:color="DDDDDD"/>
            </w:tcBorders>
            <w:shd w:val="clear" w:color="auto" w:fill="auto"/>
            <w:vAlign w:val="center"/>
          </w:tcPr>
          <w:p w14:paraId="2C00C03B" w14:textId="77777777" w:rsidR="00097466" w:rsidRDefault="00000000">
            <w:pPr>
              <w:spacing w:before="0" w:after="0" w:line="240" w:lineRule="auto"/>
              <w:jc w:val="left"/>
              <w:rPr>
                <w:color w:val="000000"/>
                <w:sz w:val="20"/>
                <w:szCs w:val="20"/>
              </w:rPr>
            </w:pPr>
            <w:r>
              <w:rPr>
                <w:color w:val="000000"/>
                <w:sz w:val="20"/>
                <w:szCs w:val="20"/>
              </w:rPr>
              <w:t>0,439</w:t>
            </w:r>
          </w:p>
        </w:tc>
        <w:tc>
          <w:tcPr>
            <w:tcW w:w="869" w:type="dxa"/>
            <w:tcBorders>
              <w:top w:val="nil"/>
              <w:left w:val="nil"/>
              <w:bottom w:val="single" w:sz="8" w:space="0" w:color="DDDDDD"/>
              <w:right w:val="single" w:sz="8" w:space="0" w:color="DDDDDD"/>
            </w:tcBorders>
            <w:shd w:val="clear" w:color="auto" w:fill="auto"/>
            <w:vAlign w:val="center"/>
          </w:tcPr>
          <w:p w14:paraId="33DB5F84" w14:textId="77777777" w:rsidR="00097466" w:rsidRDefault="00000000">
            <w:pPr>
              <w:spacing w:before="0" w:after="0" w:line="240" w:lineRule="auto"/>
              <w:jc w:val="left"/>
              <w:rPr>
                <w:color w:val="000000"/>
                <w:sz w:val="20"/>
                <w:szCs w:val="20"/>
              </w:rPr>
            </w:pPr>
            <w:r>
              <w:rPr>
                <w:color w:val="000000"/>
                <w:sz w:val="20"/>
                <w:szCs w:val="20"/>
              </w:rPr>
              <w:t>1,354</w:t>
            </w:r>
          </w:p>
        </w:tc>
        <w:tc>
          <w:tcPr>
            <w:tcW w:w="1278" w:type="dxa"/>
            <w:tcBorders>
              <w:top w:val="nil"/>
              <w:left w:val="nil"/>
              <w:bottom w:val="single" w:sz="8" w:space="0" w:color="DDDDDD"/>
              <w:right w:val="single" w:sz="8" w:space="0" w:color="DDDDDD"/>
            </w:tcBorders>
            <w:shd w:val="clear" w:color="auto" w:fill="auto"/>
            <w:vAlign w:val="center"/>
          </w:tcPr>
          <w:p w14:paraId="01EC1AC2" w14:textId="77777777" w:rsidR="00097466" w:rsidRDefault="00000000">
            <w:pPr>
              <w:spacing w:before="0" w:after="0" w:line="240" w:lineRule="auto"/>
              <w:jc w:val="left"/>
              <w:rPr>
                <w:color w:val="000000"/>
                <w:sz w:val="20"/>
                <w:szCs w:val="20"/>
              </w:rPr>
            </w:pPr>
            <w:r>
              <w:rPr>
                <w:color w:val="000000"/>
                <w:sz w:val="20"/>
                <w:szCs w:val="20"/>
              </w:rPr>
              <w:t>−0,053</w:t>
            </w:r>
          </w:p>
        </w:tc>
        <w:tc>
          <w:tcPr>
            <w:tcW w:w="1013" w:type="dxa"/>
            <w:tcBorders>
              <w:top w:val="nil"/>
              <w:left w:val="nil"/>
              <w:bottom w:val="single" w:sz="8" w:space="0" w:color="DDDDDD"/>
              <w:right w:val="single" w:sz="8" w:space="0" w:color="DDDDDD"/>
            </w:tcBorders>
            <w:shd w:val="clear" w:color="auto" w:fill="auto"/>
            <w:vAlign w:val="center"/>
          </w:tcPr>
          <w:p w14:paraId="59CB22BF" w14:textId="77777777" w:rsidR="00097466" w:rsidRDefault="00000000">
            <w:pPr>
              <w:spacing w:before="0" w:after="0" w:line="240" w:lineRule="auto"/>
              <w:jc w:val="left"/>
              <w:rPr>
                <w:color w:val="000000"/>
                <w:sz w:val="20"/>
                <w:szCs w:val="20"/>
              </w:rPr>
            </w:pPr>
            <w:r>
              <w:rPr>
                <w:color w:val="000000"/>
                <w:sz w:val="20"/>
                <w:szCs w:val="20"/>
              </w:rPr>
              <w:t>−0,377</w:t>
            </w:r>
          </w:p>
        </w:tc>
        <w:tc>
          <w:tcPr>
            <w:tcW w:w="867" w:type="dxa"/>
            <w:tcBorders>
              <w:top w:val="nil"/>
              <w:left w:val="nil"/>
              <w:bottom w:val="single" w:sz="8" w:space="0" w:color="DDDDDD"/>
              <w:right w:val="single" w:sz="8" w:space="0" w:color="DDDDDD"/>
            </w:tcBorders>
            <w:shd w:val="clear" w:color="auto" w:fill="auto"/>
            <w:vAlign w:val="center"/>
          </w:tcPr>
          <w:p w14:paraId="6100E1EA" w14:textId="77777777" w:rsidR="00097466" w:rsidRDefault="00000000">
            <w:pPr>
              <w:spacing w:before="0" w:after="0" w:line="240" w:lineRule="auto"/>
              <w:jc w:val="left"/>
              <w:rPr>
                <w:color w:val="000000"/>
                <w:sz w:val="20"/>
                <w:szCs w:val="20"/>
              </w:rPr>
            </w:pPr>
            <w:r>
              <w:rPr>
                <w:color w:val="000000"/>
                <w:sz w:val="20"/>
                <w:szCs w:val="20"/>
              </w:rPr>
              <w:t>0,498</w:t>
            </w:r>
          </w:p>
        </w:tc>
      </w:tr>
      <w:tr w:rsidR="00097466" w14:paraId="6A357CFF" w14:textId="77777777">
        <w:trPr>
          <w:trHeight w:val="397"/>
        </w:trPr>
        <w:tc>
          <w:tcPr>
            <w:tcW w:w="1747" w:type="dxa"/>
            <w:tcBorders>
              <w:top w:val="nil"/>
              <w:left w:val="single" w:sz="8" w:space="0" w:color="DDDDDD"/>
              <w:bottom w:val="single" w:sz="8" w:space="0" w:color="DDDDDD"/>
              <w:right w:val="single" w:sz="8" w:space="0" w:color="DDDDDD"/>
            </w:tcBorders>
            <w:shd w:val="clear" w:color="auto" w:fill="auto"/>
            <w:vAlign w:val="center"/>
          </w:tcPr>
          <w:p w14:paraId="470DC248" w14:textId="77777777" w:rsidR="00097466" w:rsidRDefault="00000000">
            <w:pPr>
              <w:spacing w:before="0" w:after="0" w:line="240" w:lineRule="auto"/>
              <w:jc w:val="left"/>
              <w:rPr>
                <w:color w:val="000000"/>
                <w:sz w:val="20"/>
                <w:szCs w:val="20"/>
              </w:rPr>
            </w:pPr>
            <w:r>
              <w:rPr>
                <w:color w:val="000000"/>
                <w:sz w:val="20"/>
                <w:szCs w:val="20"/>
              </w:rPr>
              <w:t>IFN-4 genes</w:t>
            </w:r>
          </w:p>
        </w:tc>
        <w:tc>
          <w:tcPr>
            <w:tcW w:w="1086" w:type="dxa"/>
            <w:tcBorders>
              <w:top w:val="nil"/>
              <w:left w:val="nil"/>
              <w:bottom w:val="single" w:sz="8" w:space="0" w:color="DDDDDD"/>
              <w:right w:val="single" w:sz="8" w:space="0" w:color="DDDDDD"/>
            </w:tcBorders>
            <w:shd w:val="clear" w:color="auto" w:fill="auto"/>
            <w:vAlign w:val="center"/>
          </w:tcPr>
          <w:p w14:paraId="75E30FE8" w14:textId="77777777" w:rsidR="00097466" w:rsidRDefault="00000000">
            <w:pPr>
              <w:spacing w:before="0" w:after="0" w:line="240" w:lineRule="auto"/>
              <w:jc w:val="left"/>
              <w:rPr>
                <w:color w:val="000000"/>
                <w:sz w:val="20"/>
                <w:szCs w:val="20"/>
              </w:rPr>
            </w:pPr>
            <w:r>
              <w:rPr>
                <w:color w:val="000000"/>
                <w:sz w:val="20"/>
                <w:szCs w:val="20"/>
              </w:rPr>
              <w:t>LES</w:t>
            </w:r>
          </w:p>
        </w:tc>
        <w:tc>
          <w:tcPr>
            <w:tcW w:w="648" w:type="dxa"/>
            <w:tcBorders>
              <w:top w:val="nil"/>
              <w:left w:val="nil"/>
              <w:bottom w:val="single" w:sz="8" w:space="0" w:color="DDDDDD"/>
              <w:right w:val="single" w:sz="8" w:space="0" w:color="DDDDDD"/>
            </w:tcBorders>
            <w:shd w:val="clear" w:color="auto" w:fill="auto"/>
            <w:vAlign w:val="center"/>
          </w:tcPr>
          <w:p w14:paraId="22E629A0" w14:textId="77777777" w:rsidR="00097466" w:rsidRDefault="00000000">
            <w:pPr>
              <w:spacing w:before="0" w:after="0" w:line="240" w:lineRule="auto"/>
              <w:jc w:val="left"/>
              <w:rPr>
                <w:color w:val="000000"/>
                <w:sz w:val="20"/>
                <w:szCs w:val="20"/>
              </w:rPr>
            </w:pPr>
            <w:r>
              <w:rPr>
                <w:color w:val="000000"/>
                <w:sz w:val="20"/>
                <w:szCs w:val="20"/>
              </w:rPr>
              <w:t>251</w:t>
            </w:r>
          </w:p>
        </w:tc>
        <w:tc>
          <w:tcPr>
            <w:tcW w:w="977" w:type="dxa"/>
            <w:tcBorders>
              <w:top w:val="nil"/>
              <w:left w:val="nil"/>
              <w:bottom w:val="single" w:sz="8" w:space="0" w:color="DDDDDD"/>
              <w:right w:val="single" w:sz="8" w:space="0" w:color="DDDDDD"/>
            </w:tcBorders>
            <w:shd w:val="clear" w:color="auto" w:fill="auto"/>
            <w:vAlign w:val="center"/>
          </w:tcPr>
          <w:p w14:paraId="72D799CB" w14:textId="77777777" w:rsidR="00097466" w:rsidRDefault="00000000">
            <w:pPr>
              <w:spacing w:before="0" w:after="0" w:line="240" w:lineRule="auto"/>
              <w:jc w:val="left"/>
              <w:rPr>
                <w:color w:val="000000"/>
                <w:sz w:val="20"/>
                <w:szCs w:val="20"/>
              </w:rPr>
            </w:pPr>
            <w:r>
              <w:rPr>
                <w:color w:val="000000"/>
                <w:sz w:val="20"/>
                <w:szCs w:val="20"/>
              </w:rPr>
              <w:t>2,58</w:t>
            </w:r>
          </w:p>
        </w:tc>
        <w:tc>
          <w:tcPr>
            <w:tcW w:w="869" w:type="dxa"/>
            <w:tcBorders>
              <w:top w:val="nil"/>
              <w:left w:val="nil"/>
              <w:bottom w:val="single" w:sz="8" w:space="0" w:color="DDDDDD"/>
              <w:right w:val="single" w:sz="8" w:space="0" w:color="DDDDDD"/>
            </w:tcBorders>
            <w:shd w:val="clear" w:color="auto" w:fill="auto"/>
            <w:vAlign w:val="center"/>
          </w:tcPr>
          <w:p w14:paraId="5433E333" w14:textId="77777777" w:rsidR="00097466" w:rsidRDefault="00000000">
            <w:pPr>
              <w:spacing w:before="0" w:after="0" w:line="240" w:lineRule="auto"/>
              <w:jc w:val="left"/>
              <w:rPr>
                <w:color w:val="000000"/>
                <w:sz w:val="20"/>
                <w:szCs w:val="20"/>
              </w:rPr>
            </w:pPr>
            <w:r>
              <w:rPr>
                <w:color w:val="000000"/>
                <w:sz w:val="20"/>
                <w:szCs w:val="20"/>
              </w:rPr>
              <w:t>2,295</w:t>
            </w:r>
          </w:p>
        </w:tc>
        <w:tc>
          <w:tcPr>
            <w:tcW w:w="1278" w:type="dxa"/>
            <w:tcBorders>
              <w:top w:val="nil"/>
              <w:left w:val="nil"/>
              <w:bottom w:val="single" w:sz="8" w:space="0" w:color="DDDDDD"/>
              <w:right w:val="single" w:sz="8" w:space="0" w:color="DDDDDD"/>
            </w:tcBorders>
            <w:shd w:val="clear" w:color="auto" w:fill="auto"/>
            <w:vAlign w:val="center"/>
          </w:tcPr>
          <w:p w14:paraId="65A00F70" w14:textId="77777777" w:rsidR="00097466" w:rsidRDefault="00000000">
            <w:pPr>
              <w:spacing w:before="0" w:after="0" w:line="240" w:lineRule="auto"/>
              <w:jc w:val="left"/>
              <w:rPr>
                <w:color w:val="000000"/>
                <w:sz w:val="20"/>
                <w:szCs w:val="20"/>
              </w:rPr>
            </w:pPr>
            <w:r>
              <w:rPr>
                <w:color w:val="000000"/>
                <w:sz w:val="20"/>
                <w:szCs w:val="20"/>
              </w:rPr>
              <w:t>2,751</w:t>
            </w:r>
          </w:p>
        </w:tc>
        <w:tc>
          <w:tcPr>
            <w:tcW w:w="1013" w:type="dxa"/>
            <w:tcBorders>
              <w:top w:val="nil"/>
              <w:left w:val="nil"/>
              <w:bottom w:val="single" w:sz="8" w:space="0" w:color="DDDDDD"/>
              <w:right w:val="single" w:sz="8" w:space="0" w:color="DDDDDD"/>
            </w:tcBorders>
            <w:shd w:val="clear" w:color="auto" w:fill="auto"/>
            <w:vAlign w:val="center"/>
          </w:tcPr>
          <w:p w14:paraId="487D3BD1" w14:textId="77777777" w:rsidR="00097466" w:rsidRDefault="00000000">
            <w:pPr>
              <w:spacing w:before="0" w:after="0" w:line="240" w:lineRule="auto"/>
              <w:jc w:val="left"/>
              <w:rPr>
                <w:color w:val="000000"/>
                <w:sz w:val="20"/>
                <w:szCs w:val="20"/>
              </w:rPr>
            </w:pPr>
            <w:r>
              <w:rPr>
                <w:color w:val="000000"/>
                <w:sz w:val="20"/>
                <w:szCs w:val="20"/>
              </w:rPr>
              <w:t>0,318</w:t>
            </w:r>
          </w:p>
        </w:tc>
        <w:tc>
          <w:tcPr>
            <w:tcW w:w="867" w:type="dxa"/>
            <w:tcBorders>
              <w:top w:val="nil"/>
              <w:left w:val="nil"/>
              <w:bottom w:val="single" w:sz="8" w:space="0" w:color="DDDDDD"/>
              <w:right w:val="single" w:sz="8" w:space="0" w:color="DDDDDD"/>
            </w:tcBorders>
            <w:shd w:val="clear" w:color="auto" w:fill="auto"/>
            <w:vAlign w:val="center"/>
          </w:tcPr>
          <w:p w14:paraId="076C8BA2" w14:textId="77777777" w:rsidR="00097466" w:rsidRDefault="00000000" w:rsidP="00C65868">
            <w:pPr>
              <w:keepNext/>
              <w:spacing w:before="0" w:after="0" w:line="240" w:lineRule="auto"/>
              <w:jc w:val="left"/>
              <w:rPr>
                <w:color w:val="000000"/>
                <w:sz w:val="20"/>
                <w:szCs w:val="20"/>
              </w:rPr>
            </w:pPr>
            <w:r>
              <w:rPr>
                <w:color w:val="000000"/>
                <w:sz w:val="20"/>
                <w:szCs w:val="20"/>
              </w:rPr>
              <w:t>4,808</w:t>
            </w:r>
          </w:p>
        </w:tc>
      </w:tr>
    </w:tbl>
    <w:p w14:paraId="6EDEE2F4" w14:textId="6EC29B2B" w:rsidR="00C65868" w:rsidRDefault="00C65868" w:rsidP="00C67F76">
      <w:pPr>
        <w:pStyle w:val="Descripcin"/>
      </w:pPr>
      <w:bookmarkStart w:id="131" w:name="_Toc230792253"/>
      <w:r>
        <w:t xml:space="preserve">Tabla </w:t>
      </w:r>
      <w:fldSimple w:instr=" SEQ Tabla \* ARABIC ">
        <w:r w:rsidR="00716AEA">
          <w:rPr>
            <w:noProof/>
          </w:rPr>
          <w:t>18</w:t>
        </w:r>
      </w:fldSimple>
      <w:r>
        <w:t xml:space="preserve">. </w:t>
      </w:r>
      <w:r w:rsidRPr="00761AFF">
        <w:t>Estadísticos descriptivos del IFN-score por grupo</w:t>
      </w:r>
      <w:bookmarkEnd w:id="131"/>
    </w:p>
    <w:p w14:paraId="798A1877" w14:textId="77777777" w:rsidR="00097466" w:rsidRDefault="00000000">
      <w:r>
        <w:t>La comparación entre el grupo control y el IFN-score principal mediante el test de Wilcoxon-Mann-Whitney demostró una diferencia estadísticamente significativa (p = 1,05 × 10⁻⁴, r = 0,23), coherente con la activación crónica de la vía de interferón tipo I descrita en el LES.</w:t>
      </w:r>
    </w:p>
    <w:p w14:paraId="20868FA7" w14:textId="77777777" w:rsidR="00C65868" w:rsidRDefault="00000000" w:rsidP="00C65868">
      <w:pPr>
        <w:keepNext/>
        <w:jc w:val="center"/>
      </w:pPr>
      <w:r>
        <w:rPr>
          <w:noProof/>
        </w:rPr>
        <w:drawing>
          <wp:inline distT="0" distB="0" distL="0" distR="0" wp14:anchorId="261964E5" wp14:editId="5E65B8A0">
            <wp:extent cx="4212077" cy="2675107"/>
            <wp:effectExtent l="0" t="0" r="4445" b="5080"/>
            <wp:docPr id="4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30"/>
                    <a:srcRect/>
                    <a:stretch>
                      <a:fillRect/>
                    </a:stretch>
                  </pic:blipFill>
                  <pic:spPr>
                    <a:xfrm>
                      <a:off x="0" y="0"/>
                      <a:ext cx="4226387" cy="2684196"/>
                    </a:xfrm>
                    <a:prstGeom prst="rect">
                      <a:avLst/>
                    </a:prstGeom>
                    <a:ln/>
                  </pic:spPr>
                </pic:pic>
              </a:graphicData>
            </a:graphic>
          </wp:inline>
        </w:drawing>
      </w:r>
    </w:p>
    <w:p w14:paraId="41D9942D" w14:textId="6CE4E946" w:rsidR="00097466" w:rsidRDefault="00C65868" w:rsidP="00C67F76">
      <w:pPr>
        <w:pStyle w:val="Descripcin"/>
      </w:pPr>
      <w:bookmarkStart w:id="132" w:name="_Toc230792280"/>
      <w:r>
        <w:t xml:space="preserve">Ilustración </w:t>
      </w:r>
      <w:fldSimple w:instr=" SEQ Ilustración \* ARABIC ">
        <w:r w:rsidR="00E76F9C">
          <w:rPr>
            <w:noProof/>
          </w:rPr>
          <w:t>7</w:t>
        </w:r>
      </w:fldSimple>
      <w:r>
        <w:t xml:space="preserve">. </w:t>
      </w:r>
      <w:r w:rsidRPr="00B202A2">
        <w:t>Distribución del IFN-score principal (72 genes IGS) en pacientes con LES (n=251) y controles sanos (n=24). La línea discontinua roja indica el punto de corte para la clasificación IFN-</w:t>
      </w:r>
      <w:proofErr w:type="spellStart"/>
      <w:r w:rsidRPr="00B202A2">
        <w:t>high</w:t>
      </w:r>
      <w:proofErr w:type="spellEnd"/>
      <w:r w:rsidRPr="00B202A2">
        <w:t>/IFN-low (1,264). Test de Wilcoxon, p = 1,05 × 10⁻⁴, r = 0,23.</w:t>
      </w:r>
      <w:bookmarkEnd w:id="132"/>
    </w:p>
    <w:p w14:paraId="1CA4A60F" w14:textId="77777777" w:rsidR="00097466" w:rsidRDefault="00000000">
      <w:pPr>
        <w:pStyle w:val="Ttulo2"/>
        <w:numPr>
          <w:ilvl w:val="1"/>
          <w:numId w:val="17"/>
        </w:numPr>
      </w:pPr>
      <w:bookmarkStart w:id="133" w:name="_Toc229237689"/>
      <w:bookmarkStart w:id="134" w:name="_Toc230792329"/>
      <w:r>
        <w:lastRenderedPageBreak/>
        <w:t>Análisis de expresión génica y firma de interferón tipo I</w:t>
      </w:r>
      <w:bookmarkEnd w:id="133"/>
      <w:bookmarkEnd w:id="134"/>
    </w:p>
    <w:p w14:paraId="738352E8" w14:textId="77777777" w:rsidR="00097466" w:rsidRDefault="00000000">
      <w:pPr>
        <w:pStyle w:val="Ttulo3"/>
        <w:numPr>
          <w:ilvl w:val="2"/>
          <w:numId w:val="17"/>
        </w:numPr>
      </w:pPr>
      <w:r>
        <w:t>Clasificación IFN-</w:t>
      </w:r>
      <w:proofErr w:type="spellStart"/>
      <w:r>
        <w:t>high</w:t>
      </w:r>
      <w:proofErr w:type="spellEnd"/>
      <w:r>
        <w:t xml:space="preserve"> / IFN-low y análisis de sensibilidad del punto de corte</w:t>
      </w:r>
    </w:p>
    <w:p w14:paraId="101076BC" w14:textId="5C3056B7" w:rsidR="00097466" w:rsidRDefault="00000000">
      <w:r>
        <w:t xml:space="preserve">El </w:t>
      </w:r>
      <w:r>
        <w:rPr>
          <w:b/>
          <w:bCs/>
        </w:rPr>
        <w:t>punto de corte</w:t>
      </w:r>
      <w:r>
        <w:t xml:space="preserve"> para la clasificación IFN-</w:t>
      </w:r>
      <w:proofErr w:type="spellStart"/>
      <w:r>
        <w:t>high</w:t>
      </w:r>
      <w:proofErr w:type="spellEnd"/>
      <w:r>
        <w:t xml:space="preserve">/IFN-low se fijó en la media + 2 DE del IFN-score principal calculado sobre los controles sanos, criterio consistente con el empleado en estudios previos </w:t>
      </w:r>
      <w:r>
        <w:rPr>
          <w:color w:val="000000"/>
        </w:rPr>
        <w:t>[12,22,25]</w:t>
      </w:r>
      <w:r>
        <w:t xml:space="preserve">. Este umbral se estableció en </w:t>
      </w:r>
      <w:r>
        <w:rPr>
          <w:b/>
          <w:bCs/>
        </w:rPr>
        <w:t>1,264 unidades logarítmicas</w:t>
      </w:r>
      <w:r>
        <w:t>. Aplicando este criterio, 87 pacientes (34,7%) fueron clasificados como IFN-</w:t>
      </w:r>
      <w:proofErr w:type="spellStart"/>
      <w:r>
        <w:t>high</w:t>
      </w:r>
      <w:proofErr w:type="spellEnd"/>
      <w:r>
        <w:t xml:space="preserve"> y 164 (65,3%) como IFN-low</w:t>
      </w:r>
      <w:r w:rsidR="00F6675B">
        <w:t xml:space="preserve"> (Tabla 19)</w:t>
      </w:r>
      <w:r>
        <w:t xml:space="preserve">. </w:t>
      </w:r>
    </w:p>
    <w:tbl>
      <w:tblPr>
        <w:tblStyle w:val="af3"/>
        <w:tblW w:w="8485" w:type="dxa"/>
        <w:tblInd w:w="0" w:type="dxa"/>
        <w:tblLayout w:type="fixed"/>
        <w:tblLook w:val="0400" w:firstRow="0" w:lastRow="0" w:firstColumn="0" w:lastColumn="0" w:noHBand="0" w:noVBand="1"/>
      </w:tblPr>
      <w:tblGrid>
        <w:gridCol w:w="4375"/>
        <w:gridCol w:w="1544"/>
        <w:gridCol w:w="2566"/>
      </w:tblGrid>
      <w:tr w:rsidR="00097466" w14:paraId="661A765D" w14:textId="77777777">
        <w:trPr>
          <w:trHeight w:val="397"/>
        </w:trPr>
        <w:tc>
          <w:tcPr>
            <w:tcW w:w="4375"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62A7C5DD" w14:textId="77777777" w:rsidR="00097466" w:rsidRDefault="00000000">
            <w:pPr>
              <w:spacing w:before="0" w:after="0" w:line="240" w:lineRule="auto"/>
              <w:jc w:val="left"/>
              <w:rPr>
                <w:b/>
                <w:bCs/>
                <w:color w:val="000000"/>
                <w:sz w:val="20"/>
                <w:szCs w:val="20"/>
              </w:rPr>
            </w:pPr>
            <w:r>
              <w:rPr>
                <w:b/>
                <w:bCs/>
                <w:color w:val="000000"/>
                <w:sz w:val="20"/>
                <w:szCs w:val="20"/>
              </w:rPr>
              <w:t>Subgrupo IFN</w:t>
            </w:r>
          </w:p>
        </w:tc>
        <w:tc>
          <w:tcPr>
            <w:tcW w:w="1544" w:type="dxa"/>
            <w:tcBorders>
              <w:top w:val="single" w:sz="8" w:space="0" w:color="DDDDDD"/>
              <w:left w:val="nil"/>
              <w:bottom w:val="single" w:sz="8" w:space="0" w:color="DDDDDD"/>
              <w:right w:val="single" w:sz="8" w:space="0" w:color="DDDDDD"/>
            </w:tcBorders>
            <w:shd w:val="clear" w:color="auto" w:fill="F2F2F2"/>
            <w:vAlign w:val="center"/>
          </w:tcPr>
          <w:p w14:paraId="595E98A2" w14:textId="77777777" w:rsidR="00097466" w:rsidRDefault="00000000" w:rsidP="00F6675B">
            <w:pPr>
              <w:spacing w:before="0" w:after="0" w:line="240" w:lineRule="auto"/>
              <w:jc w:val="center"/>
              <w:rPr>
                <w:b/>
                <w:bCs/>
                <w:color w:val="000000"/>
                <w:sz w:val="20"/>
                <w:szCs w:val="20"/>
              </w:rPr>
            </w:pPr>
            <w:r>
              <w:rPr>
                <w:b/>
                <w:bCs/>
                <w:color w:val="000000"/>
                <w:sz w:val="20"/>
                <w:szCs w:val="20"/>
              </w:rPr>
              <w:t>N</w:t>
            </w:r>
          </w:p>
        </w:tc>
        <w:tc>
          <w:tcPr>
            <w:tcW w:w="2566" w:type="dxa"/>
            <w:tcBorders>
              <w:top w:val="single" w:sz="8" w:space="0" w:color="DDDDDD"/>
              <w:left w:val="nil"/>
              <w:bottom w:val="single" w:sz="8" w:space="0" w:color="DDDDDD"/>
              <w:right w:val="single" w:sz="8" w:space="0" w:color="DDDDDD"/>
            </w:tcBorders>
            <w:shd w:val="clear" w:color="auto" w:fill="F2F2F2"/>
            <w:vAlign w:val="center"/>
          </w:tcPr>
          <w:p w14:paraId="1D126787" w14:textId="77777777" w:rsidR="00097466" w:rsidRDefault="00000000" w:rsidP="00F6675B">
            <w:pPr>
              <w:spacing w:before="0" w:after="0" w:line="240" w:lineRule="auto"/>
              <w:jc w:val="center"/>
              <w:rPr>
                <w:b/>
                <w:bCs/>
                <w:color w:val="000000"/>
                <w:sz w:val="20"/>
                <w:szCs w:val="20"/>
              </w:rPr>
            </w:pPr>
            <w:r>
              <w:rPr>
                <w:b/>
                <w:bCs/>
                <w:color w:val="000000"/>
                <w:sz w:val="20"/>
                <w:szCs w:val="20"/>
              </w:rPr>
              <w:t>%</w:t>
            </w:r>
          </w:p>
        </w:tc>
      </w:tr>
      <w:tr w:rsidR="00097466" w14:paraId="78DFCC57" w14:textId="77777777">
        <w:trPr>
          <w:trHeight w:val="397"/>
        </w:trPr>
        <w:tc>
          <w:tcPr>
            <w:tcW w:w="4375" w:type="dxa"/>
            <w:tcBorders>
              <w:top w:val="nil"/>
              <w:left w:val="single" w:sz="8" w:space="0" w:color="DDDDDD"/>
              <w:bottom w:val="single" w:sz="8" w:space="0" w:color="DDDDDD"/>
              <w:right w:val="single" w:sz="8" w:space="0" w:color="DDDDDD"/>
            </w:tcBorders>
            <w:shd w:val="clear" w:color="auto" w:fill="auto"/>
            <w:vAlign w:val="center"/>
          </w:tcPr>
          <w:p w14:paraId="203BC333" w14:textId="77777777" w:rsidR="00097466" w:rsidRDefault="00000000">
            <w:pPr>
              <w:spacing w:before="0" w:after="0" w:line="240" w:lineRule="auto"/>
              <w:jc w:val="left"/>
              <w:rPr>
                <w:color w:val="000000"/>
                <w:sz w:val="20"/>
                <w:szCs w:val="20"/>
              </w:rPr>
            </w:pPr>
            <w:r>
              <w:rPr>
                <w:color w:val="000000"/>
                <w:sz w:val="20"/>
                <w:szCs w:val="20"/>
              </w:rPr>
              <w:t>IFN-</w:t>
            </w:r>
            <w:proofErr w:type="spellStart"/>
            <w:r>
              <w:rPr>
                <w:color w:val="000000"/>
                <w:sz w:val="20"/>
                <w:szCs w:val="20"/>
              </w:rPr>
              <w:t>high</w:t>
            </w:r>
            <w:proofErr w:type="spellEnd"/>
          </w:p>
        </w:tc>
        <w:tc>
          <w:tcPr>
            <w:tcW w:w="1544" w:type="dxa"/>
            <w:tcBorders>
              <w:top w:val="nil"/>
              <w:left w:val="nil"/>
              <w:bottom w:val="single" w:sz="8" w:space="0" w:color="DDDDDD"/>
              <w:right w:val="single" w:sz="8" w:space="0" w:color="DDDDDD"/>
            </w:tcBorders>
            <w:shd w:val="clear" w:color="auto" w:fill="auto"/>
            <w:vAlign w:val="center"/>
          </w:tcPr>
          <w:p w14:paraId="2FBC4735" w14:textId="77777777" w:rsidR="00097466" w:rsidRDefault="00000000" w:rsidP="00F6675B">
            <w:pPr>
              <w:spacing w:before="0" w:after="0" w:line="240" w:lineRule="auto"/>
              <w:jc w:val="center"/>
              <w:rPr>
                <w:color w:val="000000"/>
                <w:sz w:val="20"/>
                <w:szCs w:val="20"/>
              </w:rPr>
            </w:pPr>
            <w:r>
              <w:rPr>
                <w:color w:val="000000"/>
                <w:sz w:val="20"/>
                <w:szCs w:val="20"/>
              </w:rPr>
              <w:t>87</w:t>
            </w:r>
          </w:p>
        </w:tc>
        <w:tc>
          <w:tcPr>
            <w:tcW w:w="2566" w:type="dxa"/>
            <w:tcBorders>
              <w:top w:val="nil"/>
              <w:left w:val="nil"/>
              <w:bottom w:val="single" w:sz="8" w:space="0" w:color="DDDDDD"/>
              <w:right w:val="single" w:sz="8" w:space="0" w:color="DDDDDD"/>
            </w:tcBorders>
            <w:shd w:val="clear" w:color="auto" w:fill="auto"/>
            <w:vAlign w:val="center"/>
          </w:tcPr>
          <w:p w14:paraId="65048143" w14:textId="77777777" w:rsidR="00097466" w:rsidRDefault="00000000" w:rsidP="00F6675B">
            <w:pPr>
              <w:spacing w:before="0" w:after="0" w:line="240" w:lineRule="auto"/>
              <w:jc w:val="center"/>
              <w:rPr>
                <w:color w:val="000000"/>
                <w:sz w:val="20"/>
                <w:szCs w:val="20"/>
              </w:rPr>
            </w:pPr>
            <w:r>
              <w:rPr>
                <w:color w:val="000000"/>
                <w:sz w:val="20"/>
                <w:szCs w:val="20"/>
              </w:rPr>
              <w:t>34,70%</w:t>
            </w:r>
          </w:p>
        </w:tc>
      </w:tr>
      <w:tr w:rsidR="00097466" w14:paraId="2C5E4B20" w14:textId="77777777">
        <w:trPr>
          <w:trHeight w:val="397"/>
        </w:trPr>
        <w:tc>
          <w:tcPr>
            <w:tcW w:w="4375" w:type="dxa"/>
            <w:tcBorders>
              <w:top w:val="nil"/>
              <w:left w:val="single" w:sz="8" w:space="0" w:color="DDDDDD"/>
              <w:bottom w:val="single" w:sz="8" w:space="0" w:color="DDDDDD"/>
              <w:right w:val="single" w:sz="8" w:space="0" w:color="DDDDDD"/>
            </w:tcBorders>
            <w:shd w:val="clear" w:color="auto" w:fill="auto"/>
            <w:vAlign w:val="center"/>
          </w:tcPr>
          <w:p w14:paraId="3CAF201D" w14:textId="77777777" w:rsidR="00097466" w:rsidRDefault="00000000">
            <w:pPr>
              <w:spacing w:before="0" w:after="0" w:line="240" w:lineRule="auto"/>
              <w:jc w:val="left"/>
              <w:rPr>
                <w:color w:val="000000"/>
                <w:sz w:val="20"/>
                <w:szCs w:val="20"/>
              </w:rPr>
            </w:pPr>
            <w:r>
              <w:rPr>
                <w:color w:val="000000"/>
                <w:sz w:val="20"/>
                <w:szCs w:val="20"/>
              </w:rPr>
              <w:t>IFN-low</w:t>
            </w:r>
          </w:p>
        </w:tc>
        <w:tc>
          <w:tcPr>
            <w:tcW w:w="1544" w:type="dxa"/>
            <w:tcBorders>
              <w:top w:val="nil"/>
              <w:left w:val="nil"/>
              <w:bottom w:val="single" w:sz="8" w:space="0" w:color="DDDDDD"/>
              <w:right w:val="single" w:sz="8" w:space="0" w:color="DDDDDD"/>
            </w:tcBorders>
            <w:shd w:val="clear" w:color="auto" w:fill="auto"/>
            <w:vAlign w:val="center"/>
          </w:tcPr>
          <w:p w14:paraId="256FD1C7" w14:textId="77777777" w:rsidR="00097466" w:rsidRDefault="00000000" w:rsidP="00F6675B">
            <w:pPr>
              <w:spacing w:before="0" w:after="0" w:line="240" w:lineRule="auto"/>
              <w:jc w:val="center"/>
              <w:rPr>
                <w:color w:val="000000"/>
                <w:sz w:val="20"/>
                <w:szCs w:val="20"/>
              </w:rPr>
            </w:pPr>
            <w:r>
              <w:rPr>
                <w:color w:val="000000"/>
                <w:sz w:val="20"/>
                <w:szCs w:val="20"/>
              </w:rPr>
              <w:t>164</w:t>
            </w:r>
          </w:p>
        </w:tc>
        <w:tc>
          <w:tcPr>
            <w:tcW w:w="2566" w:type="dxa"/>
            <w:tcBorders>
              <w:top w:val="nil"/>
              <w:left w:val="nil"/>
              <w:bottom w:val="single" w:sz="8" w:space="0" w:color="DDDDDD"/>
              <w:right w:val="single" w:sz="8" w:space="0" w:color="DDDDDD"/>
            </w:tcBorders>
            <w:shd w:val="clear" w:color="auto" w:fill="auto"/>
            <w:vAlign w:val="center"/>
          </w:tcPr>
          <w:p w14:paraId="4DCF7F95" w14:textId="77777777" w:rsidR="00097466" w:rsidRDefault="00000000" w:rsidP="00F6675B">
            <w:pPr>
              <w:spacing w:before="0" w:after="0" w:line="240" w:lineRule="auto"/>
              <w:jc w:val="center"/>
              <w:rPr>
                <w:color w:val="000000"/>
                <w:sz w:val="20"/>
                <w:szCs w:val="20"/>
              </w:rPr>
            </w:pPr>
            <w:r>
              <w:rPr>
                <w:color w:val="000000"/>
                <w:sz w:val="20"/>
                <w:szCs w:val="20"/>
              </w:rPr>
              <w:t>65,30%</w:t>
            </w:r>
          </w:p>
        </w:tc>
      </w:tr>
      <w:tr w:rsidR="00097466" w14:paraId="21E69289" w14:textId="77777777">
        <w:trPr>
          <w:trHeight w:val="397"/>
        </w:trPr>
        <w:tc>
          <w:tcPr>
            <w:tcW w:w="4375" w:type="dxa"/>
            <w:tcBorders>
              <w:top w:val="nil"/>
              <w:left w:val="single" w:sz="8" w:space="0" w:color="DDDDDD"/>
              <w:bottom w:val="single" w:sz="8" w:space="0" w:color="DDDDDD"/>
              <w:right w:val="single" w:sz="8" w:space="0" w:color="DDDDDD"/>
            </w:tcBorders>
            <w:shd w:val="clear" w:color="auto" w:fill="auto"/>
            <w:vAlign w:val="center"/>
          </w:tcPr>
          <w:p w14:paraId="3874D5DB" w14:textId="77777777" w:rsidR="00097466" w:rsidRDefault="00000000">
            <w:pPr>
              <w:spacing w:before="0" w:after="0" w:line="240" w:lineRule="auto"/>
              <w:jc w:val="left"/>
              <w:rPr>
                <w:b/>
                <w:bCs/>
                <w:color w:val="000000"/>
                <w:sz w:val="20"/>
                <w:szCs w:val="20"/>
              </w:rPr>
            </w:pPr>
            <w:r>
              <w:rPr>
                <w:b/>
                <w:bCs/>
                <w:color w:val="000000"/>
                <w:sz w:val="20"/>
                <w:szCs w:val="20"/>
              </w:rPr>
              <w:t>Total</w:t>
            </w:r>
          </w:p>
        </w:tc>
        <w:tc>
          <w:tcPr>
            <w:tcW w:w="1544" w:type="dxa"/>
            <w:tcBorders>
              <w:top w:val="nil"/>
              <w:left w:val="nil"/>
              <w:bottom w:val="single" w:sz="8" w:space="0" w:color="DDDDDD"/>
              <w:right w:val="single" w:sz="8" w:space="0" w:color="DDDDDD"/>
            </w:tcBorders>
            <w:shd w:val="clear" w:color="auto" w:fill="auto"/>
            <w:vAlign w:val="center"/>
          </w:tcPr>
          <w:p w14:paraId="753CF41E" w14:textId="77777777" w:rsidR="00097466" w:rsidRDefault="00000000" w:rsidP="00F6675B">
            <w:pPr>
              <w:spacing w:before="0" w:after="0" w:line="240" w:lineRule="auto"/>
              <w:jc w:val="center"/>
              <w:rPr>
                <w:b/>
                <w:bCs/>
                <w:color w:val="000000"/>
                <w:sz w:val="20"/>
                <w:szCs w:val="20"/>
              </w:rPr>
            </w:pPr>
            <w:r>
              <w:rPr>
                <w:b/>
                <w:bCs/>
                <w:color w:val="000000"/>
                <w:sz w:val="20"/>
                <w:szCs w:val="20"/>
              </w:rPr>
              <w:t>251</w:t>
            </w:r>
          </w:p>
        </w:tc>
        <w:tc>
          <w:tcPr>
            <w:tcW w:w="2566" w:type="dxa"/>
            <w:tcBorders>
              <w:top w:val="nil"/>
              <w:left w:val="nil"/>
              <w:bottom w:val="single" w:sz="8" w:space="0" w:color="DDDDDD"/>
              <w:right w:val="single" w:sz="8" w:space="0" w:color="DDDDDD"/>
            </w:tcBorders>
            <w:shd w:val="clear" w:color="auto" w:fill="auto"/>
            <w:vAlign w:val="center"/>
          </w:tcPr>
          <w:p w14:paraId="3E6E20A1" w14:textId="77777777" w:rsidR="00097466" w:rsidRDefault="00000000" w:rsidP="00F6675B">
            <w:pPr>
              <w:keepNext/>
              <w:spacing w:before="0" w:after="0" w:line="240" w:lineRule="auto"/>
              <w:jc w:val="center"/>
              <w:rPr>
                <w:b/>
                <w:bCs/>
                <w:color w:val="000000"/>
                <w:sz w:val="20"/>
                <w:szCs w:val="20"/>
              </w:rPr>
            </w:pPr>
            <w:r>
              <w:rPr>
                <w:b/>
                <w:bCs/>
                <w:color w:val="000000"/>
                <w:sz w:val="20"/>
                <w:szCs w:val="20"/>
              </w:rPr>
              <w:t>100%</w:t>
            </w:r>
          </w:p>
        </w:tc>
      </w:tr>
    </w:tbl>
    <w:p w14:paraId="6712FFCC" w14:textId="7E9C786C" w:rsidR="00D019C5" w:rsidRDefault="00D019C5" w:rsidP="00C67F76">
      <w:pPr>
        <w:pStyle w:val="Descripcin"/>
      </w:pPr>
      <w:bookmarkStart w:id="135" w:name="_Toc230792254"/>
      <w:r>
        <w:t xml:space="preserve">Tabla </w:t>
      </w:r>
      <w:fldSimple w:instr=" SEQ Tabla \* ARABIC ">
        <w:r w:rsidR="00716AEA">
          <w:rPr>
            <w:noProof/>
          </w:rPr>
          <w:t>19</w:t>
        </w:r>
      </w:fldSimple>
      <w:r>
        <w:t xml:space="preserve">. </w:t>
      </w:r>
      <w:r w:rsidRPr="00E84779">
        <w:t>Clasificación de pacientes LES según el IFN-score principal (72 genes)</w:t>
      </w:r>
      <w:bookmarkEnd w:id="135"/>
    </w:p>
    <w:p w14:paraId="2FE4B833" w14:textId="77777777" w:rsidR="00097466" w:rsidRDefault="00000000">
      <w:r>
        <w:t>Con el fin de evaluar la robustez de esta clasificación, se comparó el criterio principal frente a tres criterios alternativos: media + 1,5 DE, percentil 95 y percentil 90 de los controles. El porcentaje de pacientes clasificados como IFN-</w:t>
      </w:r>
      <w:proofErr w:type="spellStart"/>
      <w:r>
        <w:t>high</w:t>
      </w:r>
      <w:proofErr w:type="spellEnd"/>
      <w:r>
        <w:t xml:space="preserve"> osciló entre el 31,1% (percentil 95) y el 51,8% (percentil 90). Notablemente, el criterio principal (media + 2 DE) y el percentil 95 proporcionaron clasificaciones prácticamente equivalentes (34,7% frente a 31,1%), lo que confirmó la consistencia del umbral elegido con su equivalente no paramétrico.</w:t>
      </w:r>
    </w:p>
    <w:tbl>
      <w:tblPr>
        <w:tblStyle w:val="af4"/>
        <w:tblW w:w="8485" w:type="dxa"/>
        <w:tblInd w:w="0" w:type="dxa"/>
        <w:tblLayout w:type="fixed"/>
        <w:tblLook w:val="0400" w:firstRow="0" w:lastRow="0" w:firstColumn="0" w:lastColumn="0" w:noHBand="0" w:noVBand="1"/>
      </w:tblPr>
      <w:tblGrid>
        <w:gridCol w:w="3753"/>
        <w:gridCol w:w="1900"/>
        <w:gridCol w:w="1407"/>
        <w:gridCol w:w="1425"/>
      </w:tblGrid>
      <w:tr w:rsidR="00097466" w14:paraId="5962EC2F" w14:textId="77777777">
        <w:trPr>
          <w:trHeight w:val="397"/>
        </w:trPr>
        <w:tc>
          <w:tcPr>
            <w:tcW w:w="3753"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747B4A26" w14:textId="77777777" w:rsidR="00097466" w:rsidRDefault="00000000">
            <w:pPr>
              <w:spacing w:before="0" w:after="0" w:line="240" w:lineRule="auto"/>
              <w:jc w:val="left"/>
              <w:rPr>
                <w:b/>
                <w:bCs/>
                <w:color w:val="000000"/>
                <w:sz w:val="20"/>
                <w:szCs w:val="20"/>
              </w:rPr>
            </w:pPr>
            <w:r>
              <w:rPr>
                <w:b/>
                <w:bCs/>
                <w:color w:val="000000"/>
                <w:sz w:val="20"/>
                <w:szCs w:val="20"/>
              </w:rPr>
              <w:t>Criterio</w:t>
            </w:r>
          </w:p>
        </w:tc>
        <w:tc>
          <w:tcPr>
            <w:tcW w:w="1900" w:type="dxa"/>
            <w:tcBorders>
              <w:top w:val="single" w:sz="8" w:space="0" w:color="DDDDDD"/>
              <w:left w:val="nil"/>
              <w:bottom w:val="single" w:sz="8" w:space="0" w:color="DDDDDD"/>
              <w:right w:val="single" w:sz="8" w:space="0" w:color="DDDDDD"/>
            </w:tcBorders>
            <w:shd w:val="clear" w:color="auto" w:fill="F2F2F2"/>
            <w:vAlign w:val="center"/>
          </w:tcPr>
          <w:p w14:paraId="38D89AE7" w14:textId="77777777" w:rsidR="00097466" w:rsidRDefault="00000000" w:rsidP="00F6675B">
            <w:pPr>
              <w:spacing w:before="0" w:after="0" w:line="240" w:lineRule="auto"/>
              <w:jc w:val="center"/>
              <w:rPr>
                <w:b/>
                <w:bCs/>
                <w:color w:val="000000"/>
                <w:sz w:val="20"/>
                <w:szCs w:val="20"/>
              </w:rPr>
            </w:pPr>
            <w:r>
              <w:rPr>
                <w:b/>
                <w:bCs/>
                <w:color w:val="000000"/>
                <w:sz w:val="20"/>
                <w:szCs w:val="20"/>
              </w:rPr>
              <w:t>Punto de corte</w:t>
            </w:r>
          </w:p>
        </w:tc>
        <w:tc>
          <w:tcPr>
            <w:tcW w:w="1407" w:type="dxa"/>
            <w:tcBorders>
              <w:top w:val="single" w:sz="8" w:space="0" w:color="DDDDDD"/>
              <w:left w:val="nil"/>
              <w:bottom w:val="single" w:sz="8" w:space="0" w:color="DDDDDD"/>
              <w:right w:val="single" w:sz="8" w:space="0" w:color="DDDDDD"/>
            </w:tcBorders>
            <w:shd w:val="clear" w:color="auto" w:fill="F2F2F2"/>
            <w:vAlign w:val="center"/>
          </w:tcPr>
          <w:p w14:paraId="68BB5693" w14:textId="77777777" w:rsidR="00097466" w:rsidRDefault="00000000" w:rsidP="00F6675B">
            <w:pPr>
              <w:spacing w:before="0" w:after="0" w:line="240" w:lineRule="auto"/>
              <w:jc w:val="center"/>
              <w:rPr>
                <w:b/>
                <w:bCs/>
                <w:color w:val="000000"/>
                <w:sz w:val="20"/>
                <w:szCs w:val="20"/>
              </w:rPr>
            </w:pPr>
            <w:r>
              <w:rPr>
                <w:b/>
                <w:bCs/>
                <w:color w:val="000000"/>
                <w:sz w:val="20"/>
                <w:szCs w:val="20"/>
              </w:rPr>
              <w:t>N IFN-</w:t>
            </w:r>
            <w:proofErr w:type="spellStart"/>
            <w:r>
              <w:rPr>
                <w:b/>
                <w:bCs/>
                <w:color w:val="000000"/>
                <w:sz w:val="20"/>
                <w:szCs w:val="20"/>
              </w:rPr>
              <w:t>high</w:t>
            </w:r>
            <w:proofErr w:type="spellEnd"/>
          </w:p>
        </w:tc>
        <w:tc>
          <w:tcPr>
            <w:tcW w:w="1425" w:type="dxa"/>
            <w:tcBorders>
              <w:top w:val="single" w:sz="8" w:space="0" w:color="DDDDDD"/>
              <w:left w:val="nil"/>
              <w:bottom w:val="single" w:sz="8" w:space="0" w:color="DDDDDD"/>
              <w:right w:val="single" w:sz="8" w:space="0" w:color="DDDDDD"/>
            </w:tcBorders>
            <w:shd w:val="clear" w:color="auto" w:fill="F2F2F2"/>
            <w:vAlign w:val="center"/>
          </w:tcPr>
          <w:p w14:paraId="75F52A41" w14:textId="77777777" w:rsidR="00097466" w:rsidRDefault="00000000" w:rsidP="00F6675B">
            <w:pPr>
              <w:spacing w:before="0" w:after="0" w:line="240" w:lineRule="auto"/>
              <w:jc w:val="center"/>
              <w:rPr>
                <w:b/>
                <w:bCs/>
                <w:color w:val="000000"/>
                <w:sz w:val="20"/>
                <w:szCs w:val="20"/>
              </w:rPr>
            </w:pPr>
            <w:r>
              <w:rPr>
                <w:b/>
                <w:bCs/>
                <w:color w:val="000000"/>
                <w:sz w:val="20"/>
                <w:szCs w:val="20"/>
              </w:rPr>
              <w:t>% IFN-</w:t>
            </w:r>
            <w:proofErr w:type="spellStart"/>
            <w:r>
              <w:rPr>
                <w:b/>
                <w:bCs/>
                <w:color w:val="000000"/>
                <w:sz w:val="20"/>
                <w:szCs w:val="20"/>
              </w:rPr>
              <w:t>high</w:t>
            </w:r>
            <w:proofErr w:type="spellEnd"/>
          </w:p>
        </w:tc>
      </w:tr>
      <w:tr w:rsidR="00097466" w14:paraId="30E6A360" w14:textId="77777777">
        <w:trPr>
          <w:trHeight w:val="397"/>
        </w:trPr>
        <w:tc>
          <w:tcPr>
            <w:tcW w:w="3753" w:type="dxa"/>
            <w:tcBorders>
              <w:top w:val="nil"/>
              <w:left w:val="single" w:sz="8" w:space="0" w:color="DDDDDD"/>
              <w:bottom w:val="single" w:sz="8" w:space="0" w:color="DDDDDD"/>
              <w:right w:val="single" w:sz="8" w:space="0" w:color="DDDDDD"/>
            </w:tcBorders>
            <w:shd w:val="clear" w:color="auto" w:fill="auto"/>
            <w:vAlign w:val="center"/>
          </w:tcPr>
          <w:p w14:paraId="430BA88E" w14:textId="77777777" w:rsidR="00097466" w:rsidRDefault="00000000">
            <w:pPr>
              <w:spacing w:before="0" w:after="0" w:line="240" w:lineRule="auto"/>
              <w:jc w:val="left"/>
              <w:rPr>
                <w:color w:val="000000"/>
                <w:sz w:val="20"/>
                <w:szCs w:val="20"/>
              </w:rPr>
            </w:pPr>
            <w:r>
              <w:rPr>
                <w:color w:val="000000"/>
                <w:sz w:val="20"/>
                <w:szCs w:val="20"/>
              </w:rPr>
              <w:t xml:space="preserve">Media + 2 DE </w:t>
            </w:r>
            <w:r>
              <w:rPr>
                <w:i/>
                <w:iCs/>
                <w:color w:val="000000"/>
                <w:sz w:val="20"/>
                <w:szCs w:val="20"/>
              </w:rPr>
              <w:t>(criterio principal)</w:t>
            </w:r>
          </w:p>
        </w:tc>
        <w:tc>
          <w:tcPr>
            <w:tcW w:w="1900" w:type="dxa"/>
            <w:tcBorders>
              <w:top w:val="nil"/>
              <w:left w:val="nil"/>
              <w:bottom w:val="single" w:sz="8" w:space="0" w:color="DDDDDD"/>
              <w:right w:val="single" w:sz="8" w:space="0" w:color="DDDDDD"/>
            </w:tcBorders>
            <w:shd w:val="clear" w:color="auto" w:fill="auto"/>
            <w:vAlign w:val="center"/>
          </w:tcPr>
          <w:p w14:paraId="314E357D" w14:textId="77777777" w:rsidR="00097466" w:rsidRDefault="00000000" w:rsidP="00F6675B">
            <w:pPr>
              <w:spacing w:before="0" w:after="0" w:line="240" w:lineRule="auto"/>
              <w:jc w:val="center"/>
              <w:rPr>
                <w:color w:val="000000"/>
                <w:sz w:val="20"/>
                <w:szCs w:val="20"/>
              </w:rPr>
            </w:pPr>
            <w:r>
              <w:rPr>
                <w:color w:val="000000"/>
                <w:sz w:val="20"/>
                <w:szCs w:val="20"/>
              </w:rPr>
              <w:t>1,264</w:t>
            </w:r>
          </w:p>
        </w:tc>
        <w:tc>
          <w:tcPr>
            <w:tcW w:w="1407" w:type="dxa"/>
            <w:tcBorders>
              <w:top w:val="nil"/>
              <w:left w:val="nil"/>
              <w:bottom w:val="single" w:sz="8" w:space="0" w:color="DDDDDD"/>
              <w:right w:val="single" w:sz="8" w:space="0" w:color="DDDDDD"/>
            </w:tcBorders>
            <w:shd w:val="clear" w:color="auto" w:fill="auto"/>
            <w:vAlign w:val="center"/>
          </w:tcPr>
          <w:p w14:paraId="2066D773" w14:textId="77777777" w:rsidR="00097466" w:rsidRDefault="00000000" w:rsidP="00F6675B">
            <w:pPr>
              <w:spacing w:before="0" w:after="0" w:line="240" w:lineRule="auto"/>
              <w:jc w:val="center"/>
              <w:rPr>
                <w:color w:val="000000"/>
                <w:sz w:val="20"/>
                <w:szCs w:val="20"/>
              </w:rPr>
            </w:pPr>
            <w:r>
              <w:rPr>
                <w:color w:val="000000"/>
                <w:sz w:val="20"/>
                <w:szCs w:val="20"/>
              </w:rPr>
              <w:t>87</w:t>
            </w:r>
          </w:p>
        </w:tc>
        <w:tc>
          <w:tcPr>
            <w:tcW w:w="1425" w:type="dxa"/>
            <w:tcBorders>
              <w:top w:val="nil"/>
              <w:left w:val="nil"/>
              <w:bottom w:val="single" w:sz="8" w:space="0" w:color="DDDDDD"/>
              <w:right w:val="single" w:sz="8" w:space="0" w:color="DDDDDD"/>
            </w:tcBorders>
            <w:shd w:val="clear" w:color="auto" w:fill="auto"/>
            <w:vAlign w:val="center"/>
          </w:tcPr>
          <w:p w14:paraId="246424DB" w14:textId="77777777" w:rsidR="00097466" w:rsidRDefault="00000000" w:rsidP="00F6675B">
            <w:pPr>
              <w:spacing w:before="0" w:after="0" w:line="240" w:lineRule="auto"/>
              <w:jc w:val="center"/>
              <w:rPr>
                <w:color w:val="000000"/>
                <w:sz w:val="20"/>
                <w:szCs w:val="20"/>
              </w:rPr>
            </w:pPr>
            <w:r>
              <w:rPr>
                <w:color w:val="000000"/>
                <w:sz w:val="20"/>
                <w:szCs w:val="20"/>
              </w:rPr>
              <w:t>34,70%</w:t>
            </w:r>
          </w:p>
        </w:tc>
      </w:tr>
      <w:tr w:rsidR="00097466" w14:paraId="4F784F6D" w14:textId="77777777">
        <w:trPr>
          <w:trHeight w:val="397"/>
        </w:trPr>
        <w:tc>
          <w:tcPr>
            <w:tcW w:w="3753" w:type="dxa"/>
            <w:tcBorders>
              <w:top w:val="nil"/>
              <w:left w:val="single" w:sz="8" w:space="0" w:color="DDDDDD"/>
              <w:bottom w:val="single" w:sz="8" w:space="0" w:color="DDDDDD"/>
              <w:right w:val="single" w:sz="8" w:space="0" w:color="DDDDDD"/>
            </w:tcBorders>
            <w:shd w:val="clear" w:color="auto" w:fill="auto"/>
            <w:vAlign w:val="center"/>
          </w:tcPr>
          <w:p w14:paraId="1B166E19" w14:textId="77777777" w:rsidR="00097466" w:rsidRDefault="00000000">
            <w:pPr>
              <w:spacing w:before="0" w:after="0" w:line="240" w:lineRule="auto"/>
              <w:jc w:val="left"/>
              <w:rPr>
                <w:color w:val="000000"/>
                <w:sz w:val="20"/>
                <w:szCs w:val="20"/>
              </w:rPr>
            </w:pPr>
            <w:r>
              <w:rPr>
                <w:color w:val="000000"/>
                <w:sz w:val="20"/>
                <w:szCs w:val="20"/>
              </w:rPr>
              <w:t>Media + 1,5 DE</w:t>
            </w:r>
          </w:p>
        </w:tc>
        <w:tc>
          <w:tcPr>
            <w:tcW w:w="1900" w:type="dxa"/>
            <w:tcBorders>
              <w:top w:val="nil"/>
              <w:left w:val="nil"/>
              <w:bottom w:val="single" w:sz="8" w:space="0" w:color="DDDDDD"/>
              <w:right w:val="single" w:sz="8" w:space="0" w:color="DDDDDD"/>
            </w:tcBorders>
            <w:shd w:val="clear" w:color="auto" w:fill="auto"/>
            <w:vAlign w:val="center"/>
          </w:tcPr>
          <w:p w14:paraId="468A6EDA" w14:textId="77777777" w:rsidR="00097466" w:rsidRDefault="00000000" w:rsidP="00F6675B">
            <w:pPr>
              <w:spacing w:before="0" w:after="0" w:line="240" w:lineRule="auto"/>
              <w:jc w:val="center"/>
              <w:rPr>
                <w:color w:val="000000"/>
                <w:sz w:val="20"/>
                <w:szCs w:val="20"/>
              </w:rPr>
            </w:pPr>
            <w:r>
              <w:rPr>
                <w:color w:val="000000"/>
                <w:sz w:val="20"/>
                <w:szCs w:val="20"/>
              </w:rPr>
              <w:t>0,984</w:t>
            </w:r>
          </w:p>
        </w:tc>
        <w:tc>
          <w:tcPr>
            <w:tcW w:w="1407" w:type="dxa"/>
            <w:tcBorders>
              <w:top w:val="nil"/>
              <w:left w:val="nil"/>
              <w:bottom w:val="single" w:sz="8" w:space="0" w:color="DDDDDD"/>
              <w:right w:val="single" w:sz="8" w:space="0" w:color="DDDDDD"/>
            </w:tcBorders>
            <w:shd w:val="clear" w:color="auto" w:fill="auto"/>
            <w:vAlign w:val="center"/>
          </w:tcPr>
          <w:p w14:paraId="47CB7CC2" w14:textId="77777777" w:rsidR="00097466" w:rsidRDefault="00000000" w:rsidP="00F6675B">
            <w:pPr>
              <w:spacing w:before="0" w:after="0" w:line="240" w:lineRule="auto"/>
              <w:jc w:val="center"/>
              <w:rPr>
                <w:color w:val="000000"/>
                <w:sz w:val="20"/>
                <w:szCs w:val="20"/>
              </w:rPr>
            </w:pPr>
            <w:r>
              <w:rPr>
                <w:color w:val="000000"/>
                <w:sz w:val="20"/>
                <w:szCs w:val="20"/>
              </w:rPr>
              <w:t>105</w:t>
            </w:r>
          </w:p>
        </w:tc>
        <w:tc>
          <w:tcPr>
            <w:tcW w:w="1425" w:type="dxa"/>
            <w:tcBorders>
              <w:top w:val="nil"/>
              <w:left w:val="nil"/>
              <w:bottom w:val="single" w:sz="8" w:space="0" w:color="DDDDDD"/>
              <w:right w:val="single" w:sz="8" w:space="0" w:color="DDDDDD"/>
            </w:tcBorders>
            <w:shd w:val="clear" w:color="auto" w:fill="auto"/>
            <w:vAlign w:val="center"/>
          </w:tcPr>
          <w:p w14:paraId="647DF6F7" w14:textId="77777777" w:rsidR="00097466" w:rsidRDefault="00000000" w:rsidP="00F6675B">
            <w:pPr>
              <w:spacing w:before="0" w:after="0" w:line="240" w:lineRule="auto"/>
              <w:jc w:val="center"/>
              <w:rPr>
                <w:color w:val="000000"/>
                <w:sz w:val="20"/>
                <w:szCs w:val="20"/>
              </w:rPr>
            </w:pPr>
            <w:r>
              <w:rPr>
                <w:color w:val="000000"/>
                <w:sz w:val="20"/>
                <w:szCs w:val="20"/>
              </w:rPr>
              <w:t>41,80%</w:t>
            </w:r>
          </w:p>
        </w:tc>
      </w:tr>
      <w:tr w:rsidR="00097466" w14:paraId="3C84753F" w14:textId="77777777">
        <w:trPr>
          <w:trHeight w:val="397"/>
        </w:trPr>
        <w:tc>
          <w:tcPr>
            <w:tcW w:w="3753" w:type="dxa"/>
            <w:tcBorders>
              <w:top w:val="nil"/>
              <w:left w:val="single" w:sz="8" w:space="0" w:color="DDDDDD"/>
              <w:bottom w:val="single" w:sz="8" w:space="0" w:color="DDDDDD"/>
              <w:right w:val="single" w:sz="8" w:space="0" w:color="DDDDDD"/>
            </w:tcBorders>
            <w:shd w:val="clear" w:color="auto" w:fill="auto"/>
            <w:vAlign w:val="center"/>
          </w:tcPr>
          <w:p w14:paraId="558BDF70" w14:textId="77777777" w:rsidR="00097466" w:rsidRDefault="00000000">
            <w:pPr>
              <w:spacing w:before="0" w:after="0" w:line="240" w:lineRule="auto"/>
              <w:jc w:val="left"/>
              <w:rPr>
                <w:color w:val="000000"/>
                <w:sz w:val="20"/>
                <w:szCs w:val="20"/>
              </w:rPr>
            </w:pPr>
            <w:r>
              <w:rPr>
                <w:color w:val="000000"/>
                <w:sz w:val="20"/>
                <w:szCs w:val="20"/>
              </w:rPr>
              <w:t>Percentil 95</w:t>
            </w:r>
          </w:p>
        </w:tc>
        <w:tc>
          <w:tcPr>
            <w:tcW w:w="1900" w:type="dxa"/>
            <w:tcBorders>
              <w:top w:val="nil"/>
              <w:left w:val="nil"/>
              <w:bottom w:val="single" w:sz="8" w:space="0" w:color="DDDDDD"/>
              <w:right w:val="single" w:sz="8" w:space="0" w:color="DDDDDD"/>
            </w:tcBorders>
            <w:shd w:val="clear" w:color="auto" w:fill="auto"/>
            <w:vAlign w:val="center"/>
          </w:tcPr>
          <w:p w14:paraId="7207B988" w14:textId="77777777" w:rsidR="00097466" w:rsidRDefault="00000000" w:rsidP="00F6675B">
            <w:pPr>
              <w:spacing w:before="0" w:after="0" w:line="240" w:lineRule="auto"/>
              <w:jc w:val="center"/>
              <w:rPr>
                <w:color w:val="000000"/>
                <w:sz w:val="20"/>
                <w:szCs w:val="20"/>
              </w:rPr>
            </w:pPr>
            <w:r>
              <w:rPr>
                <w:color w:val="000000"/>
                <w:sz w:val="20"/>
                <w:szCs w:val="20"/>
              </w:rPr>
              <w:t>1,341</w:t>
            </w:r>
          </w:p>
        </w:tc>
        <w:tc>
          <w:tcPr>
            <w:tcW w:w="1407" w:type="dxa"/>
            <w:tcBorders>
              <w:top w:val="nil"/>
              <w:left w:val="nil"/>
              <w:bottom w:val="single" w:sz="8" w:space="0" w:color="DDDDDD"/>
              <w:right w:val="single" w:sz="8" w:space="0" w:color="DDDDDD"/>
            </w:tcBorders>
            <w:shd w:val="clear" w:color="auto" w:fill="auto"/>
            <w:vAlign w:val="center"/>
          </w:tcPr>
          <w:p w14:paraId="2D657B30" w14:textId="77777777" w:rsidR="00097466" w:rsidRDefault="00000000" w:rsidP="00F6675B">
            <w:pPr>
              <w:spacing w:before="0" w:after="0" w:line="240" w:lineRule="auto"/>
              <w:jc w:val="center"/>
              <w:rPr>
                <w:color w:val="000000"/>
                <w:sz w:val="20"/>
                <w:szCs w:val="20"/>
              </w:rPr>
            </w:pPr>
            <w:r>
              <w:rPr>
                <w:color w:val="000000"/>
                <w:sz w:val="20"/>
                <w:szCs w:val="20"/>
              </w:rPr>
              <w:t>78</w:t>
            </w:r>
          </w:p>
        </w:tc>
        <w:tc>
          <w:tcPr>
            <w:tcW w:w="1425" w:type="dxa"/>
            <w:tcBorders>
              <w:top w:val="nil"/>
              <w:left w:val="nil"/>
              <w:bottom w:val="single" w:sz="8" w:space="0" w:color="DDDDDD"/>
              <w:right w:val="single" w:sz="8" w:space="0" w:color="DDDDDD"/>
            </w:tcBorders>
            <w:shd w:val="clear" w:color="auto" w:fill="auto"/>
            <w:vAlign w:val="center"/>
          </w:tcPr>
          <w:p w14:paraId="29339FC1" w14:textId="77777777" w:rsidR="00097466" w:rsidRDefault="00000000" w:rsidP="00F6675B">
            <w:pPr>
              <w:spacing w:before="0" w:after="0" w:line="240" w:lineRule="auto"/>
              <w:jc w:val="center"/>
              <w:rPr>
                <w:color w:val="000000"/>
                <w:sz w:val="20"/>
                <w:szCs w:val="20"/>
              </w:rPr>
            </w:pPr>
            <w:r>
              <w:rPr>
                <w:color w:val="000000"/>
                <w:sz w:val="20"/>
                <w:szCs w:val="20"/>
              </w:rPr>
              <w:t>31,10%</w:t>
            </w:r>
          </w:p>
        </w:tc>
      </w:tr>
      <w:tr w:rsidR="00097466" w14:paraId="616B3280" w14:textId="77777777">
        <w:trPr>
          <w:trHeight w:val="397"/>
        </w:trPr>
        <w:tc>
          <w:tcPr>
            <w:tcW w:w="3753" w:type="dxa"/>
            <w:tcBorders>
              <w:top w:val="nil"/>
              <w:left w:val="single" w:sz="8" w:space="0" w:color="DDDDDD"/>
              <w:bottom w:val="single" w:sz="8" w:space="0" w:color="DDDDDD"/>
              <w:right w:val="single" w:sz="8" w:space="0" w:color="DDDDDD"/>
            </w:tcBorders>
            <w:shd w:val="clear" w:color="auto" w:fill="auto"/>
            <w:vAlign w:val="center"/>
          </w:tcPr>
          <w:p w14:paraId="4092CC53" w14:textId="77777777" w:rsidR="00097466" w:rsidRDefault="00000000">
            <w:pPr>
              <w:spacing w:before="0" w:after="0" w:line="240" w:lineRule="auto"/>
              <w:jc w:val="left"/>
              <w:rPr>
                <w:color w:val="000000"/>
                <w:sz w:val="20"/>
                <w:szCs w:val="20"/>
              </w:rPr>
            </w:pPr>
            <w:r>
              <w:rPr>
                <w:color w:val="000000"/>
                <w:sz w:val="20"/>
                <w:szCs w:val="20"/>
              </w:rPr>
              <w:t>Percentil 90</w:t>
            </w:r>
          </w:p>
        </w:tc>
        <w:tc>
          <w:tcPr>
            <w:tcW w:w="1900" w:type="dxa"/>
            <w:tcBorders>
              <w:top w:val="nil"/>
              <w:left w:val="nil"/>
              <w:bottom w:val="single" w:sz="8" w:space="0" w:color="DDDDDD"/>
              <w:right w:val="single" w:sz="8" w:space="0" w:color="DDDDDD"/>
            </w:tcBorders>
            <w:shd w:val="clear" w:color="auto" w:fill="auto"/>
            <w:vAlign w:val="center"/>
          </w:tcPr>
          <w:p w14:paraId="5AB56F35" w14:textId="77777777" w:rsidR="00097466" w:rsidRDefault="00000000" w:rsidP="00F6675B">
            <w:pPr>
              <w:spacing w:before="0" w:after="0" w:line="240" w:lineRule="auto"/>
              <w:jc w:val="center"/>
              <w:rPr>
                <w:color w:val="000000"/>
                <w:sz w:val="20"/>
                <w:szCs w:val="20"/>
              </w:rPr>
            </w:pPr>
            <w:r>
              <w:rPr>
                <w:color w:val="000000"/>
                <w:sz w:val="20"/>
                <w:szCs w:val="20"/>
              </w:rPr>
              <w:t>0,714</w:t>
            </w:r>
          </w:p>
        </w:tc>
        <w:tc>
          <w:tcPr>
            <w:tcW w:w="1407" w:type="dxa"/>
            <w:tcBorders>
              <w:top w:val="nil"/>
              <w:left w:val="nil"/>
              <w:bottom w:val="single" w:sz="8" w:space="0" w:color="DDDDDD"/>
              <w:right w:val="single" w:sz="8" w:space="0" w:color="DDDDDD"/>
            </w:tcBorders>
            <w:shd w:val="clear" w:color="auto" w:fill="auto"/>
            <w:vAlign w:val="center"/>
          </w:tcPr>
          <w:p w14:paraId="7D782309" w14:textId="77777777" w:rsidR="00097466" w:rsidRDefault="00000000" w:rsidP="00F6675B">
            <w:pPr>
              <w:spacing w:before="0" w:after="0" w:line="240" w:lineRule="auto"/>
              <w:jc w:val="center"/>
              <w:rPr>
                <w:color w:val="000000"/>
                <w:sz w:val="20"/>
                <w:szCs w:val="20"/>
              </w:rPr>
            </w:pPr>
            <w:r>
              <w:rPr>
                <w:color w:val="000000"/>
                <w:sz w:val="20"/>
                <w:szCs w:val="20"/>
              </w:rPr>
              <w:t>130</w:t>
            </w:r>
          </w:p>
        </w:tc>
        <w:tc>
          <w:tcPr>
            <w:tcW w:w="1425" w:type="dxa"/>
            <w:tcBorders>
              <w:top w:val="nil"/>
              <w:left w:val="nil"/>
              <w:bottom w:val="single" w:sz="8" w:space="0" w:color="DDDDDD"/>
              <w:right w:val="single" w:sz="8" w:space="0" w:color="DDDDDD"/>
            </w:tcBorders>
            <w:shd w:val="clear" w:color="auto" w:fill="auto"/>
            <w:vAlign w:val="center"/>
          </w:tcPr>
          <w:p w14:paraId="04E507DC" w14:textId="77777777" w:rsidR="00097466" w:rsidRDefault="00000000" w:rsidP="00F6675B">
            <w:pPr>
              <w:keepNext/>
              <w:spacing w:before="0" w:after="0" w:line="240" w:lineRule="auto"/>
              <w:jc w:val="center"/>
              <w:rPr>
                <w:color w:val="000000"/>
                <w:sz w:val="20"/>
                <w:szCs w:val="20"/>
              </w:rPr>
            </w:pPr>
            <w:r>
              <w:rPr>
                <w:color w:val="000000"/>
                <w:sz w:val="20"/>
                <w:szCs w:val="20"/>
              </w:rPr>
              <w:t>51,80%</w:t>
            </w:r>
          </w:p>
        </w:tc>
      </w:tr>
    </w:tbl>
    <w:p w14:paraId="4CA2CCAF" w14:textId="33787A6C" w:rsidR="00D019C5" w:rsidRDefault="00D019C5" w:rsidP="00C67F76">
      <w:pPr>
        <w:pStyle w:val="Descripcin"/>
      </w:pPr>
      <w:bookmarkStart w:id="136" w:name="_Toc230792255"/>
      <w:r>
        <w:t xml:space="preserve">Tabla </w:t>
      </w:r>
      <w:fldSimple w:instr=" SEQ Tabla \* ARABIC ">
        <w:r w:rsidR="00716AEA">
          <w:rPr>
            <w:noProof/>
          </w:rPr>
          <w:t>20</w:t>
        </w:r>
      </w:fldSimple>
      <w:r>
        <w:t xml:space="preserve">. </w:t>
      </w:r>
      <w:r w:rsidRPr="00BA417C">
        <w:t>Análisis de sensibilidad: clasificación IFN-</w:t>
      </w:r>
      <w:proofErr w:type="spellStart"/>
      <w:r w:rsidRPr="00BA417C">
        <w:t>high</w:t>
      </w:r>
      <w:proofErr w:type="spellEnd"/>
      <w:r w:rsidRPr="00BA417C">
        <w:t xml:space="preserve"> según criterios alternativos de punto de corte</w:t>
      </w:r>
      <w:bookmarkEnd w:id="136"/>
    </w:p>
    <w:p w14:paraId="27F80EA6" w14:textId="77777777" w:rsidR="00097466" w:rsidRDefault="00000000">
      <w:pPr>
        <w:pStyle w:val="Ttulo3"/>
        <w:numPr>
          <w:ilvl w:val="2"/>
          <w:numId w:val="17"/>
        </w:numPr>
      </w:pPr>
      <w:r>
        <w:t>Validación del IFN-score principal</w:t>
      </w:r>
    </w:p>
    <w:p w14:paraId="7256B10C" w14:textId="77777777" w:rsidR="00097466" w:rsidRDefault="00000000">
      <w:pPr>
        <w:pStyle w:val="Ttulo4"/>
        <w:numPr>
          <w:ilvl w:val="3"/>
          <w:numId w:val="17"/>
        </w:numPr>
      </w:pPr>
      <w:r>
        <w:t>Evaluación de la normalidad</w:t>
      </w:r>
    </w:p>
    <w:p w14:paraId="02D302CA" w14:textId="136E8D1E" w:rsidR="00097466" w:rsidRDefault="00000000">
      <w:r>
        <w:t xml:space="preserve">El test de Shapiro-Wilk confirmó </w:t>
      </w:r>
      <w:r w:rsidR="009C3583">
        <w:t>la no</w:t>
      </w:r>
      <w:r>
        <w:t xml:space="preserve"> distribución normal en todos los grupos evaluados (p &lt; 0,001 en todos los casos), justificando el uso sistemático de pruebas estadísticas no paramétricas en los análisis posteriores.</w:t>
      </w:r>
    </w:p>
    <w:p w14:paraId="6E39D4A2" w14:textId="77777777" w:rsidR="00097466" w:rsidRDefault="00000000">
      <w:pPr>
        <w:pStyle w:val="Ttulo4"/>
        <w:numPr>
          <w:ilvl w:val="3"/>
          <w:numId w:val="17"/>
        </w:numPr>
      </w:pPr>
      <w:r>
        <w:lastRenderedPageBreak/>
        <w:t>Correlación continua entre ambos scores</w:t>
      </w:r>
    </w:p>
    <w:p w14:paraId="675A3D7D" w14:textId="5C76A940" w:rsidR="00097466" w:rsidRDefault="00000000">
      <w:r>
        <w:t xml:space="preserve">La validación cruzada del IFN-score de 72 ISGs frente al IFN-score clásico de 4 genes reveló una correlación de Spearman casi perfecta (ρ = 0,972, p = 2,45 × 10⁻¹⁵⁹) en los pacientes con LES, lo que indica que ambos instrumentos capturan de forma equivalente la activación de la vía de interferón tipo I. </w:t>
      </w:r>
    </w:p>
    <w:p w14:paraId="66D37D74" w14:textId="77777777" w:rsidR="00D019C5" w:rsidRDefault="00000000" w:rsidP="00D536CD">
      <w:pPr>
        <w:keepNext/>
        <w:spacing w:before="120" w:after="120"/>
        <w:jc w:val="center"/>
      </w:pPr>
      <w:r>
        <w:rPr>
          <w:noProof/>
        </w:rPr>
        <w:drawing>
          <wp:inline distT="0" distB="0" distL="0" distR="0" wp14:anchorId="3F3F5420" wp14:editId="278B5413">
            <wp:extent cx="3599234" cy="2304869"/>
            <wp:effectExtent l="0" t="0" r="0" b="0"/>
            <wp:docPr id="4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1"/>
                    <a:srcRect/>
                    <a:stretch>
                      <a:fillRect/>
                    </a:stretch>
                  </pic:blipFill>
                  <pic:spPr>
                    <a:xfrm>
                      <a:off x="0" y="0"/>
                      <a:ext cx="3621661" cy="2319231"/>
                    </a:xfrm>
                    <a:prstGeom prst="rect">
                      <a:avLst/>
                    </a:prstGeom>
                    <a:ln/>
                  </pic:spPr>
                </pic:pic>
              </a:graphicData>
            </a:graphic>
          </wp:inline>
        </w:drawing>
      </w:r>
    </w:p>
    <w:p w14:paraId="0BF5D15C" w14:textId="0C61A812" w:rsidR="00097466" w:rsidRDefault="00D019C5" w:rsidP="00C67F76">
      <w:pPr>
        <w:pStyle w:val="Descripcin"/>
      </w:pPr>
      <w:bookmarkStart w:id="137" w:name="_Toc230792281"/>
      <w:r>
        <w:t xml:space="preserve">Ilustración </w:t>
      </w:r>
      <w:fldSimple w:instr=" SEQ Ilustración \* ARABIC ">
        <w:r w:rsidR="00E76F9C">
          <w:rPr>
            <w:noProof/>
          </w:rPr>
          <w:t>8</w:t>
        </w:r>
      </w:fldSimple>
      <w:r>
        <w:t xml:space="preserve">. </w:t>
      </w:r>
      <w:r w:rsidRPr="00C12905">
        <w:t>Correlación entre el IFN</w:t>
      </w:r>
      <w:r w:rsidRPr="00C12905">
        <w:rPr>
          <w:rFonts w:ascii="Cambria Math" w:hAnsi="Cambria Math" w:cs="Cambria Math"/>
        </w:rPr>
        <w:t>‑</w:t>
      </w:r>
      <w:r w:rsidRPr="00C12905">
        <w:t>score de 72 genes ISG y el IFN</w:t>
      </w:r>
      <w:r w:rsidRPr="00C12905">
        <w:rPr>
          <w:rFonts w:ascii="Cambria Math" w:hAnsi="Cambria Math" w:cs="Cambria Math"/>
        </w:rPr>
        <w:t>‑</w:t>
      </w:r>
      <w:r w:rsidRPr="00C12905">
        <w:t>score clásico de 4 genes en pacientes con LES</w:t>
      </w:r>
      <w:bookmarkEnd w:id="137"/>
    </w:p>
    <w:p w14:paraId="311FA73F" w14:textId="77777777" w:rsidR="00097466" w:rsidRDefault="00000000">
      <w:pPr>
        <w:pStyle w:val="Ttulo4"/>
        <w:numPr>
          <w:ilvl w:val="3"/>
          <w:numId w:val="17"/>
        </w:numPr>
      </w:pPr>
      <w:r>
        <w:t>Concordancia de la clasificación dicotómica</w:t>
      </w:r>
    </w:p>
    <w:p w14:paraId="5637DCA7" w14:textId="5D25755D" w:rsidR="00D019C5" w:rsidRDefault="00000000" w:rsidP="00553999">
      <w:r>
        <w:t>La concordancia en la clasificación dicotómica IFN-</w:t>
      </w:r>
      <w:proofErr w:type="spellStart"/>
      <w:r>
        <w:t>high</w:t>
      </w:r>
      <w:proofErr w:type="spellEnd"/>
      <w:r>
        <w:t xml:space="preserve">/IFN-low entre ambos scores fue sustancial (κ de Cohen = 0,779, p &lt; 0,001), conforme a los criterios de </w:t>
      </w:r>
      <w:proofErr w:type="spellStart"/>
      <w:r>
        <w:t>Landis</w:t>
      </w:r>
      <w:proofErr w:type="spellEnd"/>
      <w:r>
        <w:t xml:space="preserve"> &amp; Koch. El 100% de los pacientes clasificados como IFN-</w:t>
      </w:r>
      <w:proofErr w:type="spellStart"/>
      <w:r>
        <w:t>high</w:t>
      </w:r>
      <w:proofErr w:type="spellEnd"/>
      <w:r>
        <w:t xml:space="preserve"> por el score de 72 genes lo fueron también por el score de 4 genes; las discordancias observadas (n = 27; 16,5%) se concentraron exclusivamente en pacientes IFN-low según el score de 72 genes, lo que sugiere que estos casos se sitúan en la zona frontera del umbral de activación </w:t>
      </w:r>
      <w:proofErr w:type="spellStart"/>
      <w:r>
        <w:t>interferónica</w:t>
      </w:r>
      <w:proofErr w:type="spellEnd"/>
      <w:r>
        <w:t xml:space="preserve"> y que el score de 72 genes, al integrar un mayor número de ISGs, ofrece mayor sensibilidad para detectar la activación IFN moderada.</w:t>
      </w:r>
    </w:p>
    <w:p w14:paraId="1DA00BBB" w14:textId="77777777" w:rsidR="00D019C5" w:rsidRDefault="00000000" w:rsidP="00D019C5">
      <w:pPr>
        <w:keepNext/>
        <w:spacing w:before="120" w:after="120"/>
        <w:jc w:val="center"/>
      </w:pPr>
      <w:r>
        <w:rPr>
          <w:noProof/>
        </w:rPr>
        <w:drawing>
          <wp:inline distT="0" distB="0" distL="0" distR="0" wp14:anchorId="215B9317" wp14:editId="3826DE62">
            <wp:extent cx="3171217" cy="2101175"/>
            <wp:effectExtent l="0" t="0" r="3810" b="0"/>
            <wp:docPr id="44"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2"/>
                    <a:srcRect/>
                    <a:stretch>
                      <a:fillRect/>
                    </a:stretch>
                  </pic:blipFill>
                  <pic:spPr>
                    <a:xfrm>
                      <a:off x="0" y="0"/>
                      <a:ext cx="3202141" cy="2121665"/>
                    </a:xfrm>
                    <a:prstGeom prst="rect">
                      <a:avLst/>
                    </a:prstGeom>
                    <a:ln/>
                  </pic:spPr>
                </pic:pic>
              </a:graphicData>
            </a:graphic>
          </wp:inline>
        </w:drawing>
      </w:r>
    </w:p>
    <w:p w14:paraId="0EE91872" w14:textId="102B49C6" w:rsidR="00097466" w:rsidRDefault="00D019C5" w:rsidP="00C67F76">
      <w:pPr>
        <w:pStyle w:val="Descripcin"/>
      </w:pPr>
      <w:bookmarkStart w:id="138" w:name="_Toc230792282"/>
      <w:r>
        <w:t xml:space="preserve">Ilustración </w:t>
      </w:r>
      <w:fldSimple w:instr=" SEQ Ilustración \* ARABIC ">
        <w:r w:rsidR="00E76F9C">
          <w:rPr>
            <w:noProof/>
          </w:rPr>
          <w:t>9</w:t>
        </w:r>
      </w:fldSimple>
      <w:r>
        <w:t xml:space="preserve">. </w:t>
      </w:r>
      <w:r w:rsidRPr="00E958AE">
        <w:t>Concordancia de la clasificación IFN</w:t>
      </w:r>
      <w:r w:rsidRPr="00E958AE">
        <w:rPr>
          <w:rFonts w:ascii="Cambria Math" w:hAnsi="Cambria Math" w:cs="Cambria Math"/>
        </w:rPr>
        <w:t>‑</w:t>
      </w:r>
      <w:proofErr w:type="spellStart"/>
      <w:r w:rsidRPr="00E958AE">
        <w:t>high</w:t>
      </w:r>
      <w:proofErr w:type="spellEnd"/>
      <w:r w:rsidRPr="00E958AE">
        <w:t>/IFN</w:t>
      </w:r>
      <w:r w:rsidRPr="00E958AE">
        <w:rPr>
          <w:rFonts w:ascii="Cambria Math" w:hAnsi="Cambria Math" w:cs="Cambria Math"/>
        </w:rPr>
        <w:t>‑</w:t>
      </w:r>
      <w:r w:rsidRPr="00E958AE">
        <w:t>low entre el IFN</w:t>
      </w:r>
      <w:r w:rsidRPr="00E958AE">
        <w:rPr>
          <w:rFonts w:ascii="Cambria Math" w:hAnsi="Cambria Math" w:cs="Cambria Math"/>
        </w:rPr>
        <w:t>‑</w:t>
      </w:r>
      <w:r w:rsidRPr="00E958AE">
        <w:t>score de 72 genes y el IFN</w:t>
      </w:r>
      <w:r w:rsidRPr="00E958AE">
        <w:rPr>
          <w:rFonts w:ascii="Cambria Math" w:hAnsi="Cambria Math" w:cs="Cambria Math"/>
        </w:rPr>
        <w:t>‑</w:t>
      </w:r>
      <w:r w:rsidRPr="00E958AE">
        <w:t>score de 4 genes</w:t>
      </w:r>
      <w:bookmarkEnd w:id="138"/>
    </w:p>
    <w:p w14:paraId="137B075E" w14:textId="77777777" w:rsidR="00097466" w:rsidRDefault="00000000">
      <w:r>
        <w:lastRenderedPageBreak/>
        <w:t>En conjunto, la concordancia continua (ρ = 0,972) y dicotómica (κ = 0,779) entre ambos scores respaldó la validez y robustez del IFN-score de 72 genes como medida representativa de la firma transcriptómica de interferón tipo I en la cohorte estudiada.</w:t>
      </w:r>
    </w:p>
    <w:p w14:paraId="71D65512" w14:textId="77777777" w:rsidR="00097466" w:rsidRDefault="00000000">
      <w:pPr>
        <w:pStyle w:val="Ttulo3"/>
        <w:numPr>
          <w:ilvl w:val="2"/>
          <w:numId w:val="17"/>
        </w:numPr>
      </w:pPr>
      <w:r>
        <w:t>Caracterización transcriptómica de los subgrupos IFN-</w:t>
      </w:r>
      <w:proofErr w:type="spellStart"/>
      <w:r>
        <w:t>high</w:t>
      </w:r>
      <w:proofErr w:type="spellEnd"/>
      <w:r>
        <w:t xml:space="preserve"> e IFN-low</w:t>
      </w:r>
    </w:p>
    <w:p w14:paraId="468A8F05" w14:textId="77777777" w:rsidR="00097466" w:rsidRDefault="00000000">
      <w:pPr>
        <w:pStyle w:val="Ttulo4"/>
        <w:numPr>
          <w:ilvl w:val="3"/>
          <w:numId w:val="17"/>
        </w:numPr>
      </w:pPr>
      <w:r>
        <w:t>Análisis de expresión diferencial</w:t>
      </w:r>
    </w:p>
    <w:p w14:paraId="4C9D99D8" w14:textId="77777777" w:rsidR="00097466" w:rsidRDefault="00000000">
      <w:r>
        <w:t>Se realizó un análisis de expresión diferencial gen a gen comparando la expresión relativa de los 72 ISGs entre los subgrupos IFN-</w:t>
      </w:r>
      <w:proofErr w:type="spellStart"/>
      <w:r>
        <w:t>high</w:t>
      </w:r>
      <w:proofErr w:type="spellEnd"/>
      <w:r>
        <w:t xml:space="preserve"> e IFN-low mediante el test de Wilcoxon-Mann-Whitney, con corrección de </w:t>
      </w:r>
      <w:proofErr w:type="spellStart"/>
      <w:r>
        <w:t>Benjamini-Hochberg</w:t>
      </w:r>
      <w:proofErr w:type="spellEnd"/>
      <w:r>
        <w:t xml:space="preserve"> para comparaciones múltiples (FDR &lt; 0,05; |LFC| &gt; 0,5). De los 72 ISGs analizados, 65 genes (90,3%) mostraron expresión diferencial estadísticamente significativa, todos ellos con mayor expresión en el subgrupo IFN-</w:t>
      </w:r>
      <w:proofErr w:type="spellStart"/>
      <w:r>
        <w:t>high</w:t>
      </w:r>
      <w:proofErr w:type="spellEnd"/>
      <w:r>
        <w:t xml:space="preserve">. </w:t>
      </w:r>
      <w:r w:rsidRPr="00553999">
        <w:t>Los tres genes con mayor diferencia de expresión fueron IFI27 (LFC = 5,087), IFI44L (LFC = 4,019) y RSAD2 (LFC = 3,709),</w:t>
      </w:r>
      <w:r>
        <w:t xml:space="preserve"> ISGs clásicos ampliamente descritos en el LES. Únicamente 7 genes no alcanzaron significación estadística tras la corrección por comparaciones múltiples (MYD88, DNAJA1, BDCA1, IRF1, PRKR, TYK2 y NT5C3B), mostrando un patrón de expresión homogéneo entre subgrupos.</w:t>
      </w:r>
    </w:p>
    <w:p w14:paraId="5523C3F1" w14:textId="77777777" w:rsidR="00097466" w:rsidRDefault="00000000" w:rsidP="00D019C5">
      <w:pPr>
        <w:keepNext/>
      </w:pPr>
      <w:r>
        <w:rPr>
          <w:noProof/>
        </w:rPr>
        <w:drawing>
          <wp:inline distT="0" distB="0" distL="0" distR="0" wp14:anchorId="520EF55B" wp14:editId="22E78AF0">
            <wp:extent cx="2429828" cy="1622747"/>
            <wp:effectExtent l="0" t="0" r="0" b="0"/>
            <wp:docPr id="4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3"/>
                    <a:srcRect/>
                    <a:stretch>
                      <a:fillRect/>
                    </a:stretch>
                  </pic:blipFill>
                  <pic:spPr>
                    <a:xfrm>
                      <a:off x="0" y="0"/>
                      <a:ext cx="2429828" cy="1622747"/>
                    </a:xfrm>
                    <a:prstGeom prst="rect">
                      <a:avLst/>
                    </a:prstGeom>
                    <a:ln/>
                  </pic:spPr>
                </pic:pic>
              </a:graphicData>
            </a:graphic>
          </wp:inline>
        </w:drawing>
      </w:r>
      <w:r>
        <w:rPr>
          <w:noProof/>
        </w:rPr>
        <w:drawing>
          <wp:inline distT="0" distB="0" distL="0" distR="0" wp14:anchorId="27C9DBBA" wp14:editId="05FF2D70">
            <wp:extent cx="2715188" cy="1810125"/>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2715188" cy="1810125"/>
                    </a:xfrm>
                    <a:prstGeom prst="rect">
                      <a:avLst/>
                    </a:prstGeom>
                    <a:ln/>
                  </pic:spPr>
                </pic:pic>
              </a:graphicData>
            </a:graphic>
          </wp:inline>
        </w:drawing>
      </w:r>
    </w:p>
    <w:p w14:paraId="07A48B1C" w14:textId="207617BC" w:rsidR="00D019C5" w:rsidRDefault="00D019C5" w:rsidP="00C67F76">
      <w:pPr>
        <w:pStyle w:val="Descripcin"/>
      </w:pPr>
      <w:bookmarkStart w:id="139" w:name="_Toc230792283"/>
      <w:r>
        <w:t xml:space="preserve">Ilustración </w:t>
      </w:r>
      <w:fldSimple w:instr=" SEQ Ilustración \* ARABIC ">
        <w:r w:rsidR="00E76F9C">
          <w:rPr>
            <w:noProof/>
          </w:rPr>
          <w:t>10</w:t>
        </w:r>
      </w:fldSimple>
      <w:r>
        <w:t xml:space="preserve">. </w:t>
      </w:r>
      <w:r w:rsidRPr="00DB4BFD">
        <w:t xml:space="preserve">(A) </w:t>
      </w:r>
      <w:proofErr w:type="spellStart"/>
      <w:r w:rsidRPr="00DB4BFD">
        <w:t>Volcano</w:t>
      </w:r>
      <w:proofErr w:type="spellEnd"/>
      <w:r w:rsidRPr="00DB4BFD">
        <w:t xml:space="preserve"> </w:t>
      </w:r>
      <w:proofErr w:type="spellStart"/>
      <w:r w:rsidRPr="00DB4BFD">
        <w:t>plot</w:t>
      </w:r>
      <w:proofErr w:type="spellEnd"/>
      <w:r w:rsidRPr="00DB4BFD">
        <w:t xml:space="preserve"> de los 72 ISGs (eje X: log2 </w:t>
      </w:r>
      <w:proofErr w:type="spellStart"/>
      <w:r w:rsidRPr="00DB4BFD">
        <w:t>fold-change</w:t>
      </w:r>
      <w:proofErr w:type="spellEnd"/>
      <w:r w:rsidRPr="00DB4BFD">
        <w:t xml:space="preserve"> IFN-</w:t>
      </w:r>
      <w:proofErr w:type="spellStart"/>
      <w:r w:rsidRPr="00DB4BFD">
        <w:t>high</w:t>
      </w:r>
      <w:proofErr w:type="spellEnd"/>
      <w:r w:rsidRPr="00DB4BFD">
        <w:t xml:space="preserve"> − IFN-low; eje Y: −log₁₀(FDR)). Los genes estadísticamente significativos (FDR &lt; 0,05 y |LFC| &gt; 0,5; n = 65) se muestran en rojo; los no significativos en gris.</w:t>
      </w:r>
      <w:r>
        <w:t xml:space="preserve"> </w:t>
      </w:r>
      <w:r>
        <w:rPr>
          <w:color w:val="000000"/>
          <w:szCs w:val="20"/>
        </w:rPr>
        <w:t xml:space="preserve">(B) Diagrama de barras horizontales con los 20 genes más </w:t>
      </w:r>
      <w:proofErr w:type="spellStart"/>
      <w:r>
        <w:rPr>
          <w:color w:val="000000"/>
          <w:szCs w:val="20"/>
        </w:rPr>
        <w:t>sobreexpresados</w:t>
      </w:r>
      <w:proofErr w:type="spellEnd"/>
      <w:r>
        <w:rPr>
          <w:color w:val="000000"/>
          <w:szCs w:val="20"/>
        </w:rPr>
        <w:t xml:space="preserve"> en IFN-</w:t>
      </w:r>
      <w:proofErr w:type="spellStart"/>
      <w:r>
        <w:rPr>
          <w:color w:val="000000"/>
          <w:szCs w:val="20"/>
        </w:rPr>
        <w:t>high</w:t>
      </w:r>
      <w:proofErr w:type="spellEnd"/>
      <w:r>
        <w:rPr>
          <w:color w:val="000000"/>
          <w:szCs w:val="20"/>
        </w:rPr>
        <w:t>, ordenados por LFC. Se indican los valores de FDR individuales para cada gen.</w:t>
      </w:r>
      <w:bookmarkEnd w:id="139"/>
    </w:p>
    <w:p w14:paraId="7E135E91" w14:textId="77777777" w:rsidR="00097466" w:rsidRDefault="00000000">
      <w:r>
        <w:t xml:space="preserve">El </w:t>
      </w:r>
      <w:proofErr w:type="spellStart"/>
      <w:r>
        <w:t>volcano</w:t>
      </w:r>
      <w:proofErr w:type="spellEnd"/>
      <w:r>
        <w:t xml:space="preserve"> </w:t>
      </w:r>
      <w:proofErr w:type="spellStart"/>
      <w:r>
        <w:t>plot</w:t>
      </w:r>
      <w:proofErr w:type="spellEnd"/>
      <w:r>
        <w:t xml:space="preserve"> confirmó la asimetría de la respuesta: todos los genes diferencialmente expresados presentaron mayor expresión en IFN-</w:t>
      </w:r>
      <w:proofErr w:type="spellStart"/>
      <w:r>
        <w:t>high</w:t>
      </w:r>
      <w:proofErr w:type="spellEnd"/>
      <w:r>
        <w:t>, sin que ningún gen mostrara una sobreexpresión neta en el subgrupo IFN-low. La elevada significación estadística de la mayoría de los genes (−log₁₀(FDR) &gt; 30) indicó una separación robusta entre subgrupos, coherente con el tamaño muestral disponible (n = 251 pacientes con LES).</w:t>
      </w:r>
    </w:p>
    <w:p w14:paraId="4BFF62EB" w14:textId="77777777" w:rsidR="00097466" w:rsidRDefault="00000000">
      <w:pPr>
        <w:pStyle w:val="Ttulo4"/>
        <w:numPr>
          <w:ilvl w:val="3"/>
          <w:numId w:val="17"/>
        </w:numPr>
      </w:pPr>
      <w:proofErr w:type="spellStart"/>
      <w:r>
        <w:t>Clustering</w:t>
      </w:r>
      <w:proofErr w:type="spellEnd"/>
      <w:r>
        <w:t xml:space="preserve"> jerárquico y </w:t>
      </w:r>
      <w:proofErr w:type="spellStart"/>
      <w:r>
        <w:t>heatmap</w:t>
      </w:r>
      <w:proofErr w:type="spellEnd"/>
    </w:p>
    <w:p w14:paraId="1F82BFAB" w14:textId="5541E526" w:rsidR="00097466" w:rsidRDefault="00000000">
      <w:r>
        <w:t xml:space="preserve">El </w:t>
      </w:r>
      <w:proofErr w:type="spellStart"/>
      <w:r>
        <w:t>heatmap</w:t>
      </w:r>
      <w:proofErr w:type="spellEnd"/>
      <w:r>
        <w:t xml:space="preserve"> de los 72 ISGs en los 251 pacientes con LES, obtenido mediante </w:t>
      </w:r>
      <w:proofErr w:type="spellStart"/>
      <w:r>
        <w:t>clustering</w:t>
      </w:r>
      <w:proofErr w:type="spellEnd"/>
      <w:r>
        <w:t xml:space="preserve"> jerárquico, reveló una separación clara entre los subgrupos IFN-</w:t>
      </w:r>
      <w:proofErr w:type="spellStart"/>
      <w:r>
        <w:t>high</w:t>
      </w:r>
      <w:proofErr w:type="spellEnd"/>
      <w:r>
        <w:t xml:space="preserve"> e IFN-low, con dos grandes clústeres de columnas que se corresponden mayoritariamente con la clasificación establecida por el IFN-score. Los pacientes IFN-</w:t>
      </w:r>
      <w:proofErr w:type="spellStart"/>
      <w:r>
        <w:t>high</w:t>
      </w:r>
      <w:proofErr w:type="spellEnd"/>
      <w:r>
        <w:t xml:space="preserve"> presentaron una sobreexpresión coordinada y de alta intensidad </w:t>
      </w:r>
      <w:r>
        <w:lastRenderedPageBreak/>
        <w:t>de prácticamente todos los ISGs del panel, mientras que los pacientes IFN-low mostraron niveles de expresión cercanos o por debajo de la mediana de los controles sanos (z-score ≈ 0).</w:t>
      </w:r>
    </w:p>
    <w:p w14:paraId="09FB8FC6" w14:textId="77777777" w:rsidR="008359AA" w:rsidRDefault="00000000" w:rsidP="008359AA">
      <w:pPr>
        <w:keepNext/>
        <w:jc w:val="center"/>
      </w:pPr>
      <w:r>
        <w:rPr>
          <w:noProof/>
        </w:rPr>
        <w:drawing>
          <wp:inline distT="0" distB="0" distL="0" distR="0" wp14:anchorId="5BF5E4A7" wp14:editId="53432822">
            <wp:extent cx="3608961" cy="2918298"/>
            <wp:effectExtent l="0" t="0" r="0" b="3175"/>
            <wp:docPr id="4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5"/>
                    <a:srcRect/>
                    <a:stretch>
                      <a:fillRect/>
                    </a:stretch>
                  </pic:blipFill>
                  <pic:spPr>
                    <a:xfrm>
                      <a:off x="0" y="0"/>
                      <a:ext cx="3647985" cy="2949854"/>
                    </a:xfrm>
                    <a:prstGeom prst="rect">
                      <a:avLst/>
                    </a:prstGeom>
                    <a:ln/>
                  </pic:spPr>
                </pic:pic>
              </a:graphicData>
            </a:graphic>
          </wp:inline>
        </w:drawing>
      </w:r>
    </w:p>
    <w:p w14:paraId="75FFC4FB" w14:textId="27252A28" w:rsidR="00097466" w:rsidRDefault="008359AA" w:rsidP="00C67F76">
      <w:pPr>
        <w:pStyle w:val="Descripcin"/>
      </w:pPr>
      <w:bookmarkStart w:id="140" w:name="_Toc230792284"/>
      <w:r>
        <w:t xml:space="preserve">Ilustración </w:t>
      </w:r>
      <w:fldSimple w:instr=" SEQ Ilustración \* ARABIC ">
        <w:r w:rsidR="00E76F9C">
          <w:rPr>
            <w:noProof/>
          </w:rPr>
          <w:t>12</w:t>
        </w:r>
      </w:fldSimple>
      <w:r>
        <w:t xml:space="preserve">. </w:t>
      </w:r>
      <w:proofErr w:type="spellStart"/>
      <w:r w:rsidRPr="0093449B">
        <w:t>Heatmap</w:t>
      </w:r>
      <w:proofErr w:type="spellEnd"/>
      <w:r w:rsidRPr="0093449B">
        <w:t xml:space="preserve"> de los 72 ISGs en pacientes con LES (n = 251) ordenados por </w:t>
      </w:r>
      <w:proofErr w:type="spellStart"/>
      <w:r w:rsidRPr="0093449B">
        <w:t>clustering</w:t>
      </w:r>
      <w:proofErr w:type="spellEnd"/>
      <w:r w:rsidRPr="0093449B">
        <w:t xml:space="preserve"> jerárquico (</w:t>
      </w:r>
      <w:proofErr w:type="gramStart"/>
      <w:r w:rsidRPr="0093449B">
        <w:t>ward.D</w:t>
      </w:r>
      <w:proofErr w:type="gramEnd"/>
      <w:r w:rsidRPr="0093449B">
        <w:t xml:space="preserve">2; z-score por gen). </w:t>
      </w:r>
      <w:r>
        <w:rPr>
          <w:szCs w:val="20"/>
        </w:rPr>
        <w:t>Las columnas están anotadas según la clasificación IFN-</w:t>
      </w:r>
      <w:proofErr w:type="spellStart"/>
      <w:r>
        <w:rPr>
          <w:szCs w:val="20"/>
        </w:rPr>
        <w:t>high</w:t>
      </w:r>
      <w:proofErr w:type="spellEnd"/>
      <w:r>
        <w:rPr>
          <w:szCs w:val="20"/>
        </w:rPr>
        <w:t>/IFN-low.</w:t>
      </w:r>
      <w:bookmarkEnd w:id="140"/>
      <w:r>
        <w:rPr>
          <w:szCs w:val="20"/>
        </w:rPr>
        <w:t xml:space="preserve"> </w:t>
      </w:r>
    </w:p>
    <w:p w14:paraId="0C56F283" w14:textId="7CB84BA7" w:rsidR="001A551A" w:rsidRDefault="001A551A">
      <w:r>
        <w:t>El análisis reveló un bloque de alta activación (IFI44L, IFI44, OAS3, RSAD2, ISG15, IFIT1, IFIT2, IFIT3), que incluyó los 4 genes del IFN-score clásico validado en la literatura. Los 7 genes que no alcanzaron significación estadística tras corrección por comparaciones múltiples (PRKR, TYK2, NT5C3B, IRF1, DNAJA1, MYD88 y BDCA1) mostraron, coherentemente, un patrón de expresión homogéneo entre ambos subgrupos, confirmando su escasa contribución diferencial a la firma de interferón</w:t>
      </w:r>
    </w:p>
    <w:p w14:paraId="25612B1C" w14:textId="774AD193" w:rsidR="00097466" w:rsidRDefault="00000000">
      <w:r>
        <w:t xml:space="preserve">Una vez caracterizados los subgrupos transcriptómicos, el análisis se orientó a evaluar su correlación con las variables clínicas y séricas de la cohorte de los pacientes con LES. </w:t>
      </w:r>
    </w:p>
    <w:p w14:paraId="1BBF94FC" w14:textId="112F8724" w:rsidR="00097466" w:rsidRDefault="00000000">
      <w:pPr>
        <w:pStyle w:val="Ttulo2"/>
        <w:numPr>
          <w:ilvl w:val="1"/>
          <w:numId w:val="17"/>
        </w:numPr>
      </w:pPr>
      <w:bookmarkStart w:id="141" w:name="_Toc229237690"/>
      <w:bookmarkStart w:id="142" w:name="_Toc230792330"/>
      <w:r>
        <w:t xml:space="preserve">Asociación firma </w:t>
      </w:r>
      <w:r w:rsidR="00544557">
        <w:t>IFN-</w:t>
      </w:r>
      <w:r>
        <w:t>I con actividad y biomarcadores séricos</w:t>
      </w:r>
      <w:bookmarkEnd w:id="141"/>
      <w:bookmarkEnd w:id="142"/>
    </w:p>
    <w:p w14:paraId="1FC349C9" w14:textId="77777777" w:rsidR="00097466" w:rsidRDefault="00000000">
      <w:r>
        <w:t>Antes de realizar las comparaciones entre grupos se evaluó la normalidad de las 36 variables continúas incluidas en el análisis mediante el test de Shapiro-Wilk. El incumplimiento generalizado del supuesto de normalidad (p &lt; 0,05 en la mayoría de variables) justificó el empleo de pruebas no paramétricas para todas las comparaciones entre grupos.</w:t>
      </w:r>
    </w:p>
    <w:p w14:paraId="21F26D60" w14:textId="77777777" w:rsidR="00097466" w:rsidRDefault="00000000">
      <w:pPr>
        <w:pStyle w:val="Ttulo3"/>
        <w:numPr>
          <w:ilvl w:val="2"/>
          <w:numId w:val="17"/>
        </w:numPr>
      </w:pPr>
      <w:r>
        <w:t>Comparativa clínica entre los subgrupos IFN-</w:t>
      </w:r>
      <w:proofErr w:type="spellStart"/>
      <w:r>
        <w:t>high</w:t>
      </w:r>
      <w:proofErr w:type="spellEnd"/>
      <w:r>
        <w:t xml:space="preserve"> e IFN-low</w:t>
      </w:r>
    </w:p>
    <w:p w14:paraId="6C5ACF0B" w14:textId="77777777" w:rsidR="00097466" w:rsidRDefault="00000000">
      <w:r>
        <w:t>Se compararon las características demográficas, los índices de actividad y remisión, y los parámetros bioquímicos y proteómicos entre los subgrupos IFN-</w:t>
      </w:r>
      <w:proofErr w:type="spellStart"/>
      <w:r>
        <w:t>high</w:t>
      </w:r>
      <w:proofErr w:type="spellEnd"/>
      <w:r>
        <w:t xml:space="preserve"> (n = 87; 34,7%) e IFN-low (n = 164; 65,3%), definidos a partir del IFN-score de 72 ISGs. Las variables continuas se describen como mediana [IQR] y se compararon mediante el test de Mann-Whitney con corrección por </w:t>
      </w:r>
      <w:r>
        <w:lastRenderedPageBreak/>
        <w:t xml:space="preserve">comparaciones múltiples (FDR de </w:t>
      </w:r>
      <w:proofErr w:type="spellStart"/>
      <w:r>
        <w:t>Benjamini-Hochberg</w:t>
      </w:r>
      <w:proofErr w:type="spellEnd"/>
      <w:r>
        <w:t>); las variables categóricas (sexo, LLDAS y DORIS) se compararon mediante el test exacto de Fisher.</w:t>
      </w:r>
    </w:p>
    <w:tbl>
      <w:tblPr>
        <w:tblStyle w:val="af8"/>
        <w:tblW w:w="8485" w:type="dxa"/>
        <w:tblInd w:w="0" w:type="dxa"/>
        <w:tblLayout w:type="fixed"/>
        <w:tblLook w:val="0400" w:firstRow="0" w:lastRow="0" w:firstColumn="0" w:lastColumn="0" w:noHBand="0" w:noVBand="1"/>
      </w:tblPr>
      <w:tblGrid>
        <w:gridCol w:w="2565"/>
        <w:gridCol w:w="2260"/>
        <w:gridCol w:w="2260"/>
        <w:gridCol w:w="932"/>
        <w:gridCol w:w="468"/>
      </w:tblGrid>
      <w:tr w:rsidR="00097466" w14:paraId="2A1FF105" w14:textId="77777777">
        <w:trPr>
          <w:trHeight w:val="397"/>
        </w:trPr>
        <w:tc>
          <w:tcPr>
            <w:tcW w:w="2565"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72C5CAA9" w14:textId="77777777" w:rsidR="00097466" w:rsidRDefault="00000000">
            <w:pPr>
              <w:spacing w:before="0" w:after="0" w:line="240" w:lineRule="auto"/>
              <w:jc w:val="left"/>
              <w:rPr>
                <w:b/>
                <w:bCs/>
                <w:color w:val="000000"/>
                <w:sz w:val="20"/>
                <w:szCs w:val="20"/>
              </w:rPr>
            </w:pPr>
            <w:r>
              <w:rPr>
                <w:b/>
                <w:bCs/>
                <w:color w:val="000000"/>
                <w:sz w:val="20"/>
                <w:szCs w:val="20"/>
              </w:rPr>
              <w:t>Variable</w:t>
            </w:r>
          </w:p>
        </w:tc>
        <w:tc>
          <w:tcPr>
            <w:tcW w:w="2260" w:type="dxa"/>
            <w:tcBorders>
              <w:top w:val="single" w:sz="8" w:space="0" w:color="DDDDDD"/>
              <w:left w:val="nil"/>
              <w:bottom w:val="single" w:sz="8" w:space="0" w:color="DDDDDD"/>
              <w:right w:val="single" w:sz="8" w:space="0" w:color="DDDDDD"/>
            </w:tcBorders>
            <w:shd w:val="clear" w:color="auto" w:fill="F2F2F2"/>
            <w:vAlign w:val="center"/>
          </w:tcPr>
          <w:p w14:paraId="28FCA45D" w14:textId="77777777" w:rsidR="00097466" w:rsidRDefault="00000000">
            <w:pPr>
              <w:spacing w:before="0" w:after="0" w:line="240" w:lineRule="auto"/>
              <w:jc w:val="left"/>
              <w:rPr>
                <w:b/>
                <w:bCs/>
                <w:color w:val="000000"/>
                <w:sz w:val="20"/>
                <w:szCs w:val="20"/>
              </w:rPr>
            </w:pPr>
            <w:r>
              <w:rPr>
                <w:b/>
                <w:bCs/>
                <w:color w:val="000000"/>
                <w:sz w:val="20"/>
                <w:szCs w:val="20"/>
              </w:rPr>
              <w:t xml:space="preserve">IFN-low </w:t>
            </w:r>
          </w:p>
        </w:tc>
        <w:tc>
          <w:tcPr>
            <w:tcW w:w="2260" w:type="dxa"/>
            <w:tcBorders>
              <w:top w:val="single" w:sz="8" w:space="0" w:color="DDDDDD"/>
              <w:left w:val="nil"/>
              <w:bottom w:val="single" w:sz="8" w:space="0" w:color="DDDDDD"/>
              <w:right w:val="single" w:sz="8" w:space="0" w:color="DDDDDD"/>
            </w:tcBorders>
            <w:shd w:val="clear" w:color="auto" w:fill="F2F2F2"/>
            <w:vAlign w:val="center"/>
          </w:tcPr>
          <w:p w14:paraId="7F3A5E12" w14:textId="77777777" w:rsidR="00097466" w:rsidRDefault="00000000">
            <w:pPr>
              <w:spacing w:before="0" w:after="0" w:line="240" w:lineRule="auto"/>
              <w:jc w:val="left"/>
              <w:rPr>
                <w:b/>
                <w:bCs/>
                <w:color w:val="000000"/>
                <w:sz w:val="20"/>
                <w:szCs w:val="20"/>
              </w:rPr>
            </w:pPr>
            <w:r>
              <w:rPr>
                <w:b/>
                <w:bCs/>
                <w:color w:val="000000"/>
                <w:sz w:val="20"/>
                <w:szCs w:val="20"/>
              </w:rPr>
              <w:t>IFN-</w:t>
            </w:r>
            <w:proofErr w:type="spellStart"/>
            <w:r>
              <w:rPr>
                <w:b/>
                <w:bCs/>
                <w:color w:val="000000"/>
                <w:sz w:val="20"/>
                <w:szCs w:val="20"/>
              </w:rPr>
              <w:t>high</w:t>
            </w:r>
            <w:proofErr w:type="spellEnd"/>
            <w:r>
              <w:rPr>
                <w:b/>
                <w:bCs/>
                <w:color w:val="000000"/>
                <w:sz w:val="20"/>
                <w:szCs w:val="20"/>
              </w:rPr>
              <w:t xml:space="preserve"> </w:t>
            </w:r>
          </w:p>
        </w:tc>
        <w:tc>
          <w:tcPr>
            <w:tcW w:w="932" w:type="dxa"/>
            <w:tcBorders>
              <w:top w:val="single" w:sz="8" w:space="0" w:color="DDDDDD"/>
              <w:left w:val="nil"/>
              <w:bottom w:val="single" w:sz="8" w:space="0" w:color="DDDDDD"/>
              <w:right w:val="single" w:sz="8" w:space="0" w:color="DDDDDD"/>
            </w:tcBorders>
            <w:shd w:val="clear" w:color="auto" w:fill="F2F2F2"/>
            <w:vAlign w:val="center"/>
          </w:tcPr>
          <w:p w14:paraId="7D37D404" w14:textId="77777777" w:rsidR="00097466" w:rsidRDefault="00000000">
            <w:pPr>
              <w:spacing w:before="0" w:after="0" w:line="240" w:lineRule="auto"/>
              <w:jc w:val="left"/>
              <w:rPr>
                <w:b/>
                <w:bCs/>
                <w:color w:val="000000"/>
                <w:sz w:val="20"/>
                <w:szCs w:val="20"/>
              </w:rPr>
            </w:pPr>
            <w:r>
              <w:rPr>
                <w:b/>
                <w:bCs/>
                <w:color w:val="000000"/>
                <w:sz w:val="20"/>
                <w:szCs w:val="20"/>
              </w:rPr>
              <w:t>p-</w:t>
            </w:r>
            <w:proofErr w:type="spellStart"/>
            <w:r>
              <w:rPr>
                <w:b/>
                <w:bCs/>
                <w:color w:val="000000"/>
                <w:sz w:val="20"/>
                <w:szCs w:val="20"/>
              </w:rPr>
              <w:t>adj</w:t>
            </w:r>
            <w:proofErr w:type="spellEnd"/>
            <w:r>
              <w:rPr>
                <w:b/>
                <w:bCs/>
                <w:color w:val="000000"/>
                <w:sz w:val="20"/>
                <w:szCs w:val="20"/>
              </w:rPr>
              <w:t xml:space="preserve"> </w:t>
            </w:r>
          </w:p>
        </w:tc>
        <w:tc>
          <w:tcPr>
            <w:tcW w:w="468" w:type="dxa"/>
            <w:tcBorders>
              <w:top w:val="single" w:sz="8" w:space="0" w:color="DDDDDD"/>
              <w:left w:val="nil"/>
              <w:bottom w:val="single" w:sz="8" w:space="0" w:color="DDDDDD"/>
              <w:right w:val="single" w:sz="8" w:space="0" w:color="DDDDDD"/>
            </w:tcBorders>
            <w:shd w:val="clear" w:color="auto" w:fill="F2F2F2"/>
            <w:vAlign w:val="center"/>
          </w:tcPr>
          <w:p w14:paraId="61CDAAD7" w14:textId="77777777" w:rsidR="00097466" w:rsidRDefault="00000000">
            <w:pPr>
              <w:spacing w:before="0" w:after="0" w:line="240" w:lineRule="auto"/>
              <w:jc w:val="left"/>
              <w:rPr>
                <w:b/>
                <w:bCs/>
                <w:color w:val="000000"/>
                <w:sz w:val="20"/>
                <w:szCs w:val="20"/>
              </w:rPr>
            </w:pPr>
            <w:r>
              <w:rPr>
                <w:b/>
                <w:bCs/>
                <w:color w:val="000000"/>
                <w:sz w:val="20"/>
                <w:szCs w:val="20"/>
              </w:rPr>
              <w:t>Sig.</w:t>
            </w:r>
          </w:p>
        </w:tc>
      </w:tr>
      <w:tr w:rsidR="00097466" w14:paraId="66921D75" w14:textId="77777777">
        <w:trPr>
          <w:trHeight w:val="397"/>
        </w:trPr>
        <w:tc>
          <w:tcPr>
            <w:tcW w:w="8485" w:type="dxa"/>
            <w:gridSpan w:val="5"/>
            <w:tcBorders>
              <w:top w:val="single" w:sz="8" w:space="0" w:color="DDDDDD"/>
              <w:left w:val="single" w:sz="8" w:space="0" w:color="DDDDDD"/>
              <w:bottom w:val="single" w:sz="8" w:space="0" w:color="DDDDDD"/>
              <w:right w:val="single" w:sz="8" w:space="0" w:color="DDDDDD"/>
            </w:tcBorders>
            <w:shd w:val="clear" w:color="auto" w:fill="auto"/>
            <w:vAlign w:val="center"/>
          </w:tcPr>
          <w:p w14:paraId="266E0A69" w14:textId="77777777" w:rsidR="00097466" w:rsidRDefault="00000000">
            <w:pPr>
              <w:spacing w:before="0" w:after="0" w:line="240" w:lineRule="auto"/>
              <w:jc w:val="left"/>
              <w:rPr>
                <w:b/>
                <w:bCs/>
                <w:color w:val="000000"/>
                <w:sz w:val="20"/>
                <w:szCs w:val="20"/>
              </w:rPr>
            </w:pPr>
            <w:r>
              <w:rPr>
                <w:b/>
                <w:bCs/>
                <w:color w:val="000000"/>
                <w:sz w:val="20"/>
                <w:szCs w:val="20"/>
              </w:rPr>
              <w:t>Características demográficas</w:t>
            </w:r>
          </w:p>
        </w:tc>
      </w:tr>
      <w:tr w:rsidR="00097466" w14:paraId="30D4690D"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0E80FE01" w14:textId="77777777" w:rsidR="00097466" w:rsidRDefault="00000000">
            <w:pPr>
              <w:spacing w:before="0" w:after="0" w:line="240" w:lineRule="auto"/>
              <w:jc w:val="left"/>
              <w:rPr>
                <w:b/>
                <w:bCs/>
                <w:color w:val="000000"/>
                <w:sz w:val="20"/>
                <w:szCs w:val="20"/>
              </w:rPr>
            </w:pPr>
            <w:r>
              <w:rPr>
                <w:b/>
                <w:bCs/>
                <w:color w:val="000000"/>
                <w:sz w:val="20"/>
                <w:szCs w:val="20"/>
              </w:rPr>
              <w:t xml:space="preserve">Edad </w:t>
            </w:r>
          </w:p>
        </w:tc>
        <w:tc>
          <w:tcPr>
            <w:tcW w:w="2260" w:type="dxa"/>
            <w:tcBorders>
              <w:top w:val="nil"/>
              <w:left w:val="nil"/>
              <w:bottom w:val="single" w:sz="8" w:space="0" w:color="DDDDDD"/>
              <w:right w:val="single" w:sz="8" w:space="0" w:color="DDDDDD"/>
            </w:tcBorders>
            <w:shd w:val="clear" w:color="auto" w:fill="auto"/>
            <w:vAlign w:val="center"/>
          </w:tcPr>
          <w:p w14:paraId="059D2071" w14:textId="77777777" w:rsidR="00097466" w:rsidRDefault="00000000">
            <w:pPr>
              <w:spacing w:before="0" w:after="0" w:line="240" w:lineRule="auto"/>
              <w:jc w:val="left"/>
              <w:rPr>
                <w:color w:val="000000"/>
                <w:sz w:val="20"/>
                <w:szCs w:val="20"/>
              </w:rPr>
            </w:pPr>
            <w:r>
              <w:rPr>
                <w:color w:val="000000"/>
                <w:sz w:val="20"/>
                <w:szCs w:val="20"/>
              </w:rPr>
              <w:t>55,15 [48,27–62,55]</w:t>
            </w:r>
          </w:p>
        </w:tc>
        <w:tc>
          <w:tcPr>
            <w:tcW w:w="2260" w:type="dxa"/>
            <w:tcBorders>
              <w:top w:val="nil"/>
              <w:left w:val="nil"/>
              <w:bottom w:val="single" w:sz="8" w:space="0" w:color="DDDDDD"/>
              <w:right w:val="single" w:sz="8" w:space="0" w:color="DDDDDD"/>
            </w:tcBorders>
            <w:shd w:val="clear" w:color="auto" w:fill="auto"/>
            <w:vAlign w:val="center"/>
          </w:tcPr>
          <w:p w14:paraId="77F24BBD" w14:textId="77777777" w:rsidR="00097466" w:rsidRDefault="00000000">
            <w:pPr>
              <w:spacing w:before="0" w:after="0" w:line="240" w:lineRule="auto"/>
              <w:jc w:val="left"/>
              <w:rPr>
                <w:color w:val="000000"/>
                <w:sz w:val="20"/>
                <w:szCs w:val="20"/>
              </w:rPr>
            </w:pPr>
            <w:r>
              <w:rPr>
                <w:color w:val="000000"/>
                <w:sz w:val="20"/>
                <w:szCs w:val="20"/>
              </w:rPr>
              <w:t>50,25 [43,78–55,36]</w:t>
            </w:r>
          </w:p>
        </w:tc>
        <w:tc>
          <w:tcPr>
            <w:tcW w:w="932" w:type="dxa"/>
            <w:tcBorders>
              <w:top w:val="nil"/>
              <w:left w:val="nil"/>
              <w:bottom w:val="single" w:sz="8" w:space="0" w:color="DDDDDD"/>
              <w:right w:val="single" w:sz="8" w:space="0" w:color="DDDDDD"/>
            </w:tcBorders>
            <w:shd w:val="clear" w:color="auto" w:fill="auto"/>
            <w:vAlign w:val="center"/>
          </w:tcPr>
          <w:p w14:paraId="255096CF" w14:textId="77777777" w:rsidR="00097466" w:rsidRDefault="00000000">
            <w:pPr>
              <w:spacing w:before="0" w:after="0" w:line="240" w:lineRule="auto"/>
              <w:jc w:val="left"/>
              <w:rPr>
                <w:color w:val="000000"/>
                <w:sz w:val="20"/>
                <w:szCs w:val="20"/>
              </w:rPr>
            </w:pPr>
            <w:r>
              <w:rPr>
                <w:color w:val="000000"/>
                <w:sz w:val="20"/>
                <w:szCs w:val="20"/>
              </w:rPr>
              <w:t>6,43E-04</w:t>
            </w:r>
          </w:p>
        </w:tc>
        <w:tc>
          <w:tcPr>
            <w:tcW w:w="468" w:type="dxa"/>
            <w:tcBorders>
              <w:top w:val="nil"/>
              <w:left w:val="nil"/>
              <w:bottom w:val="single" w:sz="8" w:space="0" w:color="DDDDDD"/>
              <w:right w:val="single" w:sz="8" w:space="0" w:color="DDDDDD"/>
            </w:tcBorders>
            <w:shd w:val="clear" w:color="auto" w:fill="auto"/>
            <w:vAlign w:val="center"/>
          </w:tcPr>
          <w:p w14:paraId="1FB65480" w14:textId="77777777" w:rsidR="00097466" w:rsidRDefault="00000000">
            <w:pPr>
              <w:spacing w:before="0" w:after="0" w:line="240" w:lineRule="auto"/>
              <w:jc w:val="left"/>
              <w:rPr>
                <w:b/>
                <w:bCs/>
                <w:color w:val="000000"/>
                <w:sz w:val="20"/>
                <w:szCs w:val="20"/>
              </w:rPr>
            </w:pPr>
            <w:r>
              <w:rPr>
                <w:b/>
                <w:bCs/>
                <w:color w:val="000000"/>
                <w:sz w:val="20"/>
                <w:szCs w:val="20"/>
              </w:rPr>
              <w:t>*</w:t>
            </w:r>
          </w:p>
        </w:tc>
      </w:tr>
      <w:tr w:rsidR="00097466" w14:paraId="6CA0E3FD"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5FCED430" w14:textId="77777777" w:rsidR="00097466" w:rsidRDefault="00000000">
            <w:pPr>
              <w:spacing w:before="0" w:after="0" w:line="240" w:lineRule="auto"/>
              <w:jc w:val="left"/>
              <w:rPr>
                <w:color w:val="000000"/>
                <w:sz w:val="20"/>
                <w:szCs w:val="20"/>
              </w:rPr>
            </w:pPr>
            <w:r>
              <w:rPr>
                <w:color w:val="000000"/>
                <w:sz w:val="20"/>
                <w:szCs w:val="20"/>
              </w:rPr>
              <w:t>Sexo masculino</w:t>
            </w:r>
          </w:p>
        </w:tc>
        <w:tc>
          <w:tcPr>
            <w:tcW w:w="2260" w:type="dxa"/>
            <w:tcBorders>
              <w:top w:val="nil"/>
              <w:left w:val="nil"/>
              <w:bottom w:val="single" w:sz="8" w:space="0" w:color="DDDDDD"/>
              <w:right w:val="single" w:sz="8" w:space="0" w:color="DDDDDD"/>
            </w:tcBorders>
            <w:shd w:val="clear" w:color="auto" w:fill="auto"/>
            <w:vAlign w:val="center"/>
          </w:tcPr>
          <w:p w14:paraId="1CAF25AF" w14:textId="77777777" w:rsidR="00097466" w:rsidRDefault="00000000">
            <w:pPr>
              <w:spacing w:before="0" w:after="0" w:line="240" w:lineRule="auto"/>
              <w:jc w:val="left"/>
              <w:rPr>
                <w:color w:val="000000"/>
                <w:sz w:val="20"/>
                <w:szCs w:val="20"/>
              </w:rPr>
            </w:pPr>
            <w:r>
              <w:rPr>
                <w:color w:val="000000"/>
                <w:sz w:val="20"/>
                <w:szCs w:val="20"/>
              </w:rPr>
              <w:t>20 (12,2%)</w:t>
            </w:r>
          </w:p>
        </w:tc>
        <w:tc>
          <w:tcPr>
            <w:tcW w:w="2260" w:type="dxa"/>
            <w:tcBorders>
              <w:top w:val="nil"/>
              <w:left w:val="nil"/>
              <w:bottom w:val="single" w:sz="8" w:space="0" w:color="DDDDDD"/>
              <w:right w:val="single" w:sz="8" w:space="0" w:color="DDDDDD"/>
            </w:tcBorders>
            <w:shd w:val="clear" w:color="auto" w:fill="auto"/>
            <w:vAlign w:val="center"/>
          </w:tcPr>
          <w:p w14:paraId="064561CD" w14:textId="77777777" w:rsidR="00097466" w:rsidRDefault="00000000">
            <w:pPr>
              <w:spacing w:before="0" w:after="0" w:line="240" w:lineRule="auto"/>
              <w:jc w:val="left"/>
              <w:rPr>
                <w:color w:val="000000"/>
                <w:sz w:val="20"/>
                <w:szCs w:val="20"/>
              </w:rPr>
            </w:pPr>
            <w:r>
              <w:rPr>
                <w:color w:val="000000"/>
                <w:sz w:val="20"/>
                <w:szCs w:val="20"/>
              </w:rPr>
              <w:t>5 (5,7%)</w:t>
            </w:r>
          </w:p>
        </w:tc>
        <w:tc>
          <w:tcPr>
            <w:tcW w:w="932" w:type="dxa"/>
            <w:tcBorders>
              <w:top w:val="nil"/>
              <w:left w:val="nil"/>
              <w:bottom w:val="single" w:sz="8" w:space="0" w:color="DDDDDD"/>
              <w:right w:val="single" w:sz="8" w:space="0" w:color="DDDDDD"/>
            </w:tcBorders>
            <w:shd w:val="clear" w:color="auto" w:fill="auto"/>
            <w:vAlign w:val="center"/>
          </w:tcPr>
          <w:p w14:paraId="2EC5A3EE" w14:textId="77777777" w:rsidR="00097466" w:rsidRDefault="00000000">
            <w:pPr>
              <w:spacing w:before="0" w:after="0" w:line="240" w:lineRule="auto"/>
              <w:jc w:val="left"/>
              <w:rPr>
                <w:color w:val="000000"/>
                <w:sz w:val="20"/>
                <w:szCs w:val="20"/>
              </w:rPr>
            </w:pPr>
            <w:r>
              <w:rPr>
                <w:color w:val="000000"/>
                <w:sz w:val="20"/>
                <w:szCs w:val="20"/>
              </w:rPr>
              <w:t>0,161</w:t>
            </w:r>
          </w:p>
        </w:tc>
        <w:tc>
          <w:tcPr>
            <w:tcW w:w="468" w:type="dxa"/>
            <w:tcBorders>
              <w:top w:val="nil"/>
              <w:left w:val="nil"/>
              <w:bottom w:val="single" w:sz="8" w:space="0" w:color="DDDDDD"/>
              <w:right w:val="single" w:sz="8" w:space="0" w:color="DDDDDD"/>
            </w:tcBorders>
            <w:shd w:val="clear" w:color="auto" w:fill="auto"/>
            <w:vAlign w:val="center"/>
          </w:tcPr>
          <w:p w14:paraId="6F2EAC9D"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71120037"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735762E8" w14:textId="77777777" w:rsidR="00097466" w:rsidRDefault="00000000">
            <w:pPr>
              <w:spacing w:before="0" w:after="0" w:line="240" w:lineRule="auto"/>
              <w:jc w:val="left"/>
              <w:rPr>
                <w:color w:val="000000"/>
                <w:sz w:val="20"/>
                <w:szCs w:val="20"/>
              </w:rPr>
            </w:pPr>
            <w:r>
              <w:rPr>
                <w:color w:val="000000"/>
                <w:sz w:val="20"/>
                <w:szCs w:val="20"/>
              </w:rPr>
              <w:t xml:space="preserve">Duración de la enfermedad </w:t>
            </w:r>
          </w:p>
        </w:tc>
        <w:tc>
          <w:tcPr>
            <w:tcW w:w="2260" w:type="dxa"/>
            <w:tcBorders>
              <w:top w:val="nil"/>
              <w:left w:val="nil"/>
              <w:bottom w:val="single" w:sz="8" w:space="0" w:color="DDDDDD"/>
              <w:right w:val="single" w:sz="8" w:space="0" w:color="DDDDDD"/>
            </w:tcBorders>
            <w:shd w:val="clear" w:color="auto" w:fill="auto"/>
            <w:vAlign w:val="center"/>
          </w:tcPr>
          <w:p w14:paraId="7A7A642D" w14:textId="77777777" w:rsidR="00097466" w:rsidRDefault="00000000">
            <w:pPr>
              <w:spacing w:before="0" w:after="0" w:line="240" w:lineRule="auto"/>
              <w:jc w:val="left"/>
              <w:rPr>
                <w:color w:val="000000"/>
                <w:sz w:val="20"/>
                <w:szCs w:val="20"/>
              </w:rPr>
            </w:pPr>
            <w:r>
              <w:rPr>
                <w:color w:val="000000"/>
                <w:sz w:val="20"/>
                <w:szCs w:val="20"/>
              </w:rPr>
              <w:t>19,65 [9,69–27,80]</w:t>
            </w:r>
          </w:p>
        </w:tc>
        <w:tc>
          <w:tcPr>
            <w:tcW w:w="2260" w:type="dxa"/>
            <w:tcBorders>
              <w:top w:val="nil"/>
              <w:left w:val="nil"/>
              <w:bottom w:val="single" w:sz="8" w:space="0" w:color="DDDDDD"/>
              <w:right w:val="single" w:sz="8" w:space="0" w:color="DDDDDD"/>
            </w:tcBorders>
            <w:shd w:val="clear" w:color="auto" w:fill="auto"/>
            <w:vAlign w:val="center"/>
          </w:tcPr>
          <w:p w14:paraId="446202F7" w14:textId="77777777" w:rsidR="00097466" w:rsidRDefault="00000000">
            <w:pPr>
              <w:spacing w:before="0" w:after="0" w:line="240" w:lineRule="auto"/>
              <w:jc w:val="left"/>
              <w:rPr>
                <w:color w:val="000000"/>
                <w:sz w:val="20"/>
                <w:szCs w:val="20"/>
              </w:rPr>
            </w:pPr>
            <w:r>
              <w:rPr>
                <w:color w:val="000000"/>
                <w:sz w:val="20"/>
                <w:szCs w:val="20"/>
              </w:rPr>
              <w:t>19,14 [10,96–27,30]</w:t>
            </w:r>
          </w:p>
        </w:tc>
        <w:tc>
          <w:tcPr>
            <w:tcW w:w="932" w:type="dxa"/>
            <w:tcBorders>
              <w:top w:val="nil"/>
              <w:left w:val="nil"/>
              <w:bottom w:val="single" w:sz="8" w:space="0" w:color="DDDDDD"/>
              <w:right w:val="single" w:sz="8" w:space="0" w:color="DDDDDD"/>
            </w:tcBorders>
            <w:shd w:val="clear" w:color="auto" w:fill="auto"/>
            <w:vAlign w:val="center"/>
          </w:tcPr>
          <w:p w14:paraId="7F1897DE" w14:textId="77777777" w:rsidR="00097466" w:rsidRDefault="00000000">
            <w:pPr>
              <w:spacing w:before="0" w:after="0" w:line="240" w:lineRule="auto"/>
              <w:jc w:val="left"/>
              <w:rPr>
                <w:color w:val="000000"/>
                <w:sz w:val="20"/>
                <w:szCs w:val="20"/>
              </w:rPr>
            </w:pPr>
            <w:r>
              <w:rPr>
                <w:color w:val="000000"/>
                <w:sz w:val="20"/>
                <w:szCs w:val="20"/>
              </w:rPr>
              <w:t>8,05E-01</w:t>
            </w:r>
          </w:p>
        </w:tc>
        <w:tc>
          <w:tcPr>
            <w:tcW w:w="468" w:type="dxa"/>
            <w:tcBorders>
              <w:top w:val="nil"/>
              <w:left w:val="nil"/>
              <w:bottom w:val="single" w:sz="8" w:space="0" w:color="DDDDDD"/>
              <w:right w:val="single" w:sz="8" w:space="0" w:color="DDDDDD"/>
            </w:tcBorders>
            <w:shd w:val="clear" w:color="auto" w:fill="auto"/>
            <w:vAlign w:val="center"/>
          </w:tcPr>
          <w:p w14:paraId="6D870D31"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22CB7906"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5A9F4214" w14:textId="77777777" w:rsidR="00097466" w:rsidRDefault="00000000">
            <w:pPr>
              <w:spacing w:before="0" w:after="0" w:line="240" w:lineRule="auto"/>
              <w:jc w:val="left"/>
              <w:rPr>
                <w:b/>
                <w:bCs/>
                <w:color w:val="000000"/>
                <w:sz w:val="20"/>
                <w:szCs w:val="20"/>
              </w:rPr>
            </w:pPr>
            <w:r>
              <w:rPr>
                <w:b/>
                <w:bCs/>
                <w:color w:val="000000"/>
                <w:sz w:val="20"/>
                <w:szCs w:val="20"/>
              </w:rPr>
              <w:t xml:space="preserve">Edad al diagnóstico </w:t>
            </w:r>
          </w:p>
        </w:tc>
        <w:tc>
          <w:tcPr>
            <w:tcW w:w="2260" w:type="dxa"/>
            <w:tcBorders>
              <w:top w:val="nil"/>
              <w:left w:val="nil"/>
              <w:bottom w:val="single" w:sz="8" w:space="0" w:color="DDDDDD"/>
              <w:right w:val="single" w:sz="8" w:space="0" w:color="DDDDDD"/>
            </w:tcBorders>
            <w:shd w:val="clear" w:color="auto" w:fill="auto"/>
            <w:vAlign w:val="center"/>
          </w:tcPr>
          <w:p w14:paraId="2AB6DC19" w14:textId="77777777" w:rsidR="00097466" w:rsidRDefault="00000000">
            <w:pPr>
              <w:spacing w:before="0" w:after="0" w:line="240" w:lineRule="auto"/>
              <w:jc w:val="left"/>
              <w:rPr>
                <w:color w:val="000000"/>
                <w:sz w:val="20"/>
                <w:szCs w:val="20"/>
              </w:rPr>
            </w:pPr>
            <w:r>
              <w:rPr>
                <w:color w:val="000000"/>
                <w:sz w:val="20"/>
                <w:szCs w:val="20"/>
              </w:rPr>
              <w:t>33,02 [24,94–45,42]</w:t>
            </w:r>
          </w:p>
        </w:tc>
        <w:tc>
          <w:tcPr>
            <w:tcW w:w="2260" w:type="dxa"/>
            <w:tcBorders>
              <w:top w:val="nil"/>
              <w:left w:val="nil"/>
              <w:bottom w:val="single" w:sz="8" w:space="0" w:color="DDDDDD"/>
              <w:right w:val="single" w:sz="8" w:space="0" w:color="DDDDDD"/>
            </w:tcBorders>
            <w:shd w:val="clear" w:color="auto" w:fill="auto"/>
            <w:vAlign w:val="center"/>
          </w:tcPr>
          <w:p w14:paraId="442674F6" w14:textId="77777777" w:rsidR="00097466" w:rsidRDefault="00000000">
            <w:pPr>
              <w:spacing w:before="0" w:after="0" w:line="240" w:lineRule="auto"/>
              <w:jc w:val="left"/>
              <w:rPr>
                <w:color w:val="000000"/>
                <w:sz w:val="20"/>
                <w:szCs w:val="20"/>
              </w:rPr>
            </w:pPr>
            <w:r>
              <w:rPr>
                <w:color w:val="000000"/>
                <w:sz w:val="20"/>
                <w:szCs w:val="20"/>
              </w:rPr>
              <w:t>27,26 [21,69–36,42]</w:t>
            </w:r>
          </w:p>
        </w:tc>
        <w:tc>
          <w:tcPr>
            <w:tcW w:w="932" w:type="dxa"/>
            <w:tcBorders>
              <w:top w:val="nil"/>
              <w:left w:val="nil"/>
              <w:bottom w:val="single" w:sz="8" w:space="0" w:color="DDDDDD"/>
              <w:right w:val="single" w:sz="8" w:space="0" w:color="DDDDDD"/>
            </w:tcBorders>
            <w:shd w:val="clear" w:color="auto" w:fill="auto"/>
            <w:vAlign w:val="center"/>
          </w:tcPr>
          <w:p w14:paraId="1261DEF5" w14:textId="77777777" w:rsidR="00097466" w:rsidRDefault="00000000">
            <w:pPr>
              <w:spacing w:before="0" w:after="0" w:line="240" w:lineRule="auto"/>
              <w:jc w:val="left"/>
              <w:rPr>
                <w:color w:val="000000"/>
                <w:sz w:val="20"/>
                <w:szCs w:val="20"/>
              </w:rPr>
            </w:pPr>
            <w:r>
              <w:rPr>
                <w:color w:val="000000"/>
                <w:sz w:val="20"/>
                <w:szCs w:val="20"/>
              </w:rPr>
              <w:t>6,58E-03</w:t>
            </w:r>
          </w:p>
        </w:tc>
        <w:tc>
          <w:tcPr>
            <w:tcW w:w="468" w:type="dxa"/>
            <w:tcBorders>
              <w:top w:val="nil"/>
              <w:left w:val="nil"/>
              <w:bottom w:val="single" w:sz="8" w:space="0" w:color="DDDDDD"/>
              <w:right w:val="single" w:sz="8" w:space="0" w:color="DDDDDD"/>
            </w:tcBorders>
            <w:shd w:val="clear" w:color="auto" w:fill="auto"/>
            <w:vAlign w:val="center"/>
          </w:tcPr>
          <w:p w14:paraId="4FB30B75"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45F4A86B" w14:textId="77777777">
        <w:trPr>
          <w:trHeight w:val="397"/>
        </w:trPr>
        <w:tc>
          <w:tcPr>
            <w:tcW w:w="8485" w:type="dxa"/>
            <w:gridSpan w:val="5"/>
            <w:tcBorders>
              <w:top w:val="single" w:sz="8" w:space="0" w:color="DDDDDD"/>
              <w:left w:val="single" w:sz="8" w:space="0" w:color="DDDDDD"/>
              <w:bottom w:val="single" w:sz="8" w:space="0" w:color="DDDDDD"/>
              <w:right w:val="single" w:sz="8" w:space="0" w:color="DDDDDD"/>
            </w:tcBorders>
            <w:shd w:val="clear" w:color="auto" w:fill="auto"/>
            <w:vAlign w:val="center"/>
          </w:tcPr>
          <w:p w14:paraId="72EE95C5" w14:textId="77777777" w:rsidR="00097466" w:rsidRDefault="00000000">
            <w:pPr>
              <w:spacing w:before="0" w:after="0" w:line="240" w:lineRule="auto"/>
              <w:jc w:val="left"/>
              <w:rPr>
                <w:b/>
                <w:bCs/>
                <w:color w:val="000000"/>
                <w:sz w:val="20"/>
                <w:szCs w:val="20"/>
              </w:rPr>
            </w:pPr>
            <w:r>
              <w:rPr>
                <w:b/>
                <w:bCs/>
                <w:color w:val="000000"/>
                <w:sz w:val="20"/>
                <w:szCs w:val="20"/>
              </w:rPr>
              <w:t>Índices de actividad y remisión</w:t>
            </w:r>
          </w:p>
        </w:tc>
      </w:tr>
      <w:tr w:rsidR="00097466" w14:paraId="44BF27DD"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55EDE278" w14:textId="77777777" w:rsidR="00097466" w:rsidRDefault="00000000">
            <w:pPr>
              <w:spacing w:before="0" w:after="0" w:line="240" w:lineRule="auto"/>
              <w:jc w:val="left"/>
              <w:rPr>
                <w:b/>
                <w:bCs/>
                <w:color w:val="000000"/>
                <w:sz w:val="20"/>
                <w:szCs w:val="20"/>
              </w:rPr>
            </w:pPr>
            <w:r>
              <w:rPr>
                <w:b/>
                <w:bCs/>
                <w:color w:val="000000"/>
                <w:sz w:val="20"/>
                <w:szCs w:val="20"/>
              </w:rPr>
              <w:t>SLEDAI-2K</w:t>
            </w:r>
          </w:p>
        </w:tc>
        <w:tc>
          <w:tcPr>
            <w:tcW w:w="2260" w:type="dxa"/>
            <w:tcBorders>
              <w:top w:val="nil"/>
              <w:left w:val="nil"/>
              <w:bottom w:val="single" w:sz="8" w:space="0" w:color="DDDDDD"/>
              <w:right w:val="single" w:sz="8" w:space="0" w:color="DDDDDD"/>
            </w:tcBorders>
            <w:shd w:val="clear" w:color="auto" w:fill="auto"/>
            <w:vAlign w:val="center"/>
          </w:tcPr>
          <w:p w14:paraId="2215E804" w14:textId="77777777" w:rsidR="00097466" w:rsidRDefault="00000000">
            <w:pPr>
              <w:spacing w:before="0" w:after="0" w:line="240" w:lineRule="auto"/>
              <w:jc w:val="left"/>
              <w:rPr>
                <w:color w:val="000000"/>
                <w:sz w:val="20"/>
                <w:szCs w:val="20"/>
              </w:rPr>
            </w:pPr>
            <w:r>
              <w:rPr>
                <w:color w:val="000000"/>
                <w:sz w:val="20"/>
                <w:szCs w:val="20"/>
              </w:rPr>
              <w:t>1,00 [0,00–2,00]</w:t>
            </w:r>
          </w:p>
        </w:tc>
        <w:tc>
          <w:tcPr>
            <w:tcW w:w="2260" w:type="dxa"/>
            <w:tcBorders>
              <w:top w:val="nil"/>
              <w:left w:val="nil"/>
              <w:bottom w:val="single" w:sz="8" w:space="0" w:color="DDDDDD"/>
              <w:right w:val="single" w:sz="8" w:space="0" w:color="DDDDDD"/>
            </w:tcBorders>
            <w:shd w:val="clear" w:color="auto" w:fill="auto"/>
            <w:vAlign w:val="center"/>
          </w:tcPr>
          <w:p w14:paraId="3D72B3CD" w14:textId="77777777" w:rsidR="00097466" w:rsidRDefault="00000000">
            <w:pPr>
              <w:spacing w:before="0" w:after="0" w:line="240" w:lineRule="auto"/>
              <w:jc w:val="left"/>
              <w:rPr>
                <w:color w:val="000000"/>
                <w:sz w:val="20"/>
                <w:szCs w:val="20"/>
              </w:rPr>
            </w:pPr>
            <w:r>
              <w:rPr>
                <w:color w:val="000000"/>
                <w:sz w:val="20"/>
                <w:szCs w:val="20"/>
              </w:rPr>
              <w:t>2,00 [0,00–4,00]</w:t>
            </w:r>
          </w:p>
        </w:tc>
        <w:tc>
          <w:tcPr>
            <w:tcW w:w="932" w:type="dxa"/>
            <w:tcBorders>
              <w:top w:val="nil"/>
              <w:left w:val="nil"/>
              <w:bottom w:val="single" w:sz="8" w:space="0" w:color="DDDDDD"/>
              <w:right w:val="single" w:sz="8" w:space="0" w:color="DDDDDD"/>
            </w:tcBorders>
            <w:shd w:val="clear" w:color="auto" w:fill="auto"/>
            <w:vAlign w:val="center"/>
          </w:tcPr>
          <w:p w14:paraId="74688AD9" w14:textId="77777777" w:rsidR="00097466" w:rsidRDefault="00000000">
            <w:pPr>
              <w:spacing w:before="0" w:after="0" w:line="240" w:lineRule="auto"/>
              <w:jc w:val="left"/>
              <w:rPr>
                <w:color w:val="000000"/>
                <w:sz w:val="20"/>
                <w:szCs w:val="20"/>
              </w:rPr>
            </w:pPr>
            <w:r>
              <w:rPr>
                <w:color w:val="000000"/>
                <w:sz w:val="20"/>
                <w:szCs w:val="20"/>
              </w:rPr>
              <w:t>3,42E-02</w:t>
            </w:r>
          </w:p>
        </w:tc>
        <w:tc>
          <w:tcPr>
            <w:tcW w:w="468" w:type="dxa"/>
            <w:tcBorders>
              <w:top w:val="nil"/>
              <w:left w:val="nil"/>
              <w:bottom w:val="single" w:sz="8" w:space="0" w:color="DDDDDD"/>
              <w:right w:val="single" w:sz="8" w:space="0" w:color="DDDDDD"/>
            </w:tcBorders>
            <w:shd w:val="clear" w:color="auto" w:fill="auto"/>
            <w:vAlign w:val="center"/>
          </w:tcPr>
          <w:p w14:paraId="69A39CB1"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040E4D55"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746922E6" w14:textId="77777777" w:rsidR="00097466" w:rsidRDefault="00000000">
            <w:pPr>
              <w:spacing w:before="0" w:after="0" w:line="240" w:lineRule="auto"/>
              <w:jc w:val="left"/>
              <w:rPr>
                <w:b/>
                <w:bCs/>
                <w:color w:val="000000"/>
                <w:sz w:val="20"/>
                <w:szCs w:val="20"/>
              </w:rPr>
            </w:pPr>
            <w:r>
              <w:rPr>
                <w:b/>
                <w:bCs/>
                <w:color w:val="000000"/>
                <w:sz w:val="20"/>
                <w:szCs w:val="20"/>
              </w:rPr>
              <w:t>SLE-DAS</w:t>
            </w:r>
          </w:p>
        </w:tc>
        <w:tc>
          <w:tcPr>
            <w:tcW w:w="2260" w:type="dxa"/>
            <w:tcBorders>
              <w:top w:val="nil"/>
              <w:left w:val="nil"/>
              <w:bottom w:val="single" w:sz="8" w:space="0" w:color="DDDDDD"/>
              <w:right w:val="single" w:sz="8" w:space="0" w:color="DDDDDD"/>
            </w:tcBorders>
            <w:shd w:val="clear" w:color="auto" w:fill="auto"/>
            <w:vAlign w:val="center"/>
          </w:tcPr>
          <w:p w14:paraId="006CB4B0" w14:textId="77777777" w:rsidR="00097466" w:rsidRDefault="00000000">
            <w:pPr>
              <w:spacing w:before="0" w:after="0" w:line="240" w:lineRule="auto"/>
              <w:jc w:val="left"/>
              <w:rPr>
                <w:color w:val="000000"/>
                <w:sz w:val="20"/>
                <w:szCs w:val="20"/>
              </w:rPr>
            </w:pPr>
            <w:r>
              <w:rPr>
                <w:color w:val="000000"/>
                <w:sz w:val="20"/>
                <w:szCs w:val="20"/>
              </w:rPr>
              <w:t>1,11 [0,37–1,32]</w:t>
            </w:r>
          </w:p>
        </w:tc>
        <w:tc>
          <w:tcPr>
            <w:tcW w:w="2260" w:type="dxa"/>
            <w:tcBorders>
              <w:top w:val="nil"/>
              <w:left w:val="nil"/>
              <w:bottom w:val="single" w:sz="8" w:space="0" w:color="DDDDDD"/>
              <w:right w:val="single" w:sz="8" w:space="0" w:color="DDDDDD"/>
            </w:tcBorders>
            <w:shd w:val="clear" w:color="auto" w:fill="auto"/>
            <w:vAlign w:val="center"/>
          </w:tcPr>
          <w:p w14:paraId="655C8366" w14:textId="77777777" w:rsidR="00097466" w:rsidRDefault="00000000">
            <w:pPr>
              <w:spacing w:before="0" w:after="0" w:line="240" w:lineRule="auto"/>
              <w:jc w:val="left"/>
              <w:rPr>
                <w:color w:val="000000"/>
                <w:sz w:val="20"/>
                <w:szCs w:val="20"/>
              </w:rPr>
            </w:pPr>
            <w:r>
              <w:rPr>
                <w:color w:val="000000"/>
                <w:sz w:val="20"/>
                <w:szCs w:val="20"/>
              </w:rPr>
              <w:t>1,32 [0,37–3,50]</w:t>
            </w:r>
          </w:p>
        </w:tc>
        <w:tc>
          <w:tcPr>
            <w:tcW w:w="932" w:type="dxa"/>
            <w:tcBorders>
              <w:top w:val="nil"/>
              <w:left w:val="nil"/>
              <w:bottom w:val="single" w:sz="8" w:space="0" w:color="DDDDDD"/>
              <w:right w:val="single" w:sz="8" w:space="0" w:color="DDDDDD"/>
            </w:tcBorders>
            <w:shd w:val="clear" w:color="auto" w:fill="auto"/>
            <w:vAlign w:val="center"/>
          </w:tcPr>
          <w:p w14:paraId="2929DA7E" w14:textId="77777777" w:rsidR="00097466" w:rsidRDefault="00000000">
            <w:pPr>
              <w:spacing w:before="0" w:after="0" w:line="240" w:lineRule="auto"/>
              <w:jc w:val="left"/>
              <w:rPr>
                <w:color w:val="000000"/>
                <w:sz w:val="20"/>
                <w:szCs w:val="20"/>
              </w:rPr>
            </w:pPr>
            <w:r>
              <w:rPr>
                <w:color w:val="000000"/>
                <w:sz w:val="20"/>
                <w:szCs w:val="20"/>
              </w:rPr>
              <w:t>3,42E-02</w:t>
            </w:r>
          </w:p>
        </w:tc>
        <w:tc>
          <w:tcPr>
            <w:tcW w:w="468" w:type="dxa"/>
            <w:tcBorders>
              <w:top w:val="nil"/>
              <w:left w:val="nil"/>
              <w:bottom w:val="single" w:sz="8" w:space="0" w:color="DDDDDD"/>
              <w:right w:val="single" w:sz="8" w:space="0" w:color="DDDDDD"/>
            </w:tcBorders>
            <w:shd w:val="clear" w:color="auto" w:fill="auto"/>
            <w:vAlign w:val="center"/>
          </w:tcPr>
          <w:p w14:paraId="45AFCB12"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23F7B8BC"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33B9568C" w14:textId="77777777" w:rsidR="00097466" w:rsidRDefault="00000000">
            <w:pPr>
              <w:spacing w:before="0" w:after="0" w:line="240" w:lineRule="auto"/>
              <w:jc w:val="left"/>
              <w:rPr>
                <w:b/>
                <w:bCs/>
                <w:color w:val="000000"/>
                <w:sz w:val="20"/>
                <w:szCs w:val="20"/>
              </w:rPr>
            </w:pPr>
            <w:r>
              <w:rPr>
                <w:b/>
                <w:bCs/>
                <w:color w:val="000000"/>
                <w:sz w:val="20"/>
                <w:szCs w:val="20"/>
              </w:rPr>
              <w:t>SLICC-DI</w:t>
            </w:r>
          </w:p>
        </w:tc>
        <w:tc>
          <w:tcPr>
            <w:tcW w:w="2260" w:type="dxa"/>
            <w:tcBorders>
              <w:top w:val="nil"/>
              <w:left w:val="nil"/>
              <w:bottom w:val="single" w:sz="8" w:space="0" w:color="DDDDDD"/>
              <w:right w:val="single" w:sz="8" w:space="0" w:color="DDDDDD"/>
            </w:tcBorders>
            <w:shd w:val="clear" w:color="auto" w:fill="auto"/>
            <w:vAlign w:val="center"/>
          </w:tcPr>
          <w:p w14:paraId="683A1A30" w14:textId="77777777" w:rsidR="00097466" w:rsidRDefault="00000000">
            <w:pPr>
              <w:spacing w:before="0" w:after="0" w:line="240" w:lineRule="auto"/>
              <w:jc w:val="left"/>
              <w:rPr>
                <w:color w:val="000000"/>
                <w:sz w:val="20"/>
                <w:szCs w:val="20"/>
              </w:rPr>
            </w:pPr>
            <w:r>
              <w:rPr>
                <w:color w:val="000000"/>
                <w:sz w:val="20"/>
                <w:szCs w:val="20"/>
              </w:rPr>
              <w:t>0,00 [0,00–1,00]</w:t>
            </w:r>
          </w:p>
        </w:tc>
        <w:tc>
          <w:tcPr>
            <w:tcW w:w="2260" w:type="dxa"/>
            <w:tcBorders>
              <w:top w:val="nil"/>
              <w:left w:val="nil"/>
              <w:bottom w:val="single" w:sz="8" w:space="0" w:color="DDDDDD"/>
              <w:right w:val="single" w:sz="8" w:space="0" w:color="DDDDDD"/>
            </w:tcBorders>
            <w:shd w:val="clear" w:color="auto" w:fill="auto"/>
            <w:vAlign w:val="center"/>
          </w:tcPr>
          <w:p w14:paraId="180BA1C5" w14:textId="77777777" w:rsidR="00097466" w:rsidRDefault="00000000">
            <w:pPr>
              <w:spacing w:before="0" w:after="0" w:line="240" w:lineRule="auto"/>
              <w:jc w:val="left"/>
              <w:rPr>
                <w:color w:val="000000"/>
                <w:sz w:val="20"/>
                <w:szCs w:val="20"/>
              </w:rPr>
            </w:pPr>
            <w:r>
              <w:rPr>
                <w:color w:val="000000"/>
                <w:sz w:val="20"/>
                <w:szCs w:val="20"/>
              </w:rPr>
              <w:t>1,00 [0,00–2,00]</w:t>
            </w:r>
          </w:p>
        </w:tc>
        <w:tc>
          <w:tcPr>
            <w:tcW w:w="932" w:type="dxa"/>
            <w:tcBorders>
              <w:top w:val="nil"/>
              <w:left w:val="nil"/>
              <w:bottom w:val="single" w:sz="8" w:space="0" w:color="DDDDDD"/>
              <w:right w:val="single" w:sz="8" w:space="0" w:color="DDDDDD"/>
            </w:tcBorders>
            <w:shd w:val="clear" w:color="auto" w:fill="auto"/>
            <w:vAlign w:val="center"/>
          </w:tcPr>
          <w:p w14:paraId="1149BF7C" w14:textId="77777777" w:rsidR="00097466" w:rsidRDefault="00000000">
            <w:pPr>
              <w:spacing w:before="0" w:after="0" w:line="240" w:lineRule="auto"/>
              <w:jc w:val="left"/>
              <w:rPr>
                <w:color w:val="000000"/>
                <w:sz w:val="20"/>
                <w:szCs w:val="20"/>
              </w:rPr>
            </w:pPr>
            <w:r>
              <w:rPr>
                <w:color w:val="000000"/>
                <w:sz w:val="20"/>
                <w:szCs w:val="20"/>
              </w:rPr>
              <w:t>6,58E-03</w:t>
            </w:r>
          </w:p>
        </w:tc>
        <w:tc>
          <w:tcPr>
            <w:tcW w:w="468" w:type="dxa"/>
            <w:tcBorders>
              <w:top w:val="nil"/>
              <w:left w:val="nil"/>
              <w:bottom w:val="single" w:sz="8" w:space="0" w:color="DDDDDD"/>
              <w:right w:val="single" w:sz="8" w:space="0" w:color="DDDDDD"/>
            </w:tcBorders>
            <w:shd w:val="clear" w:color="auto" w:fill="auto"/>
            <w:vAlign w:val="center"/>
          </w:tcPr>
          <w:p w14:paraId="5543C55F"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0D1E5DF7"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7176DB5C" w14:textId="77777777" w:rsidR="00097466" w:rsidRDefault="00000000">
            <w:pPr>
              <w:spacing w:before="0" w:after="0" w:line="240" w:lineRule="auto"/>
              <w:jc w:val="left"/>
              <w:rPr>
                <w:color w:val="000000"/>
                <w:sz w:val="20"/>
                <w:szCs w:val="20"/>
              </w:rPr>
            </w:pPr>
            <w:r>
              <w:rPr>
                <w:color w:val="000000"/>
                <w:sz w:val="20"/>
                <w:szCs w:val="20"/>
              </w:rPr>
              <w:t>LLDAS (Sí)</w:t>
            </w:r>
          </w:p>
        </w:tc>
        <w:tc>
          <w:tcPr>
            <w:tcW w:w="2260" w:type="dxa"/>
            <w:tcBorders>
              <w:top w:val="nil"/>
              <w:left w:val="nil"/>
              <w:bottom w:val="single" w:sz="8" w:space="0" w:color="DDDDDD"/>
              <w:right w:val="single" w:sz="8" w:space="0" w:color="DDDDDD"/>
            </w:tcBorders>
            <w:shd w:val="clear" w:color="auto" w:fill="auto"/>
            <w:vAlign w:val="center"/>
          </w:tcPr>
          <w:p w14:paraId="77CA5B2B" w14:textId="77777777" w:rsidR="00097466" w:rsidRDefault="00000000">
            <w:pPr>
              <w:spacing w:before="0" w:after="0" w:line="240" w:lineRule="auto"/>
              <w:jc w:val="left"/>
              <w:rPr>
                <w:color w:val="000000"/>
                <w:sz w:val="20"/>
                <w:szCs w:val="20"/>
              </w:rPr>
            </w:pPr>
            <w:r>
              <w:rPr>
                <w:color w:val="000000"/>
                <w:sz w:val="20"/>
                <w:szCs w:val="20"/>
              </w:rPr>
              <w:t>142 (86,6%)</w:t>
            </w:r>
          </w:p>
        </w:tc>
        <w:tc>
          <w:tcPr>
            <w:tcW w:w="2260" w:type="dxa"/>
            <w:tcBorders>
              <w:top w:val="nil"/>
              <w:left w:val="nil"/>
              <w:bottom w:val="single" w:sz="8" w:space="0" w:color="DDDDDD"/>
              <w:right w:val="single" w:sz="8" w:space="0" w:color="DDDDDD"/>
            </w:tcBorders>
            <w:shd w:val="clear" w:color="auto" w:fill="auto"/>
            <w:vAlign w:val="center"/>
          </w:tcPr>
          <w:p w14:paraId="29187F7A" w14:textId="77777777" w:rsidR="00097466" w:rsidRDefault="00000000">
            <w:pPr>
              <w:spacing w:before="0" w:after="0" w:line="240" w:lineRule="auto"/>
              <w:jc w:val="left"/>
              <w:rPr>
                <w:color w:val="000000"/>
                <w:sz w:val="20"/>
                <w:szCs w:val="20"/>
              </w:rPr>
            </w:pPr>
            <w:r>
              <w:rPr>
                <w:color w:val="000000"/>
                <w:sz w:val="20"/>
                <w:szCs w:val="20"/>
              </w:rPr>
              <w:t>71 (81,6%)</w:t>
            </w:r>
          </w:p>
        </w:tc>
        <w:tc>
          <w:tcPr>
            <w:tcW w:w="932" w:type="dxa"/>
            <w:tcBorders>
              <w:top w:val="nil"/>
              <w:left w:val="nil"/>
              <w:bottom w:val="single" w:sz="8" w:space="0" w:color="DDDDDD"/>
              <w:right w:val="single" w:sz="8" w:space="0" w:color="DDDDDD"/>
            </w:tcBorders>
            <w:shd w:val="clear" w:color="auto" w:fill="auto"/>
            <w:vAlign w:val="center"/>
          </w:tcPr>
          <w:p w14:paraId="2BDF32BB" w14:textId="77777777" w:rsidR="00097466" w:rsidRDefault="00000000">
            <w:pPr>
              <w:spacing w:before="0" w:after="0" w:line="240" w:lineRule="auto"/>
              <w:jc w:val="left"/>
              <w:rPr>
                <w:color w:val="000000"/>
                <w:sz w:val="20"/>
                <w:szCs w:val="20"/>
              </w:rPr>
            </w:pPr>
            <w:r>
              <w:rPr>
                <w:color w:val="000000"/>
                <w:sz w:val="20"/>
                <w:szCs w:val="20"/>
              </w:rPr>
              <w:t>0,389</w:t>
            </w:r>
          </w:p>
        </w:tc>
        <w:tc>
          <w:tcPr>
            <w:tcW w:w="468" w:type="dxa"/>
            <w:tcBorders>
              <w:top w:val="nil"/>
              <w:left w:val="nil"/>
              <w:bottom w:val="single" w:sz="8" w:space="0" w:color="DDDDDD"/>
              <w:right w:val="single" w:sz="8" w:space="0" w:color="DDDDDD"/>
            </w:tcBorders>
            <w:shd w:val="clear" w:color="auto" w:fill="auto"/>
            <w:vAlign w:val="center"/>
          </w:tcPr>
          <w:p w14:paraId="2CA9E762"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00CC08F3"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61078B85" w14:textId="77777777" w:rsidR="00097466" w:rsidRDefault="00000000">
            <w:pPr>
              <w:spacing w:before="0" w:after="0" w:line="240" w:lineRule="auto"/>
              <w:jc w:val="left"/>
              <w:rPr>
                <w:color w:val="000000"/>
                <w:sz w:val="20"/>
                <w:szCs w:val="20"/>
              </w:rPr>
            </w:pPr>
            <w:r>
              <w:rPr>
                <w:color w:val="000000"/>
                <w:sz w:val="20"/>
                <w:szCs w:val="20"/>
              </w:rPr>
              <w:t>DORIS (Sí)</w:t>
            </w:r>
          </w:p>
        </w:tc>
        <w:tc>
          <w:tcPr>
            <w:tcW w:w="2260" w:type="dxa"/>
            <w:tcBorders>
              <w:top w:val="nil"/>
              <w:left w:val="nil"/>
              <w:bottom w:val="single" w:sz="8" w:space="0" w:color="DDDDDD"/>
              <w:right w:val="single" w:sz="8" w:space="0" w:color="DDDDDD"/>
            </w:tcBorders>
            <w:shd w:val="clear" w:color="auto" w:fill="auto"/>
            <w:vAlign w:val="center"/>
          </w:tcPr>
          <w:p w14:paraId="79804F65" w14:textId="77777777" w:rsidR="00097466" w:rsidRDefault="00000000">
            <w:pPr>
              <w:spacing w:before="0" w:after="0" w:line="240" w:lineRule="auto"/>
              <w:jc w:val="left"/>
              <w:rPr>
                <w:color w:val="000000"/>
                <w:sz w:val="20"/>
                <w:szCs w:val="20"/>
              </w:rPr>
            </w:pPr>
            <w:r>
              <w:rPr>
                <w:color w:val="000000"/>
                <w:sz w:val="20"/>
                <w:szCs w:val="20"/>
              </w:rPr>
              <w:t>94 (57,3%)</w:t>
            </w:r>
          </w:p>
        </w:tc>
        <w:tc>
          <w:tcPr>
            <w:tcW w:w="2260" w:type="dxa"/>
            <w:tcBorders>
              <w:top w:val="nil"/>
              <w:left w:val="nil"/>
              <w:bottom w:val="single" w:sz="8" w:space="0" w:color="DDDDDD"/>
              <w:right w:val="single" w:sz="8" w:space="0" w:color="DDDDDD"/>
            </w:tcBorders>
            <w:shd w:val="clear" w:color="auto" w:fill="auto"/>
            <w:vAlign w:val="center"/>
          </w:tcPr>
          <w:p w14:paraId="4A72CCFA" w14:textId="77777777" w:rsidR="00097466" w:rsidRDefault="00000000">
            <w:pPr>
              <w:spacing w:before="0" w:after="0" w:line="240" w:lineRule="auto"/>
              <w:jc w:val="left"/>
              <w:rPr>
                <w:color w:val="000000"/>
                <w:sz w:val="20"/>
                <w:szCs w:val="20"/>
              </w:rPr>
            </w:pPr>
            <w:r>
              <w:rPr>
                <w:color w:val="000000"/>
                <w:sz w:val="20"/>
                <w:szCs w:val="20"/>
              </w:rPr>
              <w:t>38 (43,7%)</w:t>
            </w:r>
          </w:p>
        </w:tc>
        <w:tc>
          <w:tcPr>
            <w:tcW w:w="932" w:type="dxa"/>
            <w:tcBorders>
              <w:top w:val="nil"/>
              <w:left w:val="nil"/>
              <w:bottom w:val="single" w:sz="8" w:space="0" w:color="DDDDDD"/>
              <w:right w:val="single" w:sz="8" w:space="0" w:color="DDDDDD"/>
            </w:tcBorders>
            <w:shd w:val="clear" w:color="auto" w:fill="auto"/>
            <w:vAlign w:val="center"/>
          </w:tcPr>
          <w:p w14:paraId="312E7341" w14:textId="77777777" w:rsidR="00097466" w:rsidRDefault="00000000">
            <w:pPr>
              <w:spacing w:before="0" w:after="0" w:line="240" w:lineRule="auto"/>
              <w:jc w:val="left"/>
              <w:rPr>
                <w:color w:val="000000"/>
                <w:sz w:val="20"/>
                <w:szCs w:val="20"/>
              </w:rPr>
            </w:pPr>
            <w:r>
              <w:rPr>
                <w:color w:val="000000"/>
                <w:sz w:val="20"/>
                <w:szCs w:val="20"/>
              </w:rPr>
              <w:t>0,054</w:t>
            </w:r>
          </w:p>
        </w:tc>
        <w:tc>
          <w:tcPr>
            <w:tcW w:w="468" w:type="dxa"/>
            <w:tcBorders>
              <w:top w:val="nil"/>
              <w:left w:val="nil"/>
              <w:bottom w:val="single" w:sz="8" w:space="0" w:color="DDDDDD"/>
              <w:right w:val="single" w:sz="8" w:space="0" w:color="DDDDDD"/>
            </w:tcBorders>
            <w:shd w:val="clear" w:color="auto" w:fill="auto"/>
            <w:vAlign w:val="center"/>
          </w:tcPr>
          <w:p w14:paraId="5E0855AF"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7DDD0C24" w14:textId="77777777">
        <w:trPr>
          <w:trHeight w:val="397"/>
        </w:trPr>
        <w:tc>
          <w:tcPr>
            <w:tcW w:w="8485" w:type="dxa"/>
            <w:gridSpan w:val="5"/>
            <w:tcBorders>
              <w:top w:val="single" w:sz="8" w:space="0" w:color="DDDDDD"/>
              <w:left w:val="single" w:sz="8" w:space="0" w:color="DDDDDD"/>
              <w:bottom w:val="single" w:sz="8" w:space="0" w:color="DDDDDD"/>
              <w:right w:val="single" w:sz="8" w:space="0" w:color="DDDDDD"/>
            </w:tcBorders>
            <w:shd w:val="clear" w:color="auto" w:fill="auto"/>
            <w:vAlign w:val="center"/>
          </w:tcPr>
          <w:p w14:paraId="2E7FF4BF" w14:textId="77777777" w:rsidR="00097466" w:rsidRDefault="00000000">
            <w:pPr>
              <w:spacing w:before="0" w:after="0" w:line="240" w:lineRule="auto"/>
              <w:jc w:val="left"/>
              <w:rPr>
                <w:b/>
                <w:bCs/>
                <w:color w:val="000000"/>
                <w:sz w:val="20"/>
                <w:szCs w:val="20"/>
              </w:rPr>
            </w:pPr>
            <w:r>
              <w:rPr>
                <w:b/>
                <w:bCs/>
                <w:color w:val="000000"/>
                <w:sz w:val="20"/>
                <w:szCs w:val="20"/>
              </w:rPr>
              <w:t>Analítica general</w:t>
            </w:r>
          </w:p>
        </w:tc>
      </w:tr>
      <w:tr w:rsidR="00097466" w14:paraId="53726984"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2427B4BB" w14:textId="77777777" w:rsidR="00097466" w:rsidRDefault="00000000">
            <w:pPr>
              <w:spacing w:before="0" w:after="0" w:line="240" w:lineRule="auto"/>
              <w:jc w:val="left"/>
              <w:rPr>
                <w:color w:val="000000"/>
                <w:sz w:val="20"/>
                <w:szCs w:val="20"/>
              </w:rPr>
            </w:pPr>
            <w:r>
              <w:rPr>
                <w:color w:val="000000"/>
                <w:sz w:val="20"/>
                <w:szCs w:val="20"/>
              </w:rPr>
              <w:t>PCR (mg/L)</w:t>
            </w:r>
          </w:p>
        </w:tc>
        <w:tc>
          <w:tcPr>
            <w:tcW w:w="2260" w:type="dxa"/>
            <w:tcBorders>
              <w:top w:val="nil"/>
              <w:left w:val="nil"/>
              <w:bottom w:val="single" w:sz="8" w:space="0" w:color="DDDDDD"/>
              <w:right w:val="single" w:sz="8" w:space="0" w:color="DDDDDD"/>
            </w:tcBorders>
            <w:shd w:val="clear" w:color="auto" w:fill="auto"/>
            <w:vAlign w:val="center"/>
          </w:tcPr>
          <w:p w14:paraId="224D3E88" w14:textId="77777777" w:rsidR="00097466" w:rsidRDefault="00000000">
            <w:pPr>
              <w:spacing w:before="0" w:after="0" w:line="240" w:lineRule="auto"/>
              <w:jc w:val="left"/>
              <w:rPr>
                <w:color w:val="000000"/>
                <w:sz w:val="20"/>
                <w:szCs w:val="20"/>
              </w:rPr>
            </w:pPr>
            <w:r>
              <w:rPr>
                <w:color w:val="000000"/>
                <w:sz w:val="20"/>
                <w:szCs w:val="20"/>
              </w:rPr>
              <w:t>1,64 [0,76–4,02]</w:t>
            </w:r>
          </w:p>
        </w:tc>
        <w:tc>
          <w:tcPr>
            <w:tcW w:w="2260" w:type="dxa"/>
            <w:tcBorders>
              <w:top w:val="nil"/>
              <w:left w:val="nil"/>
              <w:bottom w:val="single" w:sz="8" w:space="0" w:color="DDDDDD"/>
              <w:right w:val="single" w:sz="8" w:space="0" w:color="DDDDDD"/>
            </w:tcBorders>
            <w:shd w:val="clear" w:color="auto" w:fill="auto"/>
            <w:vAlign w:val="center"/>
          </w:tcPr>
          <w:p w14:paraId="08649DA8" w14:textId="77777777" w:rsidR="00097466" w:rsidRDefault="00000000">
            <w:pPr>
              <w:spacing w:before="0" w:after="0" w:line="240" w:lineRule="auto"/>
              <w:jc w:val="left"/>
              <w:rPr>
                <w:color w:val="000000"/>
                <w:sz w:val="20"/>
                <w:szCs w:val="20"/>
              </w:rPr>
            </w:pPr>
            <w:r>
              <w:rPr>
                <w:color w:val="000000"/>
                <w:sz w:val="20"/>
                <w:szCs w:val="20"/>
              </w:rPr>
              <w:t>2,09 [0,74–5,18]</w:t>
            </w:r>
          </w:p>
        </w:tc>
        <w:tc>
          <w:tcPr>
            <w:tcW w:w="932" w:type="dxa"/>
            <w:tcBorders>
              <w:top w:val="nil"/>
              <w:left w:val="nil"/>
              <w:bottom w:val="single" w:sz="8" w:space="0" w:color="DDDDDD"/>
              <w:right w:val="single" w:sz="8" w:space="0" w:color="DDDDDD"/>
            </w:tcBorders>
            <w:shd w:val="clear" w:color="auto" w:fill="auto"/>
            <w:vAlign w:val="center"/>
          </w:tcPr>
          <w:p w14:paraId="1700FCFE" w14:textId="77777777" w:rsidR="00097466" w:rsidRDefault="00000000">
            <w:pPr>
              <w:spacing w:before="0" w:after="0" w:line="240" w:lineRule="auto"/>
              <w:jc w:val="left"/>
              <w:rPr>
                <w:color w:val="000000"/>
                <w:sz w:val="20"/>
                <w:szCs w:val="20"/>
              </w:rPr>
            </w:pPr>
            <w:r>
              <w:rPr>
                <w:color w:val="000000"/>
                <w:sz w:val="20"/>
                <w:szCs w:val="20"/>
              </w:rPr>
              <w:t>3,79E-01</w:t>
            </w:r>
          </w:p>
        </w:tc>
        <w:tc>
          <w:tcPr>
            <w:tcW w:w="468" w:type="dxa"/>
            <w:tcBorders>
              <w:top w:val="nil"/>
              <w:left w:val="nil"/>
              <w:bottom w:val="single" w:sz="8" w:space="0" w:color="DDDDDD"/>
              <w:right w:val="single" w:sz="8" w:space="0" w:color="DDDDDD"/>
            </w:tcBorders>
            <w:shd w:val="clear" w:color="auto" w:fill="auto"/>
            <w:vAlign w:val="center"/>
          </w:tcPr>
          <w:p w14:paraId="1BF65047"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552EB29E"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6746CFDB" w14:textId="77777777" w:rsidR="00097466" w:rsidRDefault="00000000">
            <w:pPr>
              <w:spacing w:before="0" w:after="0" w:line="240" w:lineRule="auto"/>
              <w:jc w:val="left"/>
              <w:rPr>
                <w:color w:val="000000"/>
                <w:sz w:val="20"/>
                <w:szCs w:val="20"/>
              </w:rPr>
            </w:pPr>
            <w:r>
              <w:rPr>
                <w:color w:val="000000"/>
                <w:sz w:val="20"/>
                <w:szCs w:val="20"/>
              </w:rPr>
              <w:t>Creatinina (mg/</w:t>
            </w:r>
            <w:proofErr w:type="spellStart"/>
            <w:r>
              <w:rPr>
                <w:color w:val="000000"/>
                <w:sz w:val="20"/>
                <w:szCs w:val="20"/>
              </w:rPr>
              <w:t>dL</w:t>
            </w:r>
            <w:proofErr w:type="spellEnd"/>
            <w:r>
              <w:rPr>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22A0FBC6" w14:textId="77777777" w:rsidR="00097466" w:rsidRDefault="00000000">
            <w:pPr>
              <w:spacing w:before="0" w:after="0" w:line="240" w:lineRule="auto"/>
              <w:jc w:val="left"/>
              <w:rPr>
                <w:color w:val="000000"/>
                <w:sz w:val="20"/>
                <w:szCs w:val="20"/>
              </w:rPr>
            </w:pPr>
            <w:r>
              <w:rPr>
                <w:color w:val="000000"/>
                <w:sz w:val="20"/>
                <w:szCs w:val="20"/>
              </w:rPr>
              <w:t>0,73 [0,63–0,89]</w:t>
            </w:r>
          </w:p>
        </w:tc>
        <w:tc>
          <w:tcPr>
            <w:tcW w:w="2260" w:type="dxa"/>
            <w:tcBorders>
              <w:top w:val="nil"/>
              <w:left w:val="nil"/>
              <w:bottom w:val="single" w:sz="8" w:space="0" w:color="DDDDDD"/>
              <w:right w:val="single" w:sz="8" w:space="0" w:color="DDDDDD"/>
            </w:tcBorders>
            <w:shd w:val="clear" w:color="auto" w:fill="auto"/>
            <w:vAlign w:val="center"/>
          </w:tcPr>
          <w:p w14:paraId="14E78E09" w14:textId="77777777" w:rsidR="00097466" w:rsidRDefault="00000000">
            <w:pPr>
              <w:spacing w:before="0" w:after="0" w:line="240" w:lineRule="auto"/>
              <w:jc w:val="left"/>
              <w:rPr>
                <w:color w:val="000000"/>
                <w:sz w:val="20"/>
                <w:szCs w:val="20"/>
              </w:rPr>
            </w:pPr>
            <w:r>
              <w:rPr>
                <w:color w:val="000000"/>
                <w:sz w:val="20"/>
                <w:szCs w:val="20"/>
              </w:rPr>
              <w:t>0,73 [0,63–0,89]</w:t>
            </w:r>
          </w:p>
        </w:tc>
        <w:tc>
          <w:tcPr>
            <w:tcW w:w="932" w:type="dxa"/>
            <w:tcBorders>
              <w:top w:val="nil"/>
              <w:left w:val="nil"/>
              <w:bottom w:val="single" w:sz="8" w:space="0" w:color="DDDDDD"/>
              <w:right w:val="single" w:sz="8" w:space="0" w:color="DDDDDD"/>
            </w:tcBorders>
            <w:shd w:val="clear" w:color="auto" w:fill="auto"/>
            <w:vAlign w:val="center"/>
          </w:tcPr>
          <w:p w14:paraId="12409E1A" w14:textId="77777777" w:rsidR="00097466" w:rsidRDefault="00000000">
            <w:pPr>
              <w:spacing w:before="0" w:after="0" w:line="240" w:lineRule="auto"/>
              <w:jc w:val="left"/>
              <w:rPr>
                <w:color w:val="000000"/>
                <w:sz w:val="20"/>
                <w:szCs w:val="20"/>
              </w:rPr>
            </w:pPr>
            <w:r>
              <w:rPr>
                <w:color w:val="000000"/>
                <w:sz w:val="20"/>
                <w:szCs w:val="20"/>
              </w:rPr>
              <w:t>9,29E-01</w:t>
            </w:r>
          </w:p>
        </w:tc>
        <w:tc>
          <w:tcPr>
            <w:tcW w:w="468" w:type="dxa"/>
            <w:tcBorders>
              <w:top w:val="nil"/>
              <w:left w:val="nil"/>
              <w:bottom w:val="single" w:sz="8" w:space="0" w:color="DDDDDD"/>
              <w:right w:val="single" w:sz="8" w:space="0" w:color="DDDDDD"/>
            </w:tcBorders>
            <w:shd w:val="clear" w:color="auto" w:fill="auto"/>
            <w:vAlign w:val="center"/>
          </w:tcPr>
          <w:p w14:paraId="53FE1313"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0CFFDCC2" w14:textId="77777777">
        <w:trPr>
          <w:trHeight w:val="397"/>
        </w:trPr>
        <w:tc>
          <w:tcPr>
            <w:tcW w:w="8485" w:type="dxa"/>
            <w:gridSpan w:val="5"/>
            <w:tcBorders>
              <w:top w:val="single" w:sz="8" w:space="0" w:color="DDDDDD"/>
              <w:left w:val="single" w:sz="8" w:space="0" w:color="DDDDDD"/>
              <w:bottom w:val="single" w:sz="8" w:space="0" w:color="DDDDDD"/>
              <w:right w:val="single" w:sz="8" w:space="0" w:color="DDDDDD"/>
            </w:tcBorders>
            <w:shd w:val="clear" w:color="auto" w:fill="auto"/>
            <w:vAlign w:val="center"/>
          </w:tcPr>
          <w:p w14:paraId="7B8734C1" w14:textId="77777777" w:rsidR="00097466" w:rsidRDefault="00000000">
            <w:pPr>
              <w:spacing w:before="0" w:after="0" w:line="240" w:lineRule="auto"/>
              <w:jc w:val="left"/>
              <w:rPr>
                <w:b/>
                <w:bCs/>
                <w:color w:val="000000"/>
                <w:sz w:val="20"/>
                <w:szCs w:val="20"/>
              </w:rPr>
            </w:pPr>
            <w:r>
              <w:rPr>
                <w:b/>
                <w:bCs/>
                <w:color w:val="000000"/>
                <w:sz w:val="20"/>
                <w:szCs w:val="20"/>
              </w:rPr>
              <w:t>Perfil lipídico</w:t>
            </w:r>
          </w:p>
        </w:tc>
      </w:tr>
      <w:tr w:rsidR="00097466" w14:paraId="280023B5"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4EC4AFB4" w14:textId="77777777" w:rsidR="00097466" w:rsidRDefault="00000000">
            <w:pPr>
              <w:spacing w:before="0" w:after="0" w:line="240" w:lineRule="auto"/>
              <w:jc w:val="left"/>
              <w:rPr>
                <w:color w:val="000000"/>
                <w:sz w:val="20"/>
                <w:szCs w:val="20"/>
              </w:rPr>
            </w:pPr>
            <w:r>
              <w:rPr>
                <w:color w:val="000000"/>
                <w:sz w:val="20"/>
                <w:szCs w:val="20"/>
              </w:rPr>
              <w:t>Colesterol total (mg/</w:t>
            </w:r>
            <w:proofErr w:type="spellStart"/>
            <w:r>
              <w:rPr>
                <w:color w:val="000000"/>
                <w:sz w:val="20"/>
                <w:szCs w:val="20"/>
              </w:rPr>
              <w:t>dL</w:t>
            </w:r>
            <w:proofErr w:type="spellEnd"/>
            <w:r>
              <w:rPr>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6A957331" w14:textId="77777777" w:rsidR="00097466" w:rsidRDefault="00000000">
            <w:pPr>
              <w:spacing w:before="0" w:after="0" w:line="240" w:lineRule="auto"/>
              <w:jc w:val="left"/>
              <w:rPr>
                <w:color w:val="000000"/>
                <w:sz w:val="20"/>
                <w:szCs w:val="20"/>
              </w:rPr>
            </w:pPr>
            <w:r>
              <w:rPr>
                <w:color w:val="000000"/>
                <w:sz w:val="20"/>
                <w:szCs w:val="20"/>
              </w:rPr>
              <w:t>179,00 [157,00–205,00]</w:t>
            </w:r>
          </w:p>
        </w:tc>
        <w:tc>
          <w:tcPr>
            <w:tcW w:w="2260" w:type="dxa"/>
            <w:tcBorders>
              <w:top w:val="nil"/>
              <w:left w:val="nil"/>
              <w:bottom w:val="single" w:sz="8" w:space="0" w:color="DDDDDD"/>
              <w:right w:val="single" w:sz="8" w:space="0" w:color="DDDDDD"/>
            </w:tcBorders>
            <w:shd w:val="clear" w:color="auto" w:fill="auto"/>
            <w:vAlign w:val="center"/>
          </w:tcPr>
          <w:p w14:paraId="027100BC" w14:textId="77777777" w:rsidR="00097466" w:rsidRDefault="00000000">
            <w:pPr>
              <w:spacing w:before="0" w:after="0" w:line="240" w:lineRule="auto"/>
              <w:jc w:val="left"/>
              <w:rPr>
                <w:color w:val="000000"/>
                <w:sz w:val="20"/>
                <w:szCs w:val="20"/>
              </w:rPr>
            </w:pPr>
            <w:r>
              <w:rPr>
                <w:color w:val="000000"/>
                <w:sz w:val="20"/>
                <w:szCs w:val="20"/>
              </w:rPr>
              <w:t>169,00 [142,75–200,00]</w:t>
            </w:r>
          </w:p>
        </w:tc>
        <w:tc>
          <w:tcPr>
            <w:tcW w:w="932" w:type="dxa"/>
            <w:tcBorders>
              <w:top w:val="nil"/>
              <w:left w:val="nil"/>
              <w:bottom w:val="single" w:sz="8" w:space="0" w:color="DDDDDD"/>
              <w:right w:val="single" w:sz="8" w:space="0" w:color="DDDDDD"/>
            </w:tcBorders>
            <w:shd w:val="clear" w:color="auto" w:fill="auto"/>
            <w:vAlign w:val="center"/>
          </w:tcPr>
          <w:p w14:paraId="4435EF48" w14:textId="77777777" w:rsidR="00097466" w:rsidRDefault="00000000">
            <w:pPr>
              <w:spacing w:before="0" w:after="0" w:line="240" w:lineRule="auto"/>
              <w:jc w:val="left"/>
              <w:rPr>
                <w:color w:val="000000"/>
                <w:sz w:val="20"/>
                <w:szCs w:val="20"/>
              </w:rPr>
            </w:pPr>
            <w:r>
              <w:rPr>
                <w:color w:val="000000"/>
                <w:sz w:val="20"/>
                <w:szCs w:val="20"/>
              </w:rPr>
              <w:t>2,70E-01</w:t>
            </w:r>
          </w:p>
        </w:tc>
        <w:tc>
          <w:tcPr>
            <w:tcW w:w="468" w:type="dxa"/>
            <w:tcBorders>
              <w:top w:val="nil"/>
              <w:left w:val="nil"/>
              <w:bottom w:val="single" w:sz="8" w:space="0" w:color="DDDDDD"/>
              <w:right w:val="single" w:sz="8" w:space="0" w:color="DDDDDD"/>
            </w:tcBorders>
            <w:shd w:val="clear" w:color="auto" w:fill="auto"/>
            <w:vAlign w:val="center"/>
          </w:tcPr>
          <w:p w14:paraId="642985D5"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5B94AF63"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28669CBD" w14:textId="77777777" w:rsidR="00097466" w:rsidRDefault="00000000">
            <w:pPr>
              <w:spacing w:before="0" w:after="0" w:line="240" w:lineRule="auto"/>
              <w:jc w:val="left"/>
              <w:rPr>
                <w:color w:val="000000"/>
                <w:sz w:val="20"/>
                <w:szCs w:val="20"/>
              </w:rPr>
            </w:pPr>
            <w:r>
              <w:rPr>
                <w:color w:val="000000"/>
                <w:sz w:val="20"/>
                <w:szCs w:val="20"/>
              </w:rPr>
              <w:t>Triglicéridos (mg/</w:t>
            </w:r>
            <w:proofErr w:type="spellStart"/>
            <w:r>
              <w:rPr>
                <w:color w:val="000000"/>
                <w:sz w:val="20"/>
                <w:szCs w:val="20"/>
              </w:rPr>
              <w:t>dL</w:t>
            </w:r>
            <w:proofErr w:type="spellEnd"/>
            <w:r>
              <w:rPr>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0397CB2A" w14:textId="77777777" w:rsidR="00097466" w:rsidRDefault="00000000">
            <w:pPr>
              <w:spacing w:before="0" w:after="0" w:line="240" w:lineRule="auto"/>
              <w:jc w:val="left"/>
              <w:rPr>
                <w:color w:val="000000"/>
                <w:sz w:val="20"/>
                <w:szCs w:val="20"/>
              </w:rPr>
            </w:pPr>
            <w:r>
              <w:rPr>
                <w:color w:val="000000"/>
                <w:sz w:val="20"/>
                <w:szCs w:val="20"/>
              </w:rPr>
              <w:t>90,40 [70,28–121,33]</w:t>
            </w:r>
          </w:p>
        </w:tc>
        <w:tc>
          <w:tcPr>
            <w:tcW w:w="2260" w:type="dxa"/>
            <w:tcBorders>
              <w:top w:val="nil"/>
              <w:left w:val="nil"/>
              <w:bottom w:val="single" w:sz="8" w:space="0" w:color="DDDDDD"/>
              <w:right w:val="single" w:sz="8" w:space="0" w:color="DDDDDD"/>
            </w:tcBorders>
            <w:shd w:val="clear" w:color="auto" w:fill="auto"/>
            <w:vAlign w:val="center"/>
          </w:tcPr>
          <w:p w14:paraId="7159CF30" w14:textId="77777777" w:rsidR="00097466" w:rsidRDefault="00000000">
            <w:pPr>
              <w:spacing w:before="0" w:after="0" w:line="240" w:lineRule="auto"/>
              <w:jc w:val="left"/>
              <w:rPr>
                <w:color w:val="000000"/>
                <w:sz w:val="20"/>
                <w:szCs w:val="20"/>
              </w:rPr>
            </w:pPr>
            <w:r>
              <w:rPr>
                <w:color w:val="000000"/>
                <w:sz w:val="20"/>
                <w:szCs w:val="20"/>
              </w:rPr>
              <w:t>99,55 [77,73–129,55]</w:t>
            </w:r>
          </w:p>
        </w:tc>
        <w:tc>
          <w:tcPr>
            <w:tcW w:w="932" w:type="dxa"/>
            <w:tcBorders>
              <w:top w:val="nil"/>
              <w:left w:val="nil"/>
              <w:bottom w:val="single" w:sz="8" w:space="0" w:color="DDDDDD"/>
              <w:right w:val="single" w:sz="8" w:space="0" w:color="DDDDDD"/>
            </w:tcBorders>
            <w:shd w:val="clear" w:color="auto" w:fill="auto"/>
            <w:vAlign w:val="center"/>
          </w:tcPr>
          <w:p w14:paraId="1D6E68D7" w14:textId="77777777" w:rsidR="00097466" w:rsidRDefault="00000000">
            <w:pPr>
              <w:spacing w:before="0" w:after="0" w:line="240" w:lineRule="auto"/>
              <w:jc w:val="left"/>
              <w:rPr>
                <w:color w:val="000000"/>
                <w:sz w:val="20"/>
                <w:szCs w:val="20"/>
              </w:rPr>
            </w:pPr>
            <w:r>
              <w:rPr>
                <w:color w:val="000000"/>
                <w:sz w:val="20"/>
                <w:szCs w:val="20"/>
              </w:rPr>
              <w:t>3,35E-01</w:t>
            </w:r>
          </w:p>
        </w:tc>
        <w:tc>
          <w:tcPr>
            <w:tcW w:w="468" w:type="dxa"/>
            <w:tcBorders>
              <w:top w:val="nil"/>
              <w:left w:val="nil"/>
              <w:bottom w:val="single" w:sz="8" w:space="0" w:color="DDDDDD"/>
              <w:right w:val="single" w:sz="8" w:space="0" w:color="DDDDDD"/>
            </w:tcBorders>
            <w:shd w:val="clear" w:color="auto" w:fill="auto"/>
            <w:vAlign w:val="center"/>
          </w:tcPr>
          <w:p w14:paraId="2FB8B215"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0DC8613F"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7219480C" w14:textId="77777777" w:rsidR="00097466" w:rsidRDefault="00000000">
            <w:pPr>
              <w:spacing w:before="0" w:after="0" w:line="240" w:lineRule="auto"/>
              <w:jc w:val="left"/>
              <w:rPr>
                <w:b/>
                <w:bCs/>
                <w:color w:val="000000"/>
                <w:sz w:val="20"/>
                <w:szCs w:val="20"/>
              </w:rPr>
            </w:pPr>
            <w:r>
              <w:rPr>
                <w:b/>
                <w:bCs/>
                <w:color w:val="000000"/>
                <w:sz w:val="20"/>
                <w:szCs w:val="20"/>
              </w:rPr>
              <w:t>HDL (mg/</w:t>
            </w:r>
            <w:proofErr w:type="spellStart"/>
            <w:r>
              <w:rPr>
                <w:b/>
                <w:bCs/>
                <w:color w:val="000000"/>
                <w:sz w:val="20"/>
                <w:szCs w:val="20"/>
              </w:rPr>
              <w:t>dL</w:t>
            </w:r>
            <w:proofErr w:type="spellEnd"/>
            <w:r>
              <w:rPr>
                <w:b/>
                <w:bCs/>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4EEDE174" w14:textId="77777777" w:rsidR="00097466" w:rsidRDefault="00000000">
            <w:pPr>
              <w:spacing w:before="0" w:after="0" w:line="240" w:lineRule="auto"/>
              <w:jc w:val="left"/>
              <w:rPr>
                <w:color w:val="000000"/>
                <w:sz w:val="20"/>
                <w:szCs w:val="20"/>
              </w:rPr>
            </w:pPr>
            <w:r>
              <w:rPr>
                <w:color w:val="000000"/>
                <w:sz w:val="20"/>
                <w:szCs w:val="20"/>
              </w:rPr>
              <w:t>55,00 [46,05–64,95]</w:t>
            </w:r>
          </w:p>
        </w:tc>
        <w:tc>
          <w:tcPr>
            <w:tcW w:w="2260" w:type="dxa"/>
            <w:tcBorders>
              <w:top w:val="nil"/>
              <w:left w:val="nil"/>
              <w:bottom w:val="single" w:sz="8" w:space="0" w:color="DDDDDD"/>
              <w:right w:val="single" w:sz="8" w:space="0" w:color="DDDDDD"/>
            </w:tcBorders>
            <w:shd w:val="clear" w:color="auto" w:fill="auto"/>
            <w:vAlign w:val="center"/>
          </w:tcPr>
          <w:p w14:paraId="16EF0AF7" w14:textId="77777777" w:rsidR="00097466" w:rsidRDefault="00000000">
            <w:pPr>
              <w:spacing w:before="0" w:after="0" w:line="240" w:lineRule="auto"/>
              <w:jc w:val="left"/>
              <w:rPr>
                <w:color w:val="000000"/>
                <w:sz w:val="20"/>
                <w:szCs w:val="20"/>
              </w:rPr>
            </w:pPr>
            <w:r>
              <w:rPr>
                <w:color w:val="000000"/>
                <w:sz w:val="20"/>
                <w:szCs w:val="20"/>
              </w:rPr>
              <w:t>49,75 [41,08–57,58]</w:t>
            </w:r>
          </w:p>
        </w:tc>
        <w:tc>
          <w:tcPr>
            <w:tcW w:w="932" w:type="dxa"/>
            <w:tcBorders>
              <w:top w:val="nil"/>
              <w:left w:val="nil"/>
              <w:bottom w:val="single" w:sz="8" w:space="0" w:color="DDDDDD"/>
              <w:right w:val="single" w:sz="8" w:space="0" w:color="DDDDDD"/>
            </w:tcBorders>
            <w:shd w:val="clear" w:color="auto" w:fill="auto"/>
            <w:vAlign w:val="center"/>
          </w:tcPr>
          <w:p w14:paraId="6B8467D1" w14:textId="77777777" w:rsidR="00097466" w:rsidRDefault="00000000">
            <w:pPr>
              <w:spacing w:before="0" w:after="0" w:line="240" w:lineRule="auto"/>
              <w:jc w:val="left"/>
              <w:rPr>
                <w:color w:val="000000"/>
                <w:sz w:val="20"/>
                <w:szCs w:val="20"/>
              </w:rPr>
            </w:pPr>
            <w:r>
              <w:rPr>
                <w:color w:val="000000"/>
                <w:sz w:val="20"/>
                <w:szCs w:val="20"/>
              </w:rPr>
              <w:t>1,12E-02</w:t>
            </w:r>
          </w:p>
        </w:tc>
        <w:tc>
          <w:tcPr>
            <w:tcW w:w="468" w:type="dxa"/>
            <w:tcBorders>
              <w:top w:val="nil"/>
              <w:left w:val="nil"/>
              <w:bottom w:val="single" w:sz="8" w:space="0" w:color="DDDDDD"/>
              <w:right w:val="single" w:sz="8" w:space="0" w:color="DDDDDD"/>
            </w:tcBorders>
            <w:shd w:val="clear" w:color="auto" w:fill="auto"/>
            <w:vAlign w:val="center"/>
          </w:tcPr>
          <w:p w14:paraId="518F9EB5"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2FD0617D"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5B47590B" w14:textId="77777777" w:rsidR="00097466" w:rsidRDefault="00000000">
            <w:pPr>
              <w:spacing w:before="0" w:after="0" w:line="240" w:lineRule="auto"/>
              <w:jc w:val="left"/>
              <w:rPr>
                <w:color w:val="000000"/>
                <w:sz w:val="20"/>
                <w:szCs w:val="20"/>
              </w:rPr>
            </w:pPr>
            <w:r>
              <w:rPr>
                <w:color w:val="000000"/>
                <w:sz w:val="20"/>
                <w:szCs w:val="20"/>
              </w:rPr>
              <w:t>LDL (mg/</w:t>
            </w:r>
            <w:proofErr w:type="spellStart"/>
            <w:r>
              <w:rPr>
                <w:color w:val="000000"/>
                <w:sz w:val="20"/>
                <w:szCs w:val="20"/>
              </w:rPr>
              <w:t>dL</w:t>
            </w:r>
            <w:proofErr w:type="spellEnd"/>
            <w:r>
              <w:rPr>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5B2FECD0" w14:textId="77777777" w:rsidR="00097466" w:rsidRDefault="00000000">
            <w:pPr>
              <w:spacing w:before="0" w:after="0" w:line="240" w:lineRule="auto"/>
              <w:jc w:val="left"/>
              <w:rPr>
                <w:color w:val="000000"/>
                <w:sz w:val="20"/>
                <w:szCs w:val="20"/>
              </w:rPr>
            </w:pPr>
            <w:r>
              <w:rPr>
                <w:color w:val="000000"/>
                <w:sz w:val="20"/>
                <w:szCs w:val="20"/>
              </w:rPr>
              <w:t>101,72 [82,67–122,86]</w:t>
            </w:r>
          </w:p>
        </w:tc>
        <w:tc>
          <w:tcPr>
            <w:tcW w:w="2260" w:type="dxa"/>
            <w:tcBorders>
              <w:top w:val="nil"/>
              <w:left w:val="nil"/>
              <w:bottom w:val="single" w:sz="8" w:space="0" w:color="DDDDDD"/>
              <w:right w:val="single" w:sz="8" w:space="0" w:color="DDDDDD"/>
            </w:tcBorders>
            <w:shd w:val="clear" w:color="auto" w:fill="auto"/>
            <w:vAlign w:val="center"/>
          </w:tcPr>
          <w:p w14:paraId="589CBE07" w14:textId="77777777" w:rsidR="00097466" w:rsidRDefault="00000000">
            <w:pPr>
              <w:spacing w:before="0" w:after="0" w:line="240" w:lineRule="auto"/>
              <w:jc w:val="left"/>
              <w:rPr>
                <w:color w:val="000000"/>
                <w:sz w:val="20"/>
                <w:szCs w:val="20"/>
              </w:rPr>
            </w:pPr>
            <w:r>
              <w:rPr>
                <w:color w:val="000000"/>
                <w:sz w:val="20"/>
                <w:szCs w:val="20"/>
              </w:rPr>
              <w:t>94,93 [72,12–122,37]</w:t>
            </w:r>
          </w:p>
        </w:tc>
        <w:tc>
          <w:tcPr>
            <w:tcW w:w="932" w:type="dxa"/>
            <w:tcBorders>
              <w:top w:val="nil"/>
              <w:left w:val="nil"/>
              <w:bottom w:val="single" w:sz="8" w:space="0" w:color="DDDDDD"/>
              <w:right w:val="single" w:sz="8" w:space="0" w:color="DDDDDD"/>
            </w:tcBorders>
            <w:shd w:val="clear" w:color="auto" w:fill="auto"/>
            <w:vAlign w:val="center"/>
          </w:tcPr>
          <w:p w14:paraId="103303EA" w14:textId="77777777" w:rsidR="00097466" w:rsidRDefault="00000000">
            <w:pPr>
              <w:spacing w:before="0" w:after="0" w:line="240" w:lineRule="auto"/>
              <w:jc w:val="left"/>
              <w:rPr>
                <w:color w:val="000000"/>
                <w:sz w:val="20"/>
                <w:szCs w:val="20"/>
              </w:rPr>
            </w:pPr>
            <w:r>
              <w:rPr>
                <w:color w:val="000000"/>
                <w:sz w:val="20"/>
                <w:szCs w:val="20"/>
              </w:rPr>
              <w:t>4,05E-01</w:t>
            </w:r>
          </w:p>
        </w:tc>
        <w:tc>
          <w:tcPr>
            <w:tcW w:w="468" w:type="dxa"/>
            <w:tcBorders>
              <w:top w:val="nil"/>
              <w:left w:val="nil"/>
              <w:bottom w:val="single" w:sz="8" w:space="0" w:color="DDDDDD"/>
              <w:right w:val="single" w:sz="8" w:space="0" w:color="DDDDDD"/>
            </w:tcBorders>
            <w:shd w:val="clear" w:color="auto" w:fill="auto"/>
            <w:vAlign w:val="center"/>
          </w:tcPr>
          <w:p w14:paraId="1029D4AB"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0387FABB"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6838C92E" w14:textId="77777777" w:rsidR="00097466" w:rsidRDefault="00000000">
            <w:pPr>
              <w:spacing w:before="0" w:after="0" w:line="240" w:lineRule="auto"/>
              <w:jc w:val="left"/>
              <w:rPr>
                <w:b/>
                <w:bCs/>
                <w:color w:val="000000"/>
                <w:sz w:val="20"/>
                <w:szCs w:val="20"/>
              </w:rPr>
            </w:pPr>
            <w:r>
              <w:rPr>
                <w:b/>
                <w:bCs/>
                <w:color w:val="000000"/>
                <w:sz w:val="20"/>
                <w:szCs w:val="20"/>
              </w:rPr>
              <w:t>Apo A-I (mg/</w:t>
            </w:r>
            <w:proofErr w:type="spellStart"/>
            <w:r>
              <w:rPr>
                <w:b/>
                <w:bCs/>
                <w:color w:val="000000"/>
                <w:sz w:val="20"/>
                <w:szCs w:val="20"/>
              </w:rPr>
              <w:t>dL</w:t>
            </w:r>
            <w:proofErr w:type="spellEnd"/>
            <w:r>
              <w:rPr>
                <w:b/>
                <w:bCs/>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658AE291" w14:textId="77777777" w:rsidR="00097466" w:rsidRDefault="00000000">
            <w:pPr>
              <w:spacing w:before="0" w:after="0" w:line="240" w:lineRule="auto"/>
              <w:jc w:val="left"/>
              <w:rPr>
                <w:color w:val="000000"/>
                <w:sz w:val="20"/>
                <w:szCs w:val="20"/>
              </w:rPr>
            </w:pPr>
            <w:r>
              <w:rPr>
                <w:color w:val="000000"/>
                <w:sz w:val="20"/>
                <w:szCs w:val="20"/>
              </w:rPr>
              <w:t>155,50 [139,00–172,00]</w:t>
            </w:r>
          </w:p>
        </w:tc>
        <w:tc>
          <w:tcPr>
            <w:tcW w:w="2260" w:type="dxa"/>
            <w:tcBorders>
              <w:top w:val="nil"/>
              <w:left w:val="nil"/>
              <w:bottom w:val="single" w:sz="8" w:space="0" w:color="DDDDDD"/>
              <w:right w:val="single" w:sz="8" w:space="0" w:color="DDDDDD"/>
            </w:tcBorders>
            <w:shd w:val="clear" w:color="auto" w:fill="auto"/>
            <w:vAlign w:val="center"/>
          </w:tcPr>
          <w:p w14:paraId="1C22D45B" w14:textId="77777777" w:rsidR="00097466" w:rsidRDefault="00000000">
            <w:pPr>
              <w:spacing w:before="0" w:after="0" w:line="240" w:lineRule="auto"/>
              <w:jc w:val="left"/>
              <w:rPr>
                <w:color w:val="000000"/>
                <w:sz w:val="20"/>
                <w:szCs w:val="20"/>
              </w:rPr>
            </w:pPr>
            <w:r>
              <w:rPr>
                <w:color w:val="000000"/>
                <w:sz w:val="20"/>
                <w:szCs w:val="20"/>
              </w:rPr>
              <w:t>149,50 [131,00–162,25]</w:t>
            </w:r>
          </w:p>
        </w:tc>
        <w:tc>
          <w:tcPr>
            <w:tcW w:w="932" w:type="dxa"/>
            <w:tcBorders>
              <w:top w:val="nil"/>
              <w:left w:val="nil"/>
              <w:bottom w:val="single" w:sz="8" w:space="0" w:color="DDDDDD"/>
              <w:right w:val="single" w:sz="8" w:space="0" w:color="DDDDDD"/>
            </w:tcBorders>
            <w:shd w:val="clear" w:color="auto" w:fill="auto"/>
            <w:vAlign w:val="center"/>
          </w:tcPr>
          <w:p w14:paraId="7F396E50" w14:textId="77777777" w:rsidR="00097466" w:rsidRDefault="00000000">
            <w:pPr>
              <w:spacing w:before="0" w:after="0" w:line="240" w:lineRule="auto"/>
              <w:jc w:val="left"/>
              <w:rPr>
                <w:color w:val="000000"/>
                <w:sz w:val="20"/>
                <w:szCs w:val="20"/>
              </w:rPr>
            </w:pPr>
            <w:r>
              <w:rPr>
                <w:color w:val="000000"/>
                <w:sz w:val="20"/>
                <w:szCs w:val="20"/>
              </w:rPr>
              <w:t>4,03E-02</w:t>
            </w:r>
          </w:p>
        </w:tc>
        <w:tc>
          <w:tcPr>
            <w:tcW w:w="468" w:type="dxa"/>
            <w:tcBorders>
              <w:top w:val="nil"/>
              <w:left w:val="nil"/>
              <w:bottom w:val="single" w:sz="8" w:space="0" w:color="DDDDDD"/>
              <w:right w:val="single" w:sz="8" w:space="0" w:color="DDDDDD"/>
            </w:tcBorders>
            <w:shd w:val="clear" w:color="auto" w:fill="auto"/>
            <w:vAlign w:val="center"/>
          </w:tcPr>
          <w:p w14:paraId="5949E94C"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7C17C784"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12AA7D8D" w14:textId="77777777" w:rsidR="00097466" w:rsidRDefault="00000000">
            <w:pPr>
              <w:spacing w:before="0" w:after="0" w:line="240" w:lineRule="auto"/>
              <w:jc w:val="left"/>
              <w:rPr>
                <w:color w:val="000000"/>
                <w:sz w:val="20"/>
                <w:szCs w:val="20"/>
              </w:rPr>
            </w:pPr>
            <w:r>
              <w:rPr>
                <w:color w:val="000000"/>
                <w:sz w:val="20"/>
                <w:szCs w:val="20"/>
              </w:rPr>
              <w:t>Apo B (mg/</w:t>
            </w:r>
            <w:proofErr w:type="spellStart"/>
            <w:r>
              <w:rPr>
                <w:color w:val="000000"/>
                <w:sz w:val="20"/>
                <w:szCs w:val="20"/>
              </w:rPr>
              <w:t>dL</w:t>
            </w:r>
            <w:proofErr w:type="spellEnd"/>
            <w:r>
              <w:rPr>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319F44BE" w14:textId="77777777" w:rsidR="00097466" w:rsidRDefault="00000000">
            <w:pPr>
              <w:spacing w:before="0" w:after="0" w:line="240" w:lineRule="auto"/>
              <w:jc w:val="left"/>
              <w:rPr>
                <w:color w:val="000000"/>
                <w:sz w:val="20"/>
                <w:szCs w:val="20"/>
              </w:rPr>
            </w:pPr>
            <w:r>
              <w:rPr>
                <w:color w:val="000000"/>
                <w:sz w:val="20"/>
                <w:szCs w:val="20"/>
              </w:rPr>
              <w:t>83,20 [70,10–95,90]</w:t>
            </w:r>
          </w:p>
        </w:tc>
        <w:tc>
          <w:tcPr>
            <w:tcW w:w="2260" w:type="dxa"/>
            <w:tcBorders>
              <w:top w:val="nil"/>
              <w:left w:val="nil"/>
              <w:bottom w:val="single" w:sz="8" w:space="0" w:color="DDDDDD"/>
              <w:right w:val="single" w:sz="8" w:space="0" w:color="DDDDDD"/>
            </w:tcBorders>
            <w:shd w:val="clear" w:color="auto" w:fill="auto"/>
            <w:vAlign w:val="center"/>
          </w:tcPr>
          <w:p w14:paraId="461D018B" w14:textId="77777777" w:rsidR="00097466" w:rsidRDefault="00000000">
            <w:pPr>
              <w:spacing w:before="0" w:after="0" w:line="240" w:lineRule="auto"/>
              <w:jc w:val="left"/>
              <w:rPr>
                <w:color w:val="000000"/>
                <w:sz w:val="20"/>
                <w:szCs w:val="20"/>
              </w:rPr>
            </w:pPr>
            <w:r>
              <w:rPr>
                <w:color w:val="000000"/>
                <w:sz w:val="20"/>
                <w:szCs w:val="20"/>
              </w:rPr>
              <w:t>85,20 [66,60–96,50]</w:t>
            </w:r>
          </w:p>
        </w:tc>
        <w:tc>
          <w:tcPr>
            <w:tcW w:w="932" w:type="dxa"/>
            <w:tcBorders>
              <w:top w:val="nil"/>
              <w:left w:val="nil"/>
              <w:bottom w:val="single" w:sz="8" w:space="0" w:color="DDDDDD"/>
              <w:right w:val="single" w:sz="8" w:space="0" w:color="DDDDDD"/>
            </w:tcBorders>
            <w:shd w:val="clear" w:color="auto" w:fill="auto"/>
            <w:vAlign w:val="center"/>
          </w:tcPr>
          <w:p w14:paraId="61D10723" w14:textId="77777777" w:rsidR="00097466" w:rsidRDefault="00000000">
            <w:pPr>
              <w:spacing w:before="0" w:after="0" w:line="240" w:lineRule="auto"/>
              <w:jc w:val="left"/>
              <w:rPr>
                <w:color w:val="000000"/>
                <w:sz w:val="20"/>
                <w:szCs w:val="20"/>
              </w:rPr>
            </w:pPr>
            <w:r>
              <w:rPr>
                <w:color w:val="000000"/>
                <w:sz w:val="20"/>
                <w:szCs w:val="20"/>
              </w:rPr>
              <w:t>6,20E-01</w:t>
            </w:r>
          </w:p>
        </w:tc>
        <w:tc>
          <w:tcPr>
            <w:tcW w:w="468" w:type="dxa"/>
            <w:tcBorders>
              <w:top w:val="nil"/>
              <w:left w:val="nil"/>
              <w:bottom w:val="single" w:sz="8" w:space="0" w:color="DDDDDD"/>
              <w:right w:val="single" w:sz="8" w:space="0" w:color="DDDDDD"/>
            </w:tcBorders>
            <w:shd w:val="clear" w:color="auto" w:fill="auto"/>
            <w:vAlign w:val="center"/>
          </w:tcPr>
          <w:p w14:paraId="2B0BBB28"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5AA730D5"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374E18ED" w14:textId="77777777" w:rsidR="00097466" w:rsidRDefault="00000000">
            <w:pPr>
              <w:spacing w:before="0" w:after="0" w:line="240" w:lineRule="auto"/>
              <w:jc w:val="left"/>
              <w:rPr>
                <w:color w:val="000000"/>
                <w:sz w:val="20"/>
                <w:szCs w:val="20"/>
              </w:rPr>
            </w:pPr>
            <w:r>
              <w:rPr>
                <w:color w:val="000000"/>
                <w:sz w:val="20"/>
                <w:szCs w:val="20"/>
              </w:rPr>
              <w:t>Cociente Apo B/A-I</w:t>
            </w:r>
          </w:p>
        </w:tc>
        <w:tc>
          <w:tcPr>
            <w:tcW w:w="2260" w:type="dxa"/>
            <w:tcBorders>
              <w:top w:val="nil"/>
              <w:left w:val="nil"/>
              <w:bottom w:val="single" w:sz="8" w:space="0" w:color="DDDDDD"/>
              <w:right w:val="single" w:sz="8" w:space="0" w:color="DDDDDD"/>
            </w:tcBorders>
            <w:shd w:val="clear" w:color="auto" w:fill="auto"/>
            <w:vAlign w:val="center"/>
          </w:tcPr>
          <w:p w14:paraId="4A1F0D3F" w14:textId="77777777" w:rsidR="00097466" w:rsidRDefault="00000000">
            <w:pPr>
              <w:spacing w:before="0" w:after="0" w:line="240" w:lineRule="auto"/>
              <w:jc w:val="left"/>
              <w:rPr>
                <w:color w:val="000000"/>
                <w:sz w:val="20"/>
                <w:szCs w:val="20"/>
              </w:rPr>
            </w:pPr>
            <w:r>
              <w:rPr>
                <w:color w:val="000000"/>
                <w:sz w:val="20"/>
                <w:szCs w:val="20"/>
              </w:rPr>
              <w:t>0,52 [0,45–0,65]</w:t>
            </w:r>
          </w:p>
        </w:tc>
        <w:tc>
          <w:tcPr>
            <w:tcW w:w="2260" w:type="dxa"/>
            <w:tcBorders>
              <w:top w:val="nil"/>
              <w:left w:val="nil"/>
              <w:bottom w:val="single" w:sz="8" w:space="0" w:color="DDDDDD"/>
              <w:right w:val="single" w:sz="8" w:space="0" w:color="DDDDDD"/>
            </w:tcBorders>
            <w:shd w:val="clear" w:color="auto" w:fill="auto"/>
            <w:vAlign w:val="center"/>
          </w:tcPr>
          <w:p w14:paraId="244BF8DD" w14:textId="77777777" w:rsidR="00097466" w:rsidRDefault="00000000">
            <w:pPr>
              <w:spacing w:before="0" w:after="0" w:line="240" w:lineRule="auto"/>
              <w:jc w:val="left"/>
              <w:rPr>
                <w:color w:val="000000"/>
                <w:sz w:val="20"/>
                <w:szCs w:val="20"/>
              </w:rPr>
            </w:pPr>
            <w:r>
              <w:rPr>
                <w:color w:val="000000"/>
                <w:sz w:val="20"/>
                <w:szCs w:val="20"/>
              </w:rPr>
              <w:t>0,56 [0,44–0,66]</w:t>
            </w:r>
          </w:p>
        </w:tc>
        <w:tc>
          <w:tcPr>
            <w:tcW w:w="932" w:type="dxa"/>
            <w:tcBorders>
              <w:top w:val="nil"/>
              <w:left w:val="nil"/>
              <w:bottom w:val="single" w:sz="8" w:space="0" w:color="DDDDDD"/>
              <w:right w:val="single" w:sz="8" w:space="0" w:color="DDDDDD"/>
            </w:tcBorders>
            <w:shd w:val="clear" w:color="auto" w:fill="auto"/>
            <w:vAlign w:val="center"/>
          </w:tcPr>
          <w:p w14:paraId="1196FAFF" w14:textId="77777777" w:rsidR="00097466" w:rsidRDefault="00000000">
            <w:pPr>
              <w:spacing w:before="0" w:after="0" w:line="240" w:lineRule="auto"/>
              <w:jc w:val="left"/>
              <w:rPr>
                <w:color w:val="000000"/>
                <w:sz w:val="20"/>
                <w:szCs w:val="20"/>
              </w:rPr>
            </w:pPr>
            <w:r>
              <w:rPr>
                <w:color w:val="000000"/>
                <w:sz w:val="20"/>
                <w:szCs w:val="20"/>
              </w:rPr>
              <w:t>6,20E-01</w:t>
            </w:r>
          </w:p>
        </w:tc>
        <w:tc>
          <w:tcPr>
            <w:tcW w:w="468" w:type="dxa"/>
            <w:tcBorders>
              <w:top w:val="nil"/>
              <w:left w:val="nil"/>
              <w:bottom w:val="single" w:sz="8" w:space="0" w:color="DDDDDD"/>
              <w:right w:val="single" w:sz="8" w:space="0" w:color="DDDDDD"/>
            </w:tcBorders>
            <w:shd w:val="clear" w:color="auto" w:fill="auto"/>
            <w:vAlign w:val="center"/>
          </w:tcPr>
          <w:p w14:paraId="6827D1C4"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1874A583"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5B09330B" w14:textId="77777777" w:rsidR="00097466" w:rsidRDefault="00000000">
            <w:pPr>
              <w:spacing w:before="0" w:after="0" w:line="240" w:lineRule="auto"/>
              <w:jc w:val="left"/>
              <w:rPr>
                <w:color w:val="000000"/>
                <w:sz w:val="20"/>
                <w:szCs w:val="20"/>
              </w:rPr>
            </w:pPr>
            <w:r>
              <w:rPr>
                <w:color w:val="000000"/>
                <w:sz w:val="20"/>
                <w:szCs w:val="20"/>
              </w:rPr>
              <w:t>Lipoproteína(a) (mg/</w:t>
            </w:r>
            <w:proofErr w:type="spellStart"/>
            <w:r>
              <w:rPr>
                <w:color w:val="000000"/>
                <w:sz w:val="20"/>
                <w:szCs w:val="20"/>
              </w:rPr>
              <w:t>dL</w:t>
            </w:r>
            <w:proofErr w:type="spellEnd"/>
            <w:r>
              <w:rPr>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0AF81AC5" w14:textId="77777777" w:rsidR="00097466" w:rsidRDefault="00000000">
            <w:pPr>
              <w:spacing w:before="0" w:after="0" w:line="240" w:lineRule="auto"/>
              <w:jc w:val="left"/>
              <w:rPr>
                <w:color w:val="000000"/>
                <w:sz w:val="20"/>
                <w:szCs w:val="20"/>
              </w:rPr>
            </w:pPr>
            <w:r>
              <w:rPr>
                <w:color w:val="000000"/>
                <w:sz w:val="20"/>
                <w:szCs w:val="20"/>
              </w:rPr>
              <w:t>40,64 [9,19–152,48]</w:t>
            </w:r>
          </w:p>
        </w:tc>
        <w:tc>
          <w:tcPr>
            <w:tcW w:w="2260" w:type="dxa"/>
            <w:tcBorders>
              <w:top w:val="nil"/>
              <w:left w:val="nil"/>
              <w:bottom w:val="single" w:sz="8" w:space="0" w:color="DDDDDD"/>
              <w:right w:val="single" w:sz="8" w:space="0" w:color="DDDDDD"/>
            </w:tcBorders>
            <w:shd w:val="clear" w:color="auto" w:fill="auto"/>
            <w:vAlign w:val="center"/>
          </w:tcPr>
          <w:p w14:paraId="6B27AF03" w14:textId="77777777" w:rsidR="00097466" w:rsidRDefault="00000000">
            <w:pPr>
              <w:spacing w:before="0" w:after="0" w:line="240" w:lineRule="auto"/>
              <w:jc w:val="left"/>
              <w:rPr>
                <w:color w:val="000000"/>
                <w:sz w:val="20"/>
                <w:szCs w:val="20"/>
              </w:rPr>
            </w:pPr>
            <w:r>
              <w:rPr>
                <w:color w:val="000000"/>
                <w:sz w:val="20"/>
                <w:szCs w:val="20"/>
              </w:rPr>
              <w:t>35,67 [10,74–105,02]</w:t>
            </w:r>
          </w:p>
        </w:tc>
        <w:tc>
          <w:tcPr>
            <w:tcW w:w="932" w:type="dxa"/>
            <w:tcBorders>
              <w:top w:val="nil"/>
              <w:left w:val="nil"/>
              <w:bottom w:val="single" w:sz="8" w:space="0" w:color="DDDDDD"/>
              <w:right w:val="single" w:sz="8" w:space="0" w:color="DDDDDD"/>
            </w:tcBorders>
            <w:shd w:val="clear" w:color="auto" w:fill="auto"/>
            <w:vAlign w:val="center"/>
          </w:tcPr>
          <w:p w14:paraId="6C71EFD0" w14:textId="77777777" w:rsidR="00097466" w:rsidRDefault="00000000">
            <w:pPr>
              <w:spacing w:before="0" w:after="0" w:line="240" w:lineRule="auto"/>
              <w:jc w:val="left"/>
              <w:rPr>
                <w:color w:val="000000"/>
                <w:sz w:val="20"/>
                <w:szCs w:val="20"/>
              </w:rPr>
            </w:pPr>
            <w:r>
              <w:rPr>
                <w:color w:val="000000"/>
                <w:sz w:val="20"/>
                <w:szCs w:val="20"/>
              </w:rPr>
              <w:t>4,18E-01</w:t>
            </w:r>
          </w:p>
        </w:tc>
        <w:tc>
          <w:tcPr>
            <w:tcW w:w="468" w:type="dxa"/>
            <w:tcBorders>
              <w:top w:val="nil"/>
              <w:left w:val="nil"/>
              <w:bottom w:val="single" w:sz="8" w:space="0" w:color="DDDDDD"/>
              <w:right w:val="single" w:sz="8" w:space="0" w:color="DDDDDD"/>
            </w:tcBorders>
            <w:shd w:val="clear" w:color="auto" w:fill="auto"/>
            <w:vAlign w:val="center"/>
          </w:tcPr>
          <w:p w14:paraId="6A09E3CA"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2DE9F653" w14:textId="77777777">
        <w:trPr>
          <w:trHeight w:val="397"/>
        </w:trPr>
        <w:tc>
          <w:tcPr>
            <w:tcW w:w="8485" w:type="dxa"/>
            <w:gridSpan w:val="5"/>
            <w:tcBorders>
              <w:top w:val="nil"/>
              <w:left w:val="single" w:sz="8" w:space="0" w:color="DDDDDD"/>
              <w:bottom w:val="single" w:sz="8" w:space="0" w:color="DDDDDD"/>
              <w:right w:val="single" w:sz="8" w:space="0" w:color="DDDDDD"/>
            </w:tcBorders>
            <w:shd w:val="clear" w:color="auto" w:fill="auto"/>
            <w:vAlign w:val="center"/>
          </w:tcPr>
          <w:p w14:paraId="4DFE3FFF" w14:textId="77777777" w:rsidR="00097466" w:rsidRDefault="00000000">
            <w:pPr>
              <w:spacing w:before="0" w:after="0" w:line="240" w:lineRule="auto"/>
              <w:jc w:val="left"/>
              <w:rPr>
                <w:b/>
                <w:bCs/>
                <w:color w:val="000000"/>
                <w:sz w:val="20"/>
                <w:szCs w:val="20"/>
              </w:rPr>
            </w:pPr>
            <w:r>
              <w:rPr>
                <w:b/>
                <w:bCs/>
                <w:color w:val="000000"/>
                <w:sz w:val="20"/>
                <w:szCs w:val="20"/>
              </w:rPr>
              <w:t>Glucosa e insulina</w:t>
            </w:r>
            <w:r>
              <w:rPr>
                <w:color w:val="000000"/>
                <w:sz w:val="20"/>
                <w:szCs w:val="20"/>
              </w:rPr>
              <w:t>  </w:t>
            </w:r>
          </w:p>
        </w:tc>
      </w:tr>
      <w:tr w:rsidR="00097466" w14:paraId="38F57508"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039B9C15" w14:textId="77777777" w:rsidR="00097466" w:rsidRDefault="00000000">
            <w:pPr>
              <w:spacing w:before="0" w:after="0" w:line="240" w:lineRule="auto"/>
              <w:jc w:val="left"/>
              <w:rPr>
                <w:color w:val="000000"/>
                <w:sz w:val="20"/>
                <w:szCs w:val="20"/>
              </w:rPr>
            </w:pPr>
            <w:r>
              <w:rPr>
                <w:color w:val="000000"/>
                <w:sz w:val="20"/>
                <w:szCs w:val="20"/>
              </w:rPr>
              <w:t>Glucosa (mg/</w:t>
            </w:r>
            <w:proofErr w:type="spellStart"/>
            <w:r>
              <w:rPr>
                <w:color w:val="000000"/>
                <w:sz w:val="20"/>
                <w:szCs w:val="20"/>
              </w:rPr>
              <w:t>dL</w:t>
            </w:r>
            <w:proofErr w:type="spellEnd"/>
            <w:r>
              <w:rPr>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03BF8183" w14:textId="77777777" w:rsidR="00097466" w:rsidRDefault="00000000">
            <w:pPr>
              <w:spacing w:before="0" w:after="0" w:line="240" w:lineRule="auto"/>
              <w:jc w:val="left"/>
              <w:rPr>
                <w:color w:val="000000"/>
                <w:sz w:val="20"/>
                <w:szCs w:val="20"/>
              </w:rPr>
            </w:pPr>
            <w:r>
              <w:rPr>
                <w:color w:val="000000"/>
                <w:sz w:val="20"/>
                <w:szCs w:val="20"/>
              </w:rPr>
              <w:t>88,00 [82,00–98,00]</w:t>
            </w:r>
          </w:p>
        </w:tc>
        <w:tc>
          <w:tcPr>
            <w:tcW w:w="2260" w:type="dxa"/>
            <w:tcBorders>
              <w:top w:val="nil"/>
              <w:left w:val="nil"/>
              <w:bottom w:val="single" w:sz="8" w:space="0" w:color="DDDDDD"/>
              <w:right w:val="single" w:sz="8" w:space="0" w:color="DDDDDD"/>
            </w:tcBorders>
            <w:shd w:val="clear" w:color="auto" w:fill="auto"/>
            <w:vAlign w:val="center"/>
          </w:tcPr>
          <w:p w14:paraId="64D834B0" w14:textId="77777777" w:rsidR="00097466" w:rsidRDefault="00000000">
            <w:pPr>
              <w:spacing w:before="0" w:after="0" w:line="240" w:lineRule="auto"/>
              <w:jc w:val="left"/>
              <w:rPr>
                <w:color w:val="000000"/>
                <w:sz w:val="20"/>
                <w:szCs w:val="20"/>
              </w:rPr>
            </w:pPr>
            <w:r>
              <w:rPr>
                <w:color w:val="000000"/>
                <w:sz w:val="20"/>
                <w:szCs w:val="20"/>
              </w:rPr>
              <w:t>87,00 [82,00–94,00]</w:t>
            </w:r>
          </w:p>
        </w:tc>
        <w:tc>
          <w:tcPr>
            <w:tcW w:w="932" w:type="dxa"/>
            <w:tcBorders>
              <w:top w:val="nil"/>
              <w:left w:val="nil"/>
              <w:bottom w:val="single" w:sz="8" w:space="0" w:color="DDDDDD"/>
              <w:right w:val="single" w:sz="8" w:space="0" w:color="DDDDDD"/>
            </w:tcBorders>
            <w:shd w:val="clear" w:color="auto" w:fill="auto"/>
            <w:vAlign w:val="center"/>
          </w:tcPr>
          <w:p w14:paraId="556A2352" w14:textId="77777777" w:rsidR="00097466" w:rsidRDefault="00000000">
            <w:pPr>
              <w:spacing w:before="0" w:after="0" w:line="240" w:lineRule="auto"/>
              <w:jc w:val="left"/>
              <w:rPr>
                <w:color w:val="000000"/>
                <w:sz w:val="20"/>
                <w:szCs w:val="20"/>
              </w:rPr>
            </w:pPr>
            <w:r>
              <w:rPr>
                <w:color w:val="000000"/>
                <w:sz w:val="20"/>
                <w:szCs w:val="20"/>
              </w:rPr>
              <w:t>3,90E-01</w:t>
            </w:r>
          </w:p>
        </w:tc>
        <w:tc>
          <w:tcPr>
            <w:tcW w:w="468" w:type="dxa"/>
            <w:tcBorders>
              <w:top w:val="nil"/>
              <w:left w:val="nil"/>
              <w:bottom w:val="single" w:sz="8" w:space="0" w:color="DDDDDD"/>
              <w:right w:val="single" w:sz="8" w:space="0" w:color="DDDDDD"/>
            </w:tcBorders>
            <w:shd w:val="clear" w:color="auto" w:fill="auto"/>
            <w:vAlign w:val="center"/>
          </w:tcPr>
          <w:p w14:paraId="63D9E365"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2CF0D39E"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3B97777E" w14:textId="77777777" w:rsidR="00097466" w:rsidRDefault="00000000">
            <w:pPr>
              <w:spacing w:before="0" w:after="0" w:line="240" w:lineRule="auto"/>
              <w:jc w:val="left"/>
              <w:rPr>
                <w:color w:val="000000"/>
                <w:sz w:val="20"/>
                <w:szCs w:val="20"/>
              </w:rPr>
            </w:pPr>
            <w:r>
              <w:rPr>
                <w:color w:val="000000"/>
                <w:sz w:val="20"/>
                <w:szCs w:val="20"/>
              </w:rPr>
              <w:t>Insulina (µU/</w:t>
            </w:r>
            <w:proofErr w:type="spellStart"/>
            <w:r>
              <w:rPr>
                <w:color w:val="000000"/>
                <w:sz w:val="20"/>
                <w:szCs w:val="20"/>
              </w:rPr>
              <w:t>mL</w:t>
            </w:r>
            <w:proofErr w:type="spellEnd"/>
            <w:r>
              <w:rPr>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3CCFF078" w14:textId="77777777" w:rsidR="00097466" w:rsidRDefault="00000000">
            <w:pPr>
              <w:spacing w:before="0" w:after="0" w:line="240" w:lineRule="auto"/>
              <w:jc w:val="left"/>
              <w:rPr>
                <w:color w:val="000000"/>
                <w:sz w:val="20"/>
                <w:szCs w:val="20"/>
              </w:rPr>
            </w:pPr>
            <w:r>
              <w:rPr>
                <w:color w:val="000000"/>
                <w:sz w:val="20"/>
                <w:szCs w:val="20"/>
              </w:rPr>
              <w:t>8,94 [5,80–15,14]</w:t>
            </w:r>
          </w:p>
        </w:tc>
        <w:tc>
          <w:tcPr>
            <w:tcW w:w="2260" w:type="dxa"/>
            <w:tcBorders>
              <w:top w:val="nil"/>
              <w:left w:val="nil"/>
              <w:bottom w:val="single" w:sz="8" w:space="0" w:color="DDDDDD"/>
              <w:right w:val="single" w:sz="8" w:space="0" w:color="DDDDDD"/>
            </w:tcBorders>
            <w:shd w:val="clear" w:color="auto" w:fill="auto"/>
            <w:vAlign w:val="center"/>
          </w:tcPr>
          <w:p w14:paraId="10490151" w14:textId="77777777" w:rsidR="00097466" w:rsidRDefault="00000000">
            <w:pPr>
              <w:spacing w:before="0" w:after="0" w:line="240" w:lineRule="auto"/>
              <w:jc w:val="left"/>
              <w:rPr>
                <w:color w:val="000000"/>
                <w:sz w:val="20"/>
                <w:szCs w:val="20"/>
              </w:rPr>
            </w:pPr>
            <w:r>
              <w:rPr>
                <w:color w:val="000000"/>
                <w:sz w:val="20"/>
                <w:szCs w:val="20"/>
              </w:rPr>
              <w:t>8,58 [5,31–16,36]</w:t>
            </w:r>
          </w:p>
        </w:tc>
        <w:tc>
          <w:tcPr>
            <w:tcW w:w="932" w:type="dxa"/>
            <w:tcBorders>
              <w:top w:val="nil"/>
              <w:left w:val="nil"/>
              <w:bottom w:val="single" w:sz="8" w:space="0" w:color="DDDDDD"/>
              <w:right w:val="single" w:sz="8" w:space="0" w:color="DDDDDD"/>
            </w:tcBorders>
            <w:shd w:val="clear" w:color="auto" w:fill="auto"/>
            <w:vAlign w:val="center"/>
          </w:tcPr>
          <w:p w14:paraId="5BC42C1C" w14:textId="77777777" w:rsidR="00097466" w:rsidRDefault="00000000">
            <w:pPr>
              <w:spacing w:before="0" w:after="0" w:line="240" w:lineRule="auto"/>
              <w:jc w:val="left"/>
              <w:rPr>
                <w:color w:val="000000"/>
                <w:sz w:val="20"/>
                <w:szCs w:val="20"/>
              </w:rPr>
            </w:pPr>
            <w:r>
              <w:rPr>
                <w:color w:val="000000"/>
                <w:sz w:val="20"/>
                <w:szCs w:val="20"/>
              </w:rPr>
              <w:t>8,04E-01</w:t>
            </w:r>
          </w:p>
        </w:tc>
        <w:tc>
          <w:tcPr>
            <w:tcW w:w="468" w:type="dxa"/>
            <w:tcBorders>
              <w:top w:val="nil"/>
              <w:left w:val="nil"/>
              <w:bottom w:val="single" w:sz="8" w:space="0" w:color="DDDDDD"/>
              <w:right w:val="single" w:sz="8" w:space="0" w:color="DDDDDD"/>
            </w:tcBorders>
            <w:shd w:val="clear" w:color="auto" w:fill="auto"/>
            <w:vAlign w:val="center"/>
          </w:tcPr>
          <w:p w14:paraId="0FDD040B"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4ECED599"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2DF32207" w14:textId="77777777" w:rsidR="00097466" w:rsidRDefault="00000000">
            <w:pPr>
              <w:spacing w:before="0" w:after="0" w:line="240" w:lineRule="auto"/>
              <w:jc w:val="left"/>
              <w:rPr>
                <w:color w:val="000000"/>
                <w:sz w:val="20"/>
                <w:szCs w:val="20"/>
              </w:rPr>
            </w:pPr>
            <w:r>
              <w:rPr>
                <w:color w:val="000000"/>
                <w:sz w:val="20"/>
                <w:szCs w:val="20"/>
              </w:rPr>
              <w:t>HOMA-IR</w:t>
            </w:r>
          </w:p>
        </w:tc>
        <w:tc>
          <w:tcPr>
            <w:tcW w:w="2260" w:type="dxa"/>
            <w:tcBorders>
              <w:top w:val="nil"/>
              <w:left w:val="nil"/>
              <w:bottom w:val="single" w:sz="8" w:space="0" w:color="DDDDDD"/>
              <w:right w:val="single" w:sz="8" w:space="0" w:color="DDDDDD"/>
            </w:tcBorders>
            <w:shd w:val="clear" w:color="auto" w:fill="auto"/>
            <w:vAlign w:val="center"/>
          </w:tcPr>
          <w:p w14:paraId="636D20E9" w14:textId="77777777" w:rsidR="00097466" w:rsidRDefault="00000000">
            <w:pPr>
              <w:spacing w:before="0" w:after="0" w:line="240" w:lineRule="auto"/>
              <w:jc w:val="left"/>
              <w:rPr>
                <w:color w:val="000000"/>
                <w:sz w:val="20"/>
                <w:szCs w:val="20"/>
              </w:rPr>
            </w:pPr>
            <w:r>
              <w:rPr>
                <w:color w:val="000000"/>
                <w:sz w:val="20"/>
                <w:szCs w:val="20"/>
              </w:rPr>
              <w:t>1,00 [0,60–1,70]</w:t>
            </w:r>
          </w:p>
        </w:tc>
        <w:tc>
          <w:tcPr>
            <w:tcW w:w="2260" w:type="dxa"/>
            <w:tcBorders>
              <w:top w:val="nil"/>
              <w:left w:val="nil"/>
              <w:bottom w:val="single" w:sz="8" w:space="0" w:color="DDDDDD"/>
              <w:right w:val="single" w:sz="8" w:space="0" w:color="DDDDDD"/>
            </w:tcBorders>
            <w:shd w:val="clear" w:color="auto" w:fill="auto"/>
            <w:vAlign w:val="center"/>
          </w:tcPr>
          <w:p w14:paraId="6C947796" w14:textId="77777777" w:rsidR="00097466" w:rsidRDefault="00000000">
            <w:pPr>
              <w:spacing w:before="0" w:after="0" w:line="240" w:lineRule="auto"/>
              <w:jc w:val="left"/>
              <w:rPr>
                <w:color w:val="000000"/>
                <w:sz w:val="20"/>
                <w:szCs w:val="20"/>
              </w:rPr>
            </w:pPr>
            <w:r>
              <w:rPr>
                <w:color w:val="000000"/>
                <w:sz w:val="20"/>
                <w:szCs w:val="20"/>
              </w:rPr>
              <w:t>1,00 [0,60–1,80]</w:t>
            </w:r>
          </w:p>
        </w:tc>
        <w:tc>
          <w:tcPr>
            <w:tcW w:w="932" w:type="dxa"/>
            <w:tcBorders>
              <w:top w:val="nil"/>
              <w:left w:val="nil"/>
              <w:bottom w:val="single" w:sz="8" w:space="0" w:color="DDDDDD"/>
              <w:right w:val="single" w:sz="8" w:space="0" w:color="DDDDDD"/>
            </w:tcBorders>
            <w:shd w:val="clear" w:color="auto" w:fill="auto"/>
            <w:vAlign w:val="center"/>
          </w:tcPr>
          <w:p w14:paraId="16BCB9BE" w14:textId="77777777" w:rsidR="00097466" w:rsidRDefault="00000000">
            <w:pPr>
              <w:spacing w:before="0" w:after="0" w:line="240" w:lineRule="auto"/>
              <w:jc w:val="left"/>
              <w:rPr>
                <w:color w:val="000000"/>
                <w:sz w:val="20"/>
                <w:szCs w:val="20"/>
              </w:rPr>
            </w:pPr>
            <w:r>
              <w:rPr>
                <w:color w:val="000000"/>
                <w:sz w:val="20"/>
                <w:szCs w:val="20"/>
              </w:rPr>
              <w:t>8,05E-01</w:t>
            </w:r>
          </w:p>
        </w:tc>
        <w:tc>
          <w:tcPr>
            <w:tcW w:w="468" w:type="dxa"/>
            <w:tcBorders>
              <w:top w:val="nil"/>
              <w:left w:val="nil"/>
              <w:bottom w:val="single" w:sz="8" w:space="0" w:color="DDDDDD"/>
              <w:right w:val="single" w:sz="8" w:space="0" w:color="DDDDDD"/>
            </w:tcBorders>
            <w:shd w:val="clear" w:color="auto" w:fill="auto"/>
            <w:vAlign w:val="center"/>
          </w:tcPr>
          <w:p w14:paraId="612E786D"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45F90126" w14:textId="77777777">
        <w:trPr>
          <w:trHeight w:val="397"/>
        </w:trPr>
        <w:tc>
          <w:tcPr>
            <w:tcW w:w="8485" w:type="dxa"/>
            <w:gridSpan w:val="5"/>
            <w:tcBorders>
              <w:top w:val="nil"/>
              <w:left w:val="single" w:sz="8" w:space="0" w:color="DDDDDD"/>
              <w:bottom w:val="single" w:sz="8" w:space="0" w:color="DDDDDD"/>
              <w:right w:val="single" w:sz="8" w:space="0" w:color="DDDDDD"/>
            </w:tcBorders>
            <w:shd w:val="clear" w:color="auto" w:fill="auto"/>
            <w:vAlign w:val="center"/>
          </w:tcPr>
          <w:p w14:paraId="6FE52CEA" w14:textId="77777777" w:rsidR="00097466" w:rsidRDefault="00000000">
            <w:pPr>
              <w:spacing w:before="0" w:after="0" w:line="240" w:lineRule="auto"/>
              <w:jc w:val="left"/>
              <w:rPr>
                <w:b/>
                <w:bCs/>
                <w:color w:val="000000"/>
                <w:sz w:val="20"/>
                <w:szCs w:val="20"/>
              </w:rPr>
            </w:pPr>
            <w:r>
              <w:rPr>
                <w:b/>
                <w:bCs/>
                <w:color w:val="000000"/>
                <w:sz w:val="20"/>
                <w:szCs w:val="20"/>
              </w:rPr>
              <w:t>Complemento y función hepática</w:t>
            </w:r>
          </w:p>
        </w:tc>
      </w:tr>
      <w:tr w:rsidR="00097466" w14:paraId="704D3F9C"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7CADD742" w14:textId="77777777" w:rsidR="00097466" w:rsidRDefault="00000000">
            <w:pPr>
              <w:spacing w:before="0" w:after="0" w:line="240" w:lineRule="auto"/>
              <w:jc w:val="left"/>
              <w:rPr>
                <w:color w:val="000000"/>
                <w:sz w:val="20"/>
                <w:szCs w:val="20"/>
              </w:rPr>
            </w:pPr>
            <w:r>
              <w:rPr>
                <w:color w:val="000000"/>
                <w:sz w:val="20"/>
                <w:szCs w:val="20"/>
              </w:rPr>
              <w:t>C3 (mg/</w:t>
            </w:r>
            <w:proofErr w:type="spellStart"/>
            <w:r>
              <w:rPr>
                <w:color w:val="000000"/>
                <w:sz w:val="20"/>
                <w:szCs w:val="20"/>
              </w:rPr>
              <w:t>dL</w:t>
            </w:r>
            <w:proofErr w:type="spellEnd"/>
            <w:r>
              <w:rPr>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3427F19E" w14:textId="77777777" w:rsidR="00097466" w:rsidRDefault="00000000">
            <w:pPr>
              <w:spacing w:before="0" w:after="0" w:line="240" w:lineRule="auto"/>
              <w:jc w:val="left"/>
              <w:rPr>
                <w:color w:val="000000"/>
                <w:sz w:val="20"/>
                <w:szCs w:val="20"/>
              </w:rPr>
            </w:pPr>
            <w:r>
              <w:rPr>
                <w:color w:val="000000"/>
                <w:sz w:val="20"/>
                <w:szCs w:val="20"/>
              </w:rPr>
              <w:t>130,60 [109,50–156,50]</w:t>
            </w:r>
          </w:p>
        </w:tc>
        <w:tc>
          <w:tcPr>
            <w:tcW w:w="2260" w:type="dxa"/>
            <w:tcBorders>
              <w:top w:val="nil"/>
              <w:left w:val="nil"/>
              <w:bottom w:val="single" w:sz="8" w:space="0" w:color="DDDDDD"/>
              <w:right w:val="single" w:sz="8" w:space="0" w:color="DDDDDD"/>
            </w:tcBorders>
            <w:shd w:val="clear" w:color="auto" w:fill="auto"/>
            <w:vAlign w:val="center"/>
          </w:tcPr>
          <w:p w14:paraId="7B6D10F0" w14:textId="77777777" w:rsidR="00097466" w:rsidRDefault="00000000">
            <w:pPr>
              <w:spacing w:before="0" w:after="0" w:line="240" w:lineRule="auto"/>
              <w:jc w:val="left"/>
              <w:rPr>
                <w:color w:val="000000"/>
                <w:sz w:val="20"/>
                <w:szCs w:val="20"/>
              </w:rPr>
            </w:pPr>
            <w:r>
              <w:rPr>
                <w:color w:val="000000"/>
                <w:sz w:val="20"/>
                <w:szCs w:val="20"/>
              </w:rPr>
              <w:t>125,70 [101,50–148,40]</w:t>
            </w:r>
          </w:p>
        </w:tc>
        <w:tc>
          <w:tcPr>
            <w:tcW w:w="932" w:type="dxa"/>
            <w:tcBorders>
              <w:top w:val="nil"/>
              <w:left w:val="nil"/>
              <w:bottom w:val="single" w:sz="8" w:space="0" w:color="DDDDDD"/>
              <w:right w:val="single" w:sz="8" w:space="0" w:color="DDDDDD"/>
            </w:tcBorders>
            <w:shd w:val="clear" w:color="auto" w:fill="auto"/>
            <w:vAlign w:val="center"/>
          </w:tcPr>
          <w:p w14:paraId="222FBF86" w14:textId="77777777" w:rsidR="00097466" w:rsidRDefault="00000000">
            <w:pPr>
              <w:spacing w:before="0" w:after="0" w:line="240" w:lineRule="auto"/>
              <w:jc w:val="left"/>
              <w:rPr>
                <w:color w:val="000000"/>
                <w:sz w:val="20"/>
                <w:szCs w:val="20"/>
              </w:rPr>
            </w:pPr>
            <w:r>
              <w:rPr>
                <w:color w:val="000000"/>
                <w:sz w:val="20"/>
                <w:szCs w:val="20"/>
              </w:rPr>
              <w:t>3,79E-01</w:t>
            </w:r>
          </w:p>
        </w:tc>
        <w:tc>
          <w:tcPr>
            <w:tcW w:w="468" w:type="dxa"/>
            <w:tcBorders>
              <w:top w:val="nil"/>
              <w:left w:val="nil"/>
              <w:bottom w:val="single" w:sz="8" w:space="0" w:color="DDDDDD"/>
              <w:right w:val="single" w:sz="8" w:space="0" w:color="DDDDDD"/>
            </w:tcBorders>
            <w:shd w:val="clear" w:color="auto" w:fill="auto"/>
            <w:vAlign w:val="center"/>
          </w:tcPr>
          <w:p w14:paraId="1CD346BB"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4ABD7AC2"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5E8E2F0B" w14:textId="77777777" w:rsidR="00097466" w:rsidRDefault="00000000">
            <w:pPr>
              <w:spacing w:before="0" w:after="0" w:line="240" w:lineRule="auto"/>
              <w:jc w:val="left"/>
              <w:rPr>
                <w:color w:val="000000"/>
                <w:sz w:val="20"/>
                <w:szCs w:val="20"/>
              </w:rPr>
            </w:pPr>
            <w:r>
              <w:rPr>
                <w:color w:val="000000"/>
                <w:sz w:val="20"/>
                <w:szCs w:val="20"/>
              </w:rPr>
              <w:lastRenderedPageBreak/>
              <w:t>C4 (mg/</w:t>
            </w:r>
            <w:proofErr w:type="spellStart"/>
            <w:r>
              <w:rPr>
                <w:color w:val="000000"/>
                <w:sz w:val="20"/>
                <w:szCs w:val="20"/>
              </w:rPr>
              <w:t>dL</w:t>
            </w:r>
            <w:proofErr w:type="spellEnd"/>
            <w:r>
              <w:rPr>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0FAF9E14" w14:textId="77777777" w:rsidR="00097466" w:rsidRDefault="00000000">
            <w:pPr>
              <w:spacing w:before="0" w:after="0" w:line="240" w:lineRule="auto"/>
              <w:jc w:val="left"/>
              <w:rPr>
                <w:color w:val="000000"/>
                <w:sz w:val="20"/>
                <w:szCs w:val="20"/>
              </w:rPr>
            </w:pPr>
            <w:r>
              <w:rPr>
                <w:color w:val="000000"/>
                <w:sz w:val="20"/>
                <w:szCs w:val="20"/>
              </w:rPr>
              <w:t>18,90 [13,00–24,50]</w:t>
            </w:r>
          </w:p>
        </w:tc>
        <w:tc>
          <w:tcPr>
            <w:tcW w:w="2260" w:type="dxa"/>
            <w:tcBorders>
              <w:top w:val="nil"/>
              <w:left w:val="nil"/>
              <w:bottom w:val="single" w:sz="8" w:space="0" w:color="DDDDDD"/>
              <w:right w:val="single" w:sz="8" w:space="0" w:color="DDDDDD"/>
            </w:tcBorders>
            <w:shd w:val="clear" w:color="auto" w:fill="auto"/>
            <w:vAlign w:val="center"/>
          </w:tcPr>
          <w:p w14:paraId="5F501A03" w14:textId="77777777" w:rsidR="00097466" w:rsidRDefault="00000000">
            <w:pPr>
              <w:spacing w:before="0" w:after="0" w:line="240" w:lineRule="auto"/>
              <w:jc w:val="left"/>
              <w:rPr>
                <w:color w:val="000000"/>
                <w:sz w:val="20"/>
                <w:szCs w:val="20"/>
              </w:rPr>
            </w:pPr>
            <w:r>
              <w:rPr>
                <w:color w:val="000000"/>
                <w:sz w:val="20"/>
                <w:szCs w:val="20"/>
              </w:rPr>
              <w:t>18,20 [12,50–27,70]</w:t>
            </w:r>
          </w:p>
        </w:tc>
        <w:tc>
          <w:tcPr>
            <w:tcW w:w="932" w:type="dxa"/>
            <w:tcBorders>
              <w:top w:val="nil"/>
              <w:left w:val="nil"/>
              <w:bottom w:val="single" w:sz="8" w:space="0" w:color="DDDDDD"/>
              <w:right w:val="single" w:sz="8" w:space="0" w:color="DDDDDD"/>
            </w:tcBorders>
            <w:shd w:val="clear" w:color="auto" w:fill="auto"/>
            <w:vAlign w:val="center"/>
          </w:tcPr>
          <w:p w14:paraId="1F02E080" w14:textId="77777777" w:rsidR="00097466" w:rsidRDefault="00000000">
            <w:pPr>
              <w:spacing w:before="0" w:after="0" w:line="240" w:lineRule="auto"/>
              <w:jc w:val="left"/>
              <w:rPr>
                <w:color w:val="000000"/>
                <w:sz w:val="20"/>
                <w:szCs w:val="20"/>
              </w:rPr>
            </w:pPr>
            <w:r>
              <w:rPr>
                <w:color w:val="000000"/>
                <w:sz w:val="20"/>
                <w:szCs w:val="20"/>
              </w:rPr>
              <w:t>8,04E-01</w:t>
            </w:r>
          </w:p>
        </w:tc>
        <w:tc>
          <w:tcPr>
            <w:tcW w:w="468" w:type="dxa"/>
            <w:tcBorders>
              <w:top w:val="nil"/>
              <w:left w:val="nil"/>
              <w:bottom w:val="single" w:sz="8" w:space="0" w:color="DDDDDD"/>
              <w:right w:val="single" w:sz="8" w:space="0" w:color="DDDDDD"/>
            </w:tcBorders>
            <w:shd w:val="clear" w:color="auto" w:fill="auto"/>
            <w:vAlign w:val="center"/>
          </w:tcPr>
          <w:p w14:paraId="4C6B4832"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4A9CD650" w14:textId="77777777">
        <w:trPr>
          <w:trHeight w:val="397"/>
        </w:trPr>
        <w:tc>
          <w:tcPr>
            <w:tcW w:w="8485" w:type="dxa"/>
            <w:gridSpan w:val="5"/>
            <w:tcBorders>
              <w:top w:val="nil"/>
              <w:left w:val="single" w:sz="8" w:space="0" w:color="DDDDDD"/>
              <w:bottom w:val="single" w:sz="8" w:space="0" w:color="DDDDDD"/>
              <w:right w:val="single" w:sz="8" w:space="0" w:color="DDDDDD"/>
            </w:tcBorders>
            <w:shd w:val="clear" w:color="auto" w:fill="auto"/>
            <w:vAlign w:val="center"/>
          </w:tcPr>
          <w:p w14:paraId="621B4116" w14:textId="77777777" w:rsidR="00097466" w:rsidRDefault="00000000">
            <w:pPr>
              <w:spacing w:before="0" w:after="0" w:line="240" w:lineRule="auto"/>
              <w:jc w:val="left"/>
              <w:rPr>
                <w:b/>
                <w:bCs/>
                <w:color w:val="000000"/>
                <w:sz w:val="20"/>
                <w:szCs w:val="20"/>
              </w:rPr>
            </w:pPr>
            <w:r>
              <w:rPr>
                <w:b/>
                <w:bCs/>
                <w:color w:val="000000"/>
                <w:sz w:val="20"/>
                <w:szCs w:val="20"/>
              </w:rPr>
              <w:t>Citocinas plasmáticas</w:t>
            </w:r>
            <w:r>
              <w:rPr>
                <w:color w:val="000000"/>
                <w:sz w:val="20"/>
                <w:szCs w:val="20"/>
              </w:rPr>
              <w:t> </w:t>
            </w:r>
          </w:p>
        </w:tc>
      </w:tr>
      <w:tr w:rsidR="00097466" w14:paraId="4C779768"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7DD6956C" w14:textId="77777777" w:rsidR="00097466" w:rsidRDefault="00000000">
            <w:pPr>
              <w:spacing w:before="0" w:after="0" w:line="240" w:lineRule="auto"/>
              <w:jc w:val="left"/>
              <w:rPr>
                <w:b/>
                <w:bCs/>
                <w:color w:val="000000"/>
                <w:sz w:val="20"/>
                <w:szCs w:val="20"/>
              </w:rPr>
            </w:pPr>
            <w:r>
              <w:rPr>
                <w:b/>
                <w:bCs/>
                <w:color w:val="000000"/>
                <w:sz w:val="20"/>
                <w:szCs w:val="20"/>
              </w:rPr>
              <w:t>IFN-α (pg/</w:t>
            </w:r>
            <w:proofErr w:type="spellStart"/>
            <w:r>
              <w:rPr>
                <w:b/>
                <w:bCs/>
                <w:color w:val="000000"/>
                <w:sz w:val="20"/>
                <w:szCs w:val="20"/>
              </w:rPr>
              <w:t>mL</w:t>
            </w:r>
            <w:proofErr w:type="spellEnd"/>
            <w:r>
              <w:rPr>
                <w:b/>
                <w:bCs/>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2C2F52B0" w14:textId="77777777" w:rsidR="00097466" w:rsidRDefault="00000000">
            <w:pPr>
              <w:spacing w:before="0" w:after="0" w:line="240" w:lineRule="auto"/>
              <w:jc w:val="left"/>
              <w:rPr>
                <w:color w:val="000000"/>
                <w:sz w:val="20"/>
                <w:szCs w:val="20"/>
              </w:rPr>
            </w:pPr>
            <w:r>
              <w:rPr>
                <w:color w:val="000000"/>
                <w:sz w:val="20"/>
                <w:szCs w:val="20"/>
              </w:rPr>
              <w:t>0,06 [0,03–0,21]</w:t>
            </w:r>
          </w:p>
        </w:tc>
        <w:tc>
          <w:tcPr>
            <w:tcW w:w="2260" w:type="dxa"/>
            <w:tcBorders>
              <w:top w:val="nil"/>
              <w:left w:val="nil"/>
              <w:bottom w:val="single" w:sz="8" w:space="0" w:color="DDDDDD"/>
              <w:right w:val="single" w:sz="8" w:space="0" w:color="DDDDDD"/>
            </w:tcBorders>
            <w:shd w:val="clear" w:color="auto" w:fill="auto"/>
            <w:vAlign w:val="center"/>
          </w:tcPr>
          <w:p w14:paraId="2E83E68E" w14:textId="77777777" w:rsidR="00097466" w:rsidRDefault="00000000">
            <w:pPr>
              <w:spacing w:before="0" w:after="0" w:line="240" w:lineRule="auto"/>
              <w:jc w:val="left"/>
              <w:rPr>
                <w:color w:val="000000"/>
                <w:sz w:val="20"/>
                <w:szCs w:val="20"/>
              </w:rPr>
            </w:pPr>
            <w:r>
              <w:rPr>
                <w:color w:val="000000"/>
                <w:sz w:val="20"/>
                <w:szCs w:val="20"/>
              </w:rPr>
              <w:t>3,09 [0,85–6,67]</w:t>
            </w:r>
          </w:p>
        </w:tc>
        <w:tc>
          <w:tcPr>
            <w:tcW w:w="932" w:type="dxa"/>
            <w:tcBorders>
              <w:top w:val="nil"/>
              <w:left w:val="nil"/>
              <w:bottom w:val="single" w:sz="8" w:space="0" w:color="DDDDDD"/>
              <w:right w:val="single" w:sz="8" w:space="0" w:color="DDDDDD"/>
            </w:tcBorders>
            <w:shd w:val="clear" w:color="auto" w:fill="auto"/>
            <w:vAlign w:val="center"/>
          </w:tcPr>
          <w:p w14:paraId="1530AD68" w14:textId="77777777" w:rsidR="00097466" w:rsidRDefault="00000000">
            <w:pPr>
              <w:spacing w:before="0" w:after="0" w:line="240" w:lineRule="auto"/>
              <w:jc w:val="left"/>
              <w:rPr>
                <w:color w:val="000000"/>
                <w:sz w:val="20"/>
                <w:szCs w:val="20"/>
              </w:rPr>
            </w:pPr>
            <w:r>
              <w:rPr>
                <w:color w:val="000000"/>
                <w:sz w:val="20"/>
                <w:szCs w:val="20"/>
              </w:rPr>
              <w:t>2,85E-28</w:t>
            </w:r>
          </w:p>
        </w:tc>
        <w:tc>
          <w:tcPr>
            <w:tcW w:w="468" w:type="dxa"/>
            <w:tcBorders>
              <w:top w:val="nil"/>
              <w:left w:val="nil"/>
              <w:bottom w:val="single" w:sz="8" w:space="0" w:color="DDDDDD"/>
              <w:right w:val="single" w:sz="8" w:space="0" w:color="DDDDDD"/>
            </w:tcBorders>
            <w:shd w:val="clear" w:color="auto" w:fill="auto"/>
            <w:vAlign w:val="center"/>
          </w:tcPr>
          <w:p w14:paraId="07791DC4" w14:textId="77777777" w:rsidR="00097466" w:rsidRDefault="00000000">
            <w:pPr>
              <w:spacing w:before="0" w:after="0" w:line="240" w:lineRule="auto"/>
              <w:jc w:val="left"/>
              <w:rPr>
                <w:b/>
                <w:bCs/>
                <w:color w:val="000000"/>
                <w:sz w:val="20"/>
                <w:szCs w:val="20"/>
              </w:rPr>
            </w:pPr>
            <w:r>
              <w:rPr>
                <w:b/>
                <w:bCs/>
                <w:color w:val="000000"/>
                <w:sz w:val="20"/>
                <w:szCs w:val="20"/>
              </w:rPr>
              <w:t>*</w:t>
            </w:r>
          </w:p>
        </w:tc>
      </w:tr>
      <w:tr w:rsidR="00097466" w14:paraId="73C5EA6F"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22F85B42" w14:textId="77777777" w:rsidR="00097466" w:rsidRDefault="00000000">
            <w:pPr>
              <w:spacing w:before="0" w:after="0" w:line="240" w:lineRule="auto"/>
              <w:jc w:val="left"/>
              <w:rPr>
                <w:b/>
                <w:bCs/>
                <w:color w:val="000000"/>
                <w:sz w:val="20"/>
                <w:szCs w:val="20"/>
              </w:rPr>
            </w:pPr>
            <w:r>
              <w:rPr>
                <w:b/>
                <w:bCs/>
                <w:color w:val="000000"/>
                <w:sz w:val="20"/>
                <w:szCs w:val="20"/>
              </w:rPr>
              <w:t>IFN-γ (pg/</w:t>
            </w:r>
            <w:proofErr w:type="spellStart"/>
            <w:r>
              <w:rPr>
                <w:b/>
                <w:bCs/>
                <w:color w:val="000000"/>
                <w:sz w:val="20"/>
                <w:szCs w:val="20"/>
              </w:rPr>
              <w:t>mL</w:t>
            </w:r>
            <w:proofErr w:type="spellEnd"/>
            <w:r>
              <w:rPr>
                <w:b/>
                <w:bCs/>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2CD1AABA" w14:textId="77777777" w:rsidR="00097466" w:rsidRDefault="00000000">
            <w:pPr>
              <w:spacing w:before="0" w:after="0" w:line="240" w:lineRule="auto"/>
              <w:jc w:val="left"/>
              <w:rPr>
                <w:color w:val="000000"/>
                <w:sz w:val="20"/>
                <w:szCs w:val="20"/>
              </w:rPr>
            </w:pPr>
            <w:r>
              <w:rPr>
                <w:color w:val="000000"/>
                <w:sz w:val="20"/>
                <w:szCs w:val="20"/>
              </w:rPr>
              <w:t>0,39 [0,20–0,61]</w:t>
            </w:r>
          </w:p>
        </w:tc>
        <w:tc>
          <w:tcPr>
            <w:tcW w:w="2260" w:type="dxa"/>
            <w:tcBorders>
              <w:top w:val="nil"/>
              <w:left w:val="nil"/>
              <w:bottom w:val="single" w:sz="8" w:space="0" w:color="DDDDDD"/>
              <w:right w:val="single" w:sz="8" w:space="0" w:color="DDDDDD"/>
            </w:tcBorders>
            <w:shd w:val="clear" w:color="auto" w:fill="auto"/>
            <w:vAlign w:val="center"/>
          </w:tcPr>
          <w:p w14:paraId="028F5A72" w14:textId="77777777" w:rsidR="00097466" w:rsidRDefault="00000000">
            <w:pPr>
              <w:spacing w:before="0" w:after="0" w:line="240" w:lineRule="auto"/>
              <w:jc w:val="left"/>
              <w:rPr>
                <w:color w:val="000000"/>
                <w:sz w:val="20"/>
                <w:szCs w:val="20"/>
              </w:rPr>
            </w:pPr>
            <w:r>
              <w:rPr>
                <w:color w:val="000000"/>
                <w:sz w:val="20"/>
                <w:szCs w:val="20"/>
              </w:rPr>
              <w:t>0,87 [0,35–1,99]</w:t>
            </w:r>
          </w:p>
        </w:tc>
        <w:tc>
          <w:tcPr>
            <w:tcW w:w="932" w:type="dxa"/>
            <w:tcBorders>
              <w:top w:val="nil"/>
              <w:left w:val="nil"/>
              <w:bottom w:val="single" w:sz="8" w:space="0" w:color="DDDDDD"/>
              <w:right w:val="single" w:sz="8" w:space="0" w:color="DDDDDD"/>
            </w:tcBorders>
            <w:shd w:val="clear" w:color="auto" w:fill="auto"/>
            <w:vAlign w:val="center"/>
          </w:tcPr>
          <w:p w14:paraId="508D75B8" w14:textId="77777777" w:rsidR="00097466" w:rsidRDefault="00000000">
            <w:pPr>
              <w:spacing w:before="0" w:after="0" w:line="240" w:lineRule="auto"/>
              <w:jc w:val="left"/>
              <w:rPr>
                <w:color w:val="000000"/>
                <w:sz w:val="20"/>
                <w:szCs w:val="20"/>
              </w:rPr>
            </w:pPr>
            <w:r>
              <w:rPr>
                <w:color w:val="000000"/>
                <w:sz w:val="20"/>
                <w:szCs w:val="20"/>
              </w:rPr>
              <w:t>1,68E-07</w:t>
            </w:r>
          </w:p>
        </w:tc>
        <w:tc>
          <w:tcPr>
            <w:tcW w:w="468" w:type="dxa"/>
            <w:tcBorders>
              <w:top w:val="nil"/>
              <w:left w:val="nil"/>
              <w:bottom w:val="single" w:sz="8" w:space="0" w:color="DDDDDD"/>
              <w:right w:val="single" w:sz="8" w:space="0" w:color="DDDDDD"/>
            </w:tcBorders>
            <w:shd w:val="clear" w:color="auto" w:fill="auto"/>
            <w:vAlign w:val="center"/>
          </w:tcPr>
          <w:p w14:paraId="5DE9F76D" w14:textId="77777777" w:rsidR="00097466" w:rsidRDefault="00000000">
            <w:pPr>
              <w:spacing w:before="0" w:after="0" w:line="240" w:lineRule="auto"/>
              <w:jc w:val="left"/>
              <w:rPr>
                <w:b/>
                <w:bCs/>
                <w:color w:val="000000"/>
                <w:sz w:val="20"/>
                <w:szCs w:val="20"/>
              </w:rPr>
            </w:pPr>
            <w:r>
              <w:rPr>
                <w:b/>
                <w:bCs/>
                <w:color w:val="000000"/>
                <w:sz w:val="20"/>
                <w:szCs w:val="20"/>
              </w:rPr>
              <w:t>*</w:t>
            </w:r>
          </w:p>
        </w:tc>
      </w:tr>
      <w:tr w:rsidR="00097466" w14:paraId="3EA06FB4"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0ABF9C5D" w14:textId="77777777" w:rsidR="00097466" w:rsidRDefault="00000000">
            <w:pPr>
              <w:spacing w:before="0" w:after="0" w:line="240" w:lineRule="auto"/>
              <w:jc w:val="left"/>
              <w:rPr>
                <w:b/>
                <w:bCs/>
                <w:color w:val="000000"/>
                <w:sz w:val="20"/>
                <w:szCs w:val="20"/>
              </w:rPr>
            </w:pPr>
            <w:r>
              <w:rPr>
                <w:b/>
                <w:bCs/>
                <w:color w:val="000000"/>
                <w:sz w:val="20"/>
                <w:szCs w:val="20"/>
              </w:rPr>
              <w:t>IL-2 (pg/</w:t>
            </w:r>
            <w:proofErr w:type="spellStart"/>
            <w:r>
              <w:rPr>
                <w:b/>
                <w:bCs/>
                <w:color w:val="000000"/>
                <w:sz w:val="20"/>
                <w:szCs w:val="20"/>
              </w:rPr>
              <w:t>mL</w:t>
            </w:r>
            <w:proofErr w:type="spellEnd"/>
            <w:r>
              <w:rPr>
                <w:b/>
                <w:bCs/>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73DE4EF5" w14:textId="77777777" w:rsidR="00097466" w:rsidRDefault="00000000">
            <w:pPr>
              <w:spacing w:before="0" w:after="0" w:line="240" w:lineRule="auto"/>
              <w:jc w:val="left"/>
              <w:rPr>
                <w:color w:val="000000"/>
                <w:sz w:val="20"/>
                <w:szCs w:val="20"/>
              </w:rPr>
            </w:pPr>
            <w:r>
              <w:rPr>
                <w:color w:val="000000"/>
                <w:sz w:val="20"/>
                <w:szCs w:val="20"/>
              </w:rPr>
              <w:t>0,10 [0,07–0,14]</w:t>
            </w:r>
          </w:p>
        </w:tc>
        <w:tc>
          <w:tcPr>
            <w:tcW w:w="2260" w:type="dxa"/>
            <w:tcBorders>
              <w:top w:val="nil"/>
              <w:left w:val="nil"/>
              <w:bottom w:val="single" w:sz="8" w:space="0" w:color="DDDDDD"/>
              <w:right w:val="single" w:sz="8" w:space="0" w:color="DDDDDD"/>
            </w:tcBorders>
            <w:shd w:val="clear" w:color="auto" w:fill="auto"/>
            <w:vAlign w:val="center"/>
          </w:tcPr>
          <w:p w14:paraId="32880F88" w14:textId="77777777" w:rsidR="00097466" w:rsidRDefault="00000000">
            <w:pPr>
              <w:spacing w:before="0" w:after="0" w:line="240" w:lineRule="auto"/>
              <w:jc w:val="left"/>
              <w:rPr>
                <w:color w:val="000000"/>
                <w:sz w:val="20"/>
                <w:szCs w:val="20"/>
              </w:rPr>
            </w:pPr>
            <w:r>
              <w:rPr>
                <w:color w:val="000000"/>
                <w:sz w:val="20"/>
                <w:szCs w:val="20"/>
              </w:rPr>
              <w:t>0,16 [0,11–0,20]</w:t>
            </w:r>
          </w:p>
        </w:tc>
        <w:tc>
          <w:tcPr>
            <w:tcW w:w="932" w:type="dxa"/>
            <w:tcBorders>
              <w:top w:val="nil"/>
              <w:left w:val="nil"/>
              <w:bottom w:val="single" w:sz="8" w:space="0" w:color="DDDDDD"/>
              <w:right w:val="single" w:sz="8" w:space="0" w:color="DDDDDD"/>
            </w:tcBorders>
            <w:shd w:val="clear" w:color="auto" w:fill="auto"/>
            <w:vAlign w:val="center"/>
          </w:tcPr>
          <w:p w14:paraId="28C89811" w14:textId="77777777" w:rsidR="00097466" w:rsidRDefault="00000000">
            <w:pPr>
              <w:spacing w:before="0" w:after="0" w:line="240" w:lineRule="auto"/>
              <w:jc w:val="left"/>
              <w:rPr>
                <w:color w:val="000000"/>
                <w:sz w:val="20"/>
                <w:szCs w:val="20"/>
              </w:rPr>
            </w:pPr>
            <w:r>
              <w:rPr>
                <w:color w:val="000000"/>
                <w:sz w:val="20"/>
                <w:szCs w:val="20"/>
              </w:rPr>
              <w:t>4,90E-06</w:t>
            </w:r>
          </w:p>
        </w:tc>
        <w:tc>
          <w:tcPr>
            <w:tcW w:w="468" w:type="dxa"/>
            <w:tcBorders>
              <w:top w:val="nil"/>
              <w:left w:val="nil"/>
              <w:bottom w:val="single" w:sz="8" w:space="0" w:color="DDDDDD"/>
              <w:right w:val="single" w:sz="8" w:space="0" w:color="DDDDDD"/>
            </w:tcBorders>
            <w:shd w:val="clear" w:color="auto" w:fill="auto"/>
            <w:vAlign w:val="center"/>
          </w:tcPr>
          <w:p w14:paraId="327E9ED7" w14:textId="77777777" w:rsidR="00097466" w:rsidRDefault="00000000">
            <w:pPr>
              <w:spacing w:before="0" w:after="0" w:line="240" w:lineRule="auto"/>
              <w:jc w:val="left"/>
              <w:rPr>
                <w:b/>
                <w:bCs/>
                <w:color w:val="000000"/>
                <w:sz w:val="20"/>
                <w:szCs w:val="20"/>
              </w:rPr>
            </w:pPr>
            <w:r>
              <w:rPr>
                <w:b/>
                <w:bCs/>
                <w:color w:val="000000"/>
                <w:sz w:val="20"/>
                <w:szCs w:val="20"/>
              </w:rPr>
              <w:t>*</w:t>
            </w:r>
          </w:p>
        </w:tc>
      </w:tr>
      <w:tr w:rsidR="00097466" w14:paraId="70C2CDE3"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2BEA1ED0" w14:textId="77777777" w:rsidR="00097466" w:rsidRDefault="00000000">
            <w:pPr>
              <w:spacing w:before="0" w:after="0" w:line="240" w:lineRule="auto"/>
              <w:jc w:val="left"/>
              <w:rPr>
                <w:color w:val="000000"/>
                <w:sz w:val="20"/>
                <w:szCs w:val="20"/>
              </w:rPr>
            </w:pPr>
            <w:r>
              <w:rPr>
                <w:color w:val="000000"/>
                <w:sz w:val="20"/>
                <w:szCs w:val="20"/>
              </w:rPr>
              <w:t>IL-6 (pg/</w:t>
            </w:r>
            <w:proofErr w:type="spellStart"/>
            <w:r>
              <w:rPr>
                <w:color w:val="000000"/>
                <w:sz w:val="20"/>
                <w:szCs w:val="20"/>
              </w:rPr>
              <w:t>mL</w:t>
            </w:r>
            <w:proofErr w:type="spellEnd"/>
            <w:r>
              <w:rPr>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4FACE3E8" w14:textId="77777777" w:rsidR="00097466" w:rsidRDefault="00000000">
            <w:pPr>
              <w:spacing w:before="0" w:after="0" w:line="240" w:lineRule="auto"/>
              <w:jc w:val="left"/>
              <w:rPr>
                <w:color w:val="000000"/>
                <w:sz w:val="20"/>
                <w:szCs w:val="20"/>
              </w:rPr>
            </w:pPr>
            <w:r>
              <w:rPr>
                <w:color w:val="000000"/>
                <w:sz w:val="20"/>
                <w:szCs w:val="20"/>
              </w:rPr>
              <w:t>3,93 [2,57–7,18]</w:t>
            </w:r>
          </w:p>
        </w:tc>
        <w:tc>
          <w:tcPr>
            <w:tcW w:w="2260" w:type="dxa"/>
            <w:tcBorders>
              <w:top w:val="nil"/>
              <w:left w:val="nil"/>
              <w:bottom w:val="single" w:sz="8" w:space="0" w:color="DDDDDD"/>
              <w:right w:val="single" w:sz="8" w:space="0" w:color="DDDDDD"/>
            </w:tcBorders>
            <w:shd w:val="clear" w:color="auto" w:fill="auto"/>
            <w:vAlign w:val="center"/>
          </w:tcPr>
          <w:p w14:paraId="36B02D06" w14:textId="77777777" w:rsidR="00097466" w:rsidRDefault="00000000">
            <w:pPr>
              <w:spacing w:before="0" w:after="0" w:line="240" w:lineRule="auto"/>
              <w:jc w:val="left"/>
              <w:rPr>
                <w:color w:val="000000"/>
                <w:sz w:val="20"/>
                <w:szCs w:val="20"/>
              </w:rPr>
            </w:pPr>
            <w:r>
              <w:rPr>
                <w:color w:val="000000"/>
                <w:sz w:val="20"/>
                <w:szCs w:val="20"/>
              </w:rPr>
              <w:t>4,52 [2,97–8,72]</w:t>
            </w:r>
          </w:p>
        </w:tc>
        <w:tc>
          <w:tcPr>
            <w:tcW w:w="932" w:type="dxa"/>
            <w:tcBorders>
              <w:top w:val="nil"/>
              <w:left w:val="nil"/>
              <w:bottom w:val="single" w:sz="8" w:space="0" w:color="DDDDDD"/>
              <w:right w:val="single" w:sz="8" w:space="0" w:color="DDDDDD"/>
            </w:tcBorders>
            <w:shd w:val="clear" w:color="auto" w:fill="auto"/>
            <w:vAlign w:val="center"/>
          </w:tcPr>
          <w:p w14:paraId="1FBC0EAE" w14:textId="77777777" w:rsidR="00097466" w:rsidRDefault="00000000">
            <w:pPr>
              <w:spacing w:before="0" w:after="0" w:line="240" w:lineRule="auto"/>
              <w:jc w:val="left"/>
              <w:rPr>
                <w:color w:val="000000"/>
                <w:sz w:val="20"/>
                <w:szCs w:val="20"/>
              </w:rPr>
            </w:pPr>
            <w:r>
              <w:rPr>
                <w:color w:val="000000"/>
                <w:sz w:val="20"/>
                <w:szCs w:val="20"/>
              </w:rPr>
              <w:t>4,45E-01</w:t>
            </w:r>
          </w:p>
        </w:tc>
        <w:tc>
          <w:tcPr>
            <w:tcW w:w="468" w:type="dxa"/>
            <w:tcBorders>
              <w:top w:val="nil"/>
              <w:left w:val="nil"/>
              <w:bottom w:val="single" w:sz="8" w:space="0" w:color="DDDDDD"/>
              <w:right w:val="single" w:sz="8" w:space="0" w:color="DDDDDD"/>
            </w:tcBorders>
            <w:shd w:val="clear" w:color="auto" w:fill="auto"/>
            <w:vAlign w:val="center"/>
          </w:tcPr>
          <w:p w14:paraId="0C8BF857"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54A9D769" w14:textId="77777777">
        <w:trPr>
          <w:trHeight w:val="397"/>
        </w:trPr>
        <w:tc>
          <w:tcPr>
            <w:tcW w:w="2565" w:type="dxa"/>
            <w:tcBorders>
              <w:top w:val="nil"/>
              <w:left w:val="single" w:sz="8" w:space="0" w:color="DDDDDD"/>
              <w:bottom w:val="single" w:sz="8" w:space="0" w:color="DDDDDD"/>
              <w:right w:val="single" w:sz="8" w:space="0" w:color="DDDDDD"/>
            </w:tcBorders>
            <w:shd w:val="clear" w:color="auto" w:fill="auto"/>
            <w:vAlign w:val="center"/>
          </w:tcPr>
          <w:p w14:paraId="7C6164B6" w14:textId="77777777" w:rsidR="00097466" w:rsidRDefault="00000000">
            <w:pPr>
              <w:spacing w:before="0" w:after="0" w:line="240" w:lineRule="auto"/>
              <w:jc w:val="left"/>
              <w:rPr>
                <w:color w:val="000000"/>
                <w:sz w:val="20"/>
                <w:szCs w:val="20"/>
              </w:rPr>
            </w:pPr>
            <w:r>
              <w:rPr>
                <w:color w:val="000000"/>
                <w:sz w:val="20"/>
                <w:szCs w:val="20"/>
              </w:rPr>
              <w:t>IL-8 (pg/</w:t>
            </w:r>
            <w:proofErr w:type="spellStart"/>
            <w:r>
              <w:rPr>
                <w:color w:val="000000"/>
                <w:sz w:val="20"/>
                <w:szCs w:val="20"/>
              </w:rPr>
              <w:t>mL</w:t>
            </w:r>
            <w:proofErr w:type="spellEnd"/>
            <w:r>
              <w:rPr>
                <w:color w:val="000000"/>
                <w:sz w:val="20"/>
                <w:szCs w:val="20"/>
              </w:rPr>
              <w:t>)</w:t>
            </w:r>
          </w:p>
        </w:tc>
        <w:tc>
          <w:tcPr>
            <w:tcW w:w="2260" w:type="dxa"/>
            <w:tcBorders>
              <w:top w:val="nil"/>
              <w:left w:val="nil"/>
              <w:bottom w:val="single" w:sz="8" w:space="0" w:color="DDDDDD"/>
              <w:right w:val="single" w:sz="8" w:space="0" w:color="DDDDDD"/>
            </w:tcBorders>
            <w:shd w:val="clear" w:color="auto" w:fill="auto"/>
            <w:vAlign w:val="center"/>
          </w:tcPr>
          <w:p w14:paraId="3F61A602" w14:textId="77777777" w:rsidR="00097466" w:rsidRDefault="00000000">
            <w:pPr>
              <w:spacing w:before="0" w:after="0" w:line="240" w:lineRule="auto"/>
              <w:jc w:val="left"/>
              <w:rPr>
                <w:color w:val="000000"/>
                <w:sz w:val="20"/>
                <w:szCs w:val="20"/>
              </w:rPr>
            </w:pPr>
            <w:r>
              <w:rPr>
                <w:color w:val="000000"/>
                <w:sz w:val="20"/>
                <w:szCs w:val="20"/>
              </w:rPr>
              <w:t>9,92 [7,10–13,55]</w:t>
            </w:r>
          </w:p>
        </w:tc>
        <w:tc>
          <w:tcPr>
            <w:tcW w:w="2260" w:type="dxa"/>
            <w:tcBorders>
              <w:top w:val="nil"/>
              <w:left w:val="nil"/>
              <w:bottom w:val="single" w:sz="8" w:space="0" w:color="DDDDDD"/>
              <w:right w:val="single" w:sz="8" w:space="0" w:color="DDDDDD"/>
            </w:tcBorders>
            <w:shd w:val="clear" w:color="auto" w:fill="auto"/>
            <w:vAlign w:val="center"/>
          </w:tcPr>
          <w:p w14:paraId="202A795D" w14:textId="77777777" w:rsidR="00097466" w:rsidRDefault="00000000">
            <w:pPr>
              <w:spacing w:before="0" w:after="0" w:line="240" w:lineRule="auto"/>
              <w:jc w:val="left"/>
              <w:rPr>
                <w:color w:val="000000"/>
                <w:sz w:val="20"/>
                <w:szCs w:val="20"/>
              </w:rPr>
            </w:pPr>
            <w:r>
              <w:rPr>
                <w:color w:val="000000"/>
                <w:sz w:val="20"/>
                <w:szCs w:val="20"/>
              </w:rPr>
              <w:t>10,40 [7,94–14,80]</w:t>
            </w:r>
          </w:p>
        </w:tc>
        <w:tc>
          <w:tcPr>
            <w:tcW w:w="932" w:type="dxa"/>
            <w:tcBorders>
              <w:top w:val="nil"/>
              <w:left w:val="nil"/>
              <w:bottom w:val="single" w:sz="8" w:space="0" w:color="DDDDDD"/>
              <w:right w:val="single" w:sz="8" w:space="0" w:color="DDDDDD"/>
            </w:tcBorders>
            <w:shd w:val="clear" w:color="auto" w:fill="auto"/>
            <w:vAlign w:val="center"/>
          </w:tcPr>
          <w:p w14:paraId="187EA813" w14:textId="77777777" w:rsidR="00097466" w:rsidRDefault="00000000">
            <w:pPr>
              <w:spacing w:before="0" w:after="0" w:line="240" w:lineRule="auto"/>
              <w:jc w:val="left"/>
              <w:rPr>
                <w:color w:val="000000"/>
                <w:sz w:val="20"/>
                <w:szCs w:val="20"/>
              </w:rPr>
            </w:pPr>
            <w:r>
              <w:rPr>
                <w:color w:val="000000"/>
                <w:sz w:val="20"/>
                <w:szCs w:val="20"/>
              </w:rPr>
              <w:t>4,18E-01</w:t>
            </w:r>
          </w:p>
        </w:tc>
        <w:tc>
          <w:tcPr>
            <w:tcW w:w="468" w:type="dxa"/>
            <w:tcBorders>
              <w:top w:val="nil"/>
              <w:left w:val="nil"/>
              <w:bottom w:val="single" w:sz="8" w:space="0" w:color="DDDDDD"/>
              <w:right w:val="single" w:sz="8" w:space="0" w:color="DDDDDD"/>
            </w:tcBorders>
            <w:shd w:val="clear" w:color="auto" w:fill="auto"/>
            <w:vAlign w:val="center"/>
          </w:tcPr>
          <w:p w14:paraId="4E0298B9" w14:textId="77777777" w:rsidR="00097466" w:rsidRDefault="00000000" w:rsidP="008359AA">
            <w:pPr>
              <w:keepNext/>
              <w:spacing w:before="0" w:after="0" w:line="240" w:lineRule="auto"/>
              <w:jc w:val="left"/>
              <w:rPr>
                <w:color w:val="000000"/>
                <w:sz w:val="20"/>
                <w:szCs w:val="20"/>
              </w:rPr>
            </w:pPr>
            <w:r>
              <w:rPr>
                <w:color w:val="000000"/>
                <w:sz w:val="20"/>
                <w:szCs w:val="20"/>
              </w:rPr>
              <w:t>—</w:t>
            </w:r>
          </w:p>
        </w:tc>
      </w:tr>
    </w:tbl>
    <w:p w14:paraId="1872BEA9" w14:textId="4715B82C" w:rsidR="008359AA" w:rsidRDefault="008359AA" w:rsidP="00C67F76">
      <w:pPr>
        <w:pStyle w:val="Descripcin"/>
      </w:pPr>
      <w:bookmarkStart w:id="143" w:name="_Toc230792256"/>
      <w:r>
        <w:t xml:space="preserve">Tabla </w:t>
      </w:r>
      <w:fldSimple w:instr=" SEQ Tabla \* ARABIC ">
        <w:r w:rsidR="00716AEA">
          <w:rPr>
            <w:noProof/>
          </w:rPr>
          <w:t>24</w:t>
        </w:r>
      </w:fldSimple>
      <w:r>
        <w:t xml:space="preserve">. </w:t>
      </w:r>
      <w:r w:rsidRPr="0094176B">
        <w:t>Características demográficas, clínicas, bioquímicas y proteómicas de los pacientes con LES según grupo de firma de interferón tipo I (IFN-</w:t>
      </w:r>
      <w:proofErr w:type="spellStart"/>
      <w:r w:rsidRPr="0094176B">
        <w:t>high</w:t>
      </w:r>
      <w:proofErr w:type="spellEnd"/>
      <w:r w:rsidRPr="0094176B">
        <w:t xml:space="preserve"> vs. IFN-low). Test exacto de Fisher (no incluido en el ajuste FDR). Sig.: * p-</w:t>
      </w:r>
      <w:proofErr w:type="spellStart"/>
      <w:r w:rsidRPr="0094176B">
        <w:t>adj</w:t>
      </w:r>
      <w:proofErr w:type="spellEnd"/>
      <w:r w:rsidRPr="0094176B">
        <w:t xml:space="preserve"> &lt; 0,05; ** p-</w:t>
      </w:r>
      <w:proofErr w:type="spellStart"/>
      <w:r w:rsidRPr="0094176B">
        <w:t>adj</w:t>
      </w:r>
      <w:proofErr w:type="spellEnd"/>
      <w:r w:rsidRPr="0094176B">
        <w:t xml:space="preserve"> &lt; 0,01; **</w:t>
      </w:r>
      <w:bookmarkEnd w:id="143"/>
    </w:p>
    <w:p w14:paraId="77631541" w14:textId="613D44DE" w:rsidR="00097466" w:rsidRDefault="00000000">
      <w:r>
        <w:t>Los pacientes IFN-</w:t>
      </w:r>
      <w:proofErr w:type="spellStart"/>
      <w:r>
        <w:t>high</w:t>
      </w:r>
      <w:proofErr w:type="spellEnd"/>
      <w:r>
        <w:t xml:space="preserve"> presentaron una edad actual significativamente menor (50,25 vs. 55,15 años; p-</w:t>
      </w:r>
      <w:proofErr w:type="spellStart"/>
      <w:r>
        <w:t>adj</w:t>
      </w:r>
      <w:proofErr w:type="spellEnd"/>
      <w:r>
        <w:t xml:space="preserve"> = 6,43e-04) y una edad al diagnóstico más precoz (27,26 vs. 33,02 años; p-</w:t>
      </w:r>
      <w:proofErr w:type="spellStart"/>
      <w:r>
        <w:t>adj</w:t>
      </w:r>
      <w:proofErr w:type="spellEnd"/>
      <w:r>
        <w:t xml:space="preserve"> = 6,58e-03) que los pacientes IFN-low. Este hallazgo es consistente con la literatura, en la que la firma IFN elevada se ha asociado a formas de debut más temprano de la enfermedad.</w:t>
      </w:r>
    </w:p>
    <w:p w14:paraId="2F33444B" w14:textId="77777777" w:rsidR="00097466" w:rsidRDefault="00000000">
      <w:r>
        <w:t>Los pacientes IFN-</w:t>
      </w:r>
      <w:proofErr w:type="spellStart"/>
      <w:r>
        <w:t>high</w:t>
      </w:r>
      <w:proofErr w:type="spellEnd"/>
      <w:r>
        <w:t xml:space="preserve"> mostraron puntuaciones significativamente más elevadas en el SLEDAI-2K (p-</w:t>
      </w:r>
      <w:proofErr w:type="spellStart"/>
      <w:r>
        <w:t>adj</w:t>
      </w:r>
      <w:proofErr w:type="spellEnd"/>
      <w:r>
        <w:t xml:space="preserve"> = 3,42e-02) y en el SLE-DAS (p-</w:t>
      </w:r>
      <w:proofErr w:type="spellStart"/>
      <w:r>
        <w:t>adj</w:t>
      </w:r>
      <w:proofErr w:type="spellEnd"/>
      <w:r>
        <w:t xml:space="preserve"> = 3,42e-02), y un mayor daño acumulado medido por el SLICC-DI (p-</w:t>
      </w:r>
      <w:proofErr w:type="spellStart"/>
      <w:r>
        <w:t>adj</w:t>
      </w:r>
      <w:proofErr w:type="spellEnd"/>
      <w:r>
        <w:t xml:space="preserve"> = 6,58e-03), indicando que la activación sostenida de la vía IFN tipo I se asocia no solo a mayor actividad inflamatoria, sino también a mayor daño orgánico irreversible. Los criterios de remisión compuesta LLDAS y DORIS no alcanzaron significación estadística tras la corrección por comparaciones múltiples, aunque DORIS mostró una tendencia limítrofe (p = 0,054) que podría reflejar una menor probabilidad de alcanzar remisión sostenida en pacientes con activación crónica de la vía IFN.</w:t>
      </w:r>
    </w:p>
    <w:p w14:paraId="68F557A9" w14:textId="77777777" w:rsidR="008359AA" w:rsidRDefault="00000000" w:rsidP="008359AA">
      <w:pPr>
        <w:keepNext/>
        <w:jc w:val="center"/>
      </w:pPr>
      <w:r>
        <w:rPr>
          <w:noProof/>
        </w:rPr>
        <w:drawing>
          <wp:inline distT="0" distB="0" distL="0" distR="0" wp14:anchorId="746F03E4" wp14:editId="478893C3">
            <wp:extent cx="3745149" cy="2295728"/>
            <wp:effectExtent l="0" t="0" r="1905" b="3175"/>
            <wp:docPr id="49"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6"/>
                    <a:srcRect/>
                    <a:stretch>
                      <a:fillRect/>
                    </a:stretch>
                  </pic:blipFill>
                  <pic:spPr>
                    <a:xfrm>
                      <a:off x="0" y="0"/>
                      <a:ext cx="3755132" cy="2301848"/>
                    </a:xfrm>
                    <a:prstGeom prst="rect">
                      <a:avLst/>
                    </a:prstGeom>
                    <a:ln/>
                  </pic:spPr>
                </pic:pic>
              </a:graphicData>
            </a:graphic>
          </wp:inline>
        </w:drawing>
      </w:r>
    </w:p>
    <w:p w14:paraId="5CCFB774" w14:textId="150BB2CA" w:rsidR="00097466" w:rsidRDefault="008359AA" w:rsidP="00C67F76">
      <w:pPr>
        <w:pStyle w:val="Descripcin"/>
      </w:pPr>
      <w:bookmarkStart w:id="144" w:name="_Toc230792285"/>
      <w:r>
        <w:t xml:space="preserve">Ilustración </w:t>
      </w:r>
      <w:fldSimple w:instr=" SEQ Ilustración \* ARABIC ">
        <w:r w:rsidR="00E76F9C">
          <w:rPr>
            <w:noProof/>
          </w:rPr>
          <w:t>13</w:t>
        </w:r>
      </w:fldSimple>
      <w:r>
        <w:t>. D</w:t>
      </w:r>
      <w:r w:rsidRPr="00F9479F">
        <w:t>istribución de categorías SLEDAI-2K y SLE-DAS por grupo IFN</w:t>
      </w:r>
      <w:bookmarkEnd w:id="144"/>
    </w:p>
    <w:p w14:paraId="3543DFCB" w14:textId="76F9FBD7" w:rsidR="00097466" w:rsidRDefault="00000000">
      <w:r>
        <w:t>Entre los parámetros bioquímicos, los hallazgos más relevantes fueron el descenso significativo de HDL (49,75 vs. 55,00 mg/</w:t>
      </w:r>
      <w:proofErr w:type="spellStart"/>
      <w:r>
        <w:t>dL</w:t>
      </w:r>
      <w:proofErr w:type="spellEnd"/>
      <w:r>
        <w:t>; p-</w:t>
      </w:r>
      <w:proofErr w:type="spellStart"/>
      <w:r>
        <w:t>adj</w:t>
      </w:r>
      <w:proofErr w:type="spellEnd"/>
      <w:r>
        <w:t xml:space="preserve"> = 1,12e-02) y de Apo A-I (149,50 vs. 155,50 mg/</w:t>
      </w:r>
      <w:proofErr w:type="spellStart"/>
      <w:r>
        <w:t>dL</w:t>
      </w:r>
      <w:proofErr w:type="spellEnd"/>
      <w:r>
        <w:t>; p-</w:t>
      </w:r>
      <w:proofErr w:type="spellStart"/>
      <w:r>
        <w:t>adj</w:t>
      </w:r>
      <w:proofErr w:type="spellEnd"/>
      <w:r>
        <w:t xml:space="preserve"> = 4,03e-02) en el grupo IFN-</w:t>
      </w:r>
      <w:proofErr w:type="spellStart"/>
      <w:r>
        <w:t>high</w:t>
      </w:r>
      <w:proofErr w:type="spellEnd"/>
      <w:r>
        <w:t xml:space="preserve">. Este patrón apunta a un perfil lipídico más aterogénico asociado </w:t>
      </w:r>
      <w:r>
        <w:lastRenderedPageBreak/>
        <w:t xml:space="preserve">a la activación de la vía IFN tipo I, con potencial relevancia para el riesgo cardiovascular en pacientes con LES. </w:t>
      </w:r>
    </w:p>
    <w:p w14:paraId="07ED4DE9" w14:textId="77777777" w:rsidR="00097466" w:rsidRDefault="00000000">
      <w:r>
        <w:t>Los niveles de IFN-α (3,09 vs. 0,06 pg/</w:t>
      </w:r>
      <w:proofErr w:type="spellStart"/>
      <w:r>
        <w:t>mL</w:t>
      </w:r>
      <w:proofErr w:type="spellEnd"/>
      <w:r>
        <w:t>; p-</w:t>
      </w:r>
      <w:proofErr w:type="spellStart"/>
      <w:r>
        <w:t>adj</w:t>
      </w:r>
      <w:proofErr w:type="spellEnd"/>
      <w:r>
        <w:t xml:space="preserve"> = 2,85e-28), IFN-γ (0,87 vs. 0,39 pg/</w:t>
      </w:r>
      <w:proofErr w:type="spellStart"/>
      <w:r>
        <w:t>mL</w:t>
      </w:r>
      <w:proofErr w:type="spellEnd"/>
      <w:r>
        <w:t>; p-</w:t>
      </w:r>
      <w:proofErr w:type="spellStart"/>
      <w:r>
        <w:t>adj</w:t>
      </w:r>
      <w:proofErr w:type="spellEnd"/>
      <w:r>
        <w:t xml:space="preserve"> = 1,68e-07) e IL-2 (0,16 vs. 0,10 pg/</w:t>
      </w:r>
      <w:proofErr w:type="spellStart"/>
      <w:r>
        <w:t>mL</w:t>
      </w:r>
      <w:proofErr w:type="spellEnd"/>
      <w:r>
        <w:t>; p-</w:t>
      </w:r>
      <w:proofErr w:type="spellStart"/>
      <w:r>
        <w:t>adj</w:t>
      </w:r>
      <w:proofErr w:type="spellEnd"/>
      <w:r>
        <w:t xml:space="preserve"> = 4,90e-06) fueron significativamente más elevados en el grupo IFN-</w:t>
      </w:r>
      <w:proofErr w:type="spellStart"/>
      <w:r>
        <w:t>high</w:t>
      </w:r>
      <w:proofErr w:type="spellEnd"/>
      <w:r>
        <w:t>. Este hallazgo valida a nivel proteico la clasificación basada en la firma transcriptómica y confirma la coherencia biológica entre la activación génica y la producción sérica de interferones.</w:t>
      </w:r>
    </w:p>
    <w:p w14:paraId="35D28AFC" w14:textId="77777777" w:rsidR="00097466" w:rsidRDefault="00000000">
      <w:pPr>
        <w:pStyle w:val="Ttulo3"/>
        <w:numPr>
          <w:ilvl w:val="2"/>
          <w:numId w:val="17"/>
        </w:numPr>
      </w:pPr>
      <w:r>
        <w:t>Correlaciones de Spearman entre el IFN-score y las variables clínicas, bioquímicas y proteómicas</w:t>
      </w:r>
    </w:p>
    <w:p w14:paraId="692AA6E2" w14:textId="13286CE0" w:rsidR="00097466" w:rsidRDefault="00000000">
      <w:r>
        <w:t xml:space="preserve">La asociación lineal entre el IFN-score de 72 ISGs y el conjunto de variables continuas clínicas, bioquímicas y proteómicas se evaluó mediante el coeficiente de correlación de Spearman (ρ), con corrección por comparaciones múltiples mediante FDR de </w:t>
      </w:r>
      <w:proofErr w:type="spellStart"/>
      <w:r>
        <w:t>Benjamini-Hochberg</w:t>
      </w:r>
      <w:proofErr w:type="spellEnd"/>
      <w:r>
        <w:t xml:space="preserve"> sobre el conjunto total de 36 variables analizadas. Se consideraron estadísticamente significativas las correlaciones con p-</w:t>
      </w:r>
      <w:proofErr w:type="spellStart"/>
      <w:r>
        <w:t>adj</w:t>
      </w:r>
      <w:proofErr w:type="spellEnd"/>
      <w:r>
        <w:t xml:space="preserve"> &lt; 0,05.</w:t>
      </w:r>
    </w:p>
    <w:tbl>
      <w:tblPr>
        <w:tblStyle w:val="af9"/>
        <w:tblW w:w="8485" w:type="dxa"/>
        <w:tblInd w:w="0" w:type="dxa"/>
        <w:tblLayout w:type="fixed"/>
        <w:tblLook w:val="0400" w:firstRow="0" w:lastRow="0" w:firstColumn="0" w:lastColumn="0" w:noHBand="0" w:noVBand="1"/>
      </w:tblPr>
      <w:tblGrid>
        <w:gridCol w:w="3267"/>
        <w:gridCol w:w="680"/>
        <w:gridCol w:w="1410"/>
        <w:gridCol w:w="1115"/>
        <w:gridCol w:w="1341"/>
        <w:gridCol w:w="672"/>
      </w:tblGrid>
      <w:tr w:rsidR="00097466" w14:paraId="56FB8BAC" w14:textId="77777777">
        <w:trPr>
          <w:trHeight w:val="397"/>
        </w:trPr>
        <w:tc>
          <w:tcPr>
            <w:tcW w:w="3267"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245114EE" w14:textId="77777777" w:rsidR="00097466" w:rsidRDefault="00000000">
            <w:pPr>
              <w:spacing w:before="0" w:after="0" w:line="240" w:lineRule="auto"/>
              <w:ind w:firstLine="204"/>
              <w:jc w:val="left"/>
              <w:rPr>
                <w:b/>
                <w:bCs/>
                <w:color w:val="000000"/>
                <w:sz w:val="20"/>
                <w:szCs w:val="20"/>
              </w:rPr>
            </w:pPr>
            <w:r>
              <w:rPr>
                <w:b/>
                <w:bCs/>
                <w:color w:val="000000"/>
                <w:sz w:val="20"/>
                <w:szCs w:val="20"/>
              </w:rPr>
              <w:t>Variable</w:t>
            </w:r>
          </w:p>
        </w:tc>
        <w:tc>
          <w:tcPr>
            <w:tcW w:w="680" w:type="dxa"/>
            <w:tcBorders>
              <w:top w:val="single" w:sz="8" w:space="0" w:color="DDDDDD"/>
              <w:left w:val="nil"/>
              <w:bottom w:val="single" w:sz="8" w:space="0" w:color="DDDDDD"/>
              <w:right w:val="single" w:sz="8" w:space="0" w:color="DDDDDD"/>
            </w:tcBorders>
            <w:shd w:val="clear" w:color="auto" w:fill="F2F2F2"/>
            <w:vAlign w:val="center"/>
          </w:tcPr>
          <w:p w14:paraId="559CA65B" w14:textId="77777777" w:rsidR="00097466" w:rsidRDefault="00000000">
            <w:pPr>
              <w:spacing w:before="0" w:after="0" w:line="240" w:lineRule="auto"/>
              <w:ind w:firstLine="204"/>
              <w:jc w:val="left"/>
              <w:rPr>
                <w:b/>
                <w:bCs/>
                <w:color w:val="000000"/>
                <w:sz w:val="20"/>
                <w:szCs w:val="20"/>
              </w:rPr>
            </w:pPr>
            <w:r>
              <w:rPr>
                <w:b/>
                <w:bCs/>
                <w:color w:val="000000"/>
                <w:sz w:val="20"/>
                <w:szCs w:val="20"/>
              </w:rPr>
              <w:t>N</w:t>
            </w:r>
          </w:p>
        </w:tc>
        <w:tc>
          <w:tcPr>
            <w:tcW w:w="1410" w:type="dxa"/>
            <w:tcBorders>
              <w:top w:val="single" w:sz="8" w:space="0" w:color="DDDDDD"/>
              <w:left w:val="nil"/>
              <w:bottom w:val="single" w:sz="8" w:space="0" w:color="DDDDDD"/>
              <w:right w:val="single" w:sz="8" w:space="0" w:color="DDDDDD"/>
            </w:tcBorders>
            <w:shd w:val="clear" w:color="auto" w:fill="F2F2F2"/>
            <w:vAlign w:val="center"/>
          </w:tcPr>
          <w:p w14:paraId="75A6DE3A" w14:textId="77777777" w:rsidR="00097466" w:rsidRDefault="00000000">
            <w:pPr>
              <w:spacing w:before="0" w:after="0" w:line="240" w:lineRule="auto"/>
              <w:ind w:firstLine="204"/>
              <w:jc w:val="left"/>
              <w:rPr>
                <w:b/>
                <w:bCs/>
                <w:color w:val="000000"/>
                <w:sz w:val="20"/>
                <w:szCs w:val="20"/>
              </w:rPr>
            </w:pPr>
            <w:r>
              <w:rPr>
                <w:b/>
                <w:bCs/>
                <w:color w:val="000000"/>
                <w:sz w:val="20"/>
                <w:szCs w:val="20"/>
              </w:rPr>
              <w:t>ρ Spearman</w:t>
            </w:r>
          </w:p>
        </w:tc>
        <w:tc>
          <w:tcPr>
            <w:tcW w:w="1115" w:type="dxa"/>
            <w:tcBorders>
              <w:top w:val="single" w:sz="8" w:space="0" w:color="DDDDDD"/>
              <w:left w:val="nil"/>
              <w:bottom w:val="single" w:sz="8" w:space="0" w:color="DDDDDD"/>
              <w:right w:val="single" w:sz="8" w:space="0" w:color="DDDDDD"/>
            </w:tcBorders>
            <w:shd w:val="clear" w:color="auto" w:fill="F2F2F2"/>
            <w:vAlign w:val="center"/>
          </w:tcPr>
          <w:p w14:paraId="1DA849DD" w14:textId="77777777" w:rsidR="00097466" w:rsidRDefault="00000000">
            <w:pPr>
              <w:spacing w:before="0" w:after="0" w:line="240" w:lineRule="auto"/>
              <w:ind w:firstLine="204"/>
              <w:jc w:val="left"/>
              <w:rPr>
                <w:b/>
                <w:bCs/>
                <w:color w:val="000000"/>
                <w:sz w:val="20"/>
                <w:szCs w:val="20"/>
              </w:rPr>
            </w:pPr>
            <w:r>
              <w:rPr>
                <w:b/>
                <w:bCs/>
                <w:color w:val="000000"/>
                <w:sz w:val="20"/>
                <w:szCs w:val="20"/>
              </w:rPr>
              <w:t>p-valor</w:t>
            </w:r>
          </w:p>
        </w:tc>
        <w:tc>
          <w:tcPr>
            <w:tcW w:w="1341" w:type="dxa"/>
            <w:tcBorders>
              <w:top w:val="single" w:sz="8" w:space="0" w:color="DDDDDD"/>
              <w:left w:val="nil"/>
              <w:bottom w:val="single" w:sz="8" w:space="0" w:color="DDDDDD"/>
              <w:right w:val="single" w:sz="8" w:space="0" w:color="DDDDDD"/>
            </w:tcBorders>
            <w:shd w:val="clear" w:color="auto" w:fill="F2F2F2"/>
            <w:vAlign w:val="center"/>
          </w:tcPr>
          <w:p w14:paraId="5C266140" w14:textId="77777777" w:rsidR="00097466" w:rsidRDefault="00000000">
            <w:pPr>
              <w:spacing w:before="0" w:after="0" w:line="240" w:lineRule="auto"/>
              <w:ind w:firstLine="204"/>
              <w:jc w:val="left"/>
              <w:rPr>
                <w:b/>
                <w:bCs/>
                <w:color w:val="000000"/>
                <w:sz w:val="20"/>
                <w:szCs w:val="20"/>
              </w:rPr>
            </w:pPr>
            <w:r>
              <w:rPr>
                <w:b/>
                <w:bCs/>
                <w:color w:val="000000"/>
                <w:sz w:val="20"/>
                <w:szCs w:val="20"/>
              </w:rPr>
              <w:t>p-</w:t>
            </w:r>
            <w:proofErr w:type="spellStart"/>
            <w:r>
              <w:rPr>
                <w:b/>
                <w:bCs/>
                <w:color w:val="000000"/>
                <w:sz w:val="20"/>
                <w:szCs w:val="20"/>
              </w:rPr>
              <w:t>adj</w:t>
            </w:r>
            <w:proofErr w:type="spellEnd"/>
            <w:r>
              <w:rPr>
                <w:b/>
                <w:bCs/>
                <w:color w:val="000000"/>
                <w:sz w:val="20"/>
                <w:szCs w:val="20"/>
              </w:rPr>
              <w:t xml:space="preserve"> (FDR)</w:t>
            </w:r>
          </w:p>
        </w:tc>
        <w:tc>
          <w:tcPr>
            <w:tcW w:w="672" w:type="dxa"/>
            <w:tcBorders>
              <w:top w:val="single" w:sz="8" w:space="0" w:color="DDDDDD"/>
              <w:left w:val="nil"/>
              <w:bottom w:val="single" w:sz="8" w:space="0" w:color="DDDDDD"/>
              <w:right w:val="single" w:sz="8" w:space="0" w:color="DDDDDD"/>
            </w:tcBorders>
            <w:shd w:val="clear" w:color="auto" w:fill="F2F2F2"/>
            <w:vAlign w:val="center"/>
          </w:tcPr>
          <w:p w14:paraId="476DB668" w14:textId="77777777" w:rsidR="00097466" w:rsidRDefault="00000000">
            <w:pPr>
              <w:spacing w:before="0" w:after="0" w:line="240" w:lineRule="auto"/>
              <w:ind w:firstLine="204"/>
              <w:jc w:val="left"/>
              <w:rPr>
                <w:b/>
                <w:bCs/>
                <w:color w:val="000000"/>
                <w:sz w:val="20"/>
                <w:szCs w:val="20"/>
              </w:rPr>
            </w:pPr>
            <w:r>
              <w:rPr>
                <w:b/>
                <w:bCs/>
                <w:color w:val="000000"/>
                <w:sz w:val="20"/>
                <w:szCs w:val="20"/>
              </w:rPr>
              <w:t>Sig.</w:t>
            </w:r>
          </w:p>
        </w:tc>
      </w:tr>
      <w:tr w:rsidR="00097466" w14:paraId="442F4C73"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0B2A21CD" w14:textId="77777777" w:rsidR="00097466" w:rsidRDefault="00000000" w:rsidP="009271F4">
            <w:pPr>
              <w:spacing w:before="0" w:after="0" w:line="240" w:lineRule="auto"/>
              <w:jc w:val="left"/>
              <w:rPr>
                <w:b/>
                <w:bCs/>
                <w:color w:val="000000"/>
                <w:sz w:val="20"/>
                <w:szCs w:val="20"/>
              </w:rPr>
            </w:pPr>
            <w:r>
              <w:rPr>
                <w:b/>
                <w:bCs/>
                <w:color w:val="000000"/>
                <w:sz w:val="20"/>
                <w:szCs w:val="20"/>
              </w:rPr>
              <w:t>Características demográficas</w:t>
            </w:r>
          </w:p>
        </w:tc>
        <w:tc>
          <w:tcPr>
            <w:tcW w:w="680" w:type="dxa"/>
            <w:tcBorders>
              <w:top w:val="nil"/>
              <w:left w:val="nil"/>
              <w:bottom w:val="single" w:sz="8" w:space="0" w:color="DDDDDD"/>
              <w:right w:val="single" w:sz="8" w:space="0" w:color="DDDDDD"/>
            </w:tcBorders>
            <w:shd w:val="clear" w:color="auto" w:fill="auto"/>
            <w:vAlign w:val="center"/>
          </w:tcPr>
          <w:p w14:paraId="6A5F608E"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410" w:type="dxa"/>
            <w:tcBorders>
              <w:top w:val="nil"/>
              <w:left w:val="nil"/>
              <w:bottom w:val="single" w:sz="8" w:space="0" w:color="DDDDDD"/>
              <w:right w:val="single" w:sz="8" w:space="0" w:color="DDDDDD"/>
            </w:tcBorders>
            <w:shd w:val="clear" w:color="auto" w:fill="auto"/>
            <w:vAlign w:val="center"/>
          </w:tcPr>
          <w:p w14:paraId="6808126E"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115" w:type="dxa"/>
            <w:tcBorders>
              <w:top w:val="nil"/>
              <w:left w:val="nil"/>
              <w:bottom w:val="single" w:sz="8" w:space="0" w:color="DDDDDD"/>
              <w:right w:val="single" w:sz="8" w:space="0" w:color="DDDDDD"/>
            </w:tcBorders>
            <w:shd w:val="clear" w:color="auto" w:fill="auto"/>
            <w:vAlign w:val="center"/>
          </w:tcPr>
          <w:p w14:paraId="18B806EA"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341" w:type="dxa"/>
            <w:tcBorders>
              <w:top w:val="nil"/>
              <w:left w:val="nil"/>
              <w:bottom w:val="single" w:sz="8" w:space="0" w:color="DDDDDD"/>
              <w:right w:val="single" w:sz="8" w:space="0" w:color="DDDDDD"/>
            </w:tcBorders>
            <w:shd w:val="clear" w:color="auto" w:fill="auto"/>
            <w:vAlign w:val="center"/>
          </w:tcPr>
          <w:p w14:paraId="66EE09A2"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672" w:type="dxa"/>
            <w:tcBorders>
              <w:top w:val="nil"/>
              <w:left w:val="nil"/>
              <w:bottom w:val="single" w:sz="8" w:space="0" w:color="DDDDDD"/>
              <w:right w:val="single" w:sz="8" w:space="0" w:color="DDDDDD"/>
            </w:tcBorders>
            <w:shd w:val="clear" w:color="auto" w:fill="auto"/>
            <w:vAlign w:val="center"/>
          </w:tcPr>
          <w:p w14:paraId="54F488C2"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64E92A1F"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6594A6AD" w14:textId="77777777" w:rsidR="00097466" w:rsidRDefault="00000000" w:rsidP="009271F4">
            <w:pPr>
              <w:spacing w:before="0" w:after="0" w:line="240" w:lineRule="auto"/>
              <w:jc w:val="left"/>
              <w:rPr>
                <w:color w:val="000000"/>
                <w:sz w:val="20"/>
                <w:szCs w:val="20"/>
              </w:rPr>
            </w:pPr>
            <w:r>
              <w:rPr>
                <w:color w:val="000000"/>
                <w:sz w:val="20"/>
                <w:szCs w:val="20"/>
              </w:rPr>
              <w:t>Edad (años)</w:t>
            </w:r>
          </w:p>
        </w:tc>
        <w:tc>
          <w:tcPr>
            <w:tcW w:w="680" w:type="dxa"/>
            <w:tcBorders>
              <w:top w:val="nil"/>
              <w:left w:val="nil"/>
              <w:bottom w:val="single" w:sz="8" w:space="0" w:color="DDDDDD"/>
              <w:right w:val="single" w:sz="8" w:space="0" w:color="DDDDDD"/>
            </w:tcBorders>
            <w:shd w:val="clear" w:color="auto" w:fill="auto"/>
            <w:vAlign w:val="center"/>
          </w:tcPr>
          <w:p w14:paraId="12CB1EF4" w14:textId="77777777" w:rsidR="00097466" w:rsidRDefault="00000000">
            <w:pPr>
              <w:spacing w:before="0" w:after="0" w:line="240" w:lineRule="auto"/>
              <w:ind w:firstLine="200"/>
              <w:jc w:val="left"/>
              <w:rPr>
                <w:color w:val="000000"/>
                <w:sz w:val="20"/>
                <w:szCs w:val="20"/>
              </w:rPr>
            </w:pPr>
            <w:r>
              <w:rPr>
                <w:color w:val="000000"/>
                <w:sz w:val="20"/>
                <w:szCs w:val="20"/>
              </w:rPr>
              <w:t>251</w:t>
            </w:r>
          </w:p>
        </w:tc>
        <w:tc>
          <w:tcPr>
            <w:tcW w:w="1410" w:type="dxa"/>
            <w:tcBorders>
              <w:top w:val="nil"/>
              <w:left w:val="nil"/>
              <w:bottom w:val="single" w:sz="8" w:space="0" w:color="DDDDDD"/>
              <w:right w:val="single" w:sz="8" w:space="0" w:color="DDDDDD"/>
            </w:tcBorders>
            <w:shd w:val="clear" w:color="auto" w:fill="auto"/>
            <w:vAlign w:val="center"/>
          </w:tcPr>
          <w:p w14:paraId="156F43E5" w14:textId="77777777" w:rsidR="00097466" w:rsidRDefault="00000000">
            <w:pPr>
              <w:spacing w:before="0" w:after="0" w:line="240" w:lineRule="auto"/>
              <w:ind w:firstLine="200"/>
              <w:jc w:val="left"/>
              <w:rPr>
                <w:color w:val="000000"/>
                <w:sz w:val="20"/>
                <w:szCs w:val="20"/>
              </w:rPr>
            </w:pPr>
            <w:r>
              <w:rPr>
                <w:color w:val="000000"/>
                <w:sz w:val="20"/>
                <w:szCs w:val="20"/>
              </w:rPr>
              <w:t>−0,274</w:t>
            </w:r>
          </w:p>
        </w:tc>
        <w:tc>
          <w:tcPr>
            <w:tcW w:w="1115" w:type="dxa"/>
            <w:tcBorders>
              <w:top w:val="nil"/>
              <w:left w:val="nil"/>
              <w:bottom w:val="single" w:sz="8" w:space="0" w:color="DDDDDD"/>
              <w:right w:val="single" w:sz="8" w:space="0" w:color="DDDDDD"/>
            </w:tcBorders>
            <w:shd w:val="clear" w:color="auto" w:fill="auto"/>
            <w:vAlign w:val="center"/>
          </w:tcPr>
          <w:p w14:paraId="688C6614" w14:textId="77777777" w:rsidR="00097466" w:rsidRDefault="00000000">
            <w:pPr>
              <w:spacing w:before="0" w:after="0" w:line="240" w:lineRule="auto"/>
              <w:ind w:firstLine="200"/>
              <w:jc w:val="left"/>
              <w:rPr>
                <w:color w:val="000000"/>
                <w:sz w:val="20"/>
                <w:szCs w:val="20"/>
              </w:rPr>
            </w:pPr>
            <w:r>
              <w:rPr>
                <w:color w:val="000000"/>
                <w:sz w:val="20"/>
                <w:szCs w:val="20"/>
              </w:rPr>
              <w:t>1,08E-05</w:t>
            </w:r>
          </w:p>
        </w:tc>
        <w:tc>
          <w:tcPr>
            <w:tcW w:w="1341" w:type="dxa"/>
            <w:tcBorders>
              <w:top w:val="nil"/>
              <w:left w:val="nil"/>
              <w:bottom w:val="single" w:sz="8" w:space="0" w:color="DDDDDD"/>
              <w:right w:val="single" w:sz="8" w:space="0" w:color="DDDDDD"/>
            </w:tcBorders>
            <w:shd w:val="clear" w:color="auto" w:fill="auto"/>
            <w:vAlign w:val="center"/>
          </w:tcPr>
          <w:p w14:paraId="6D350ED0" w14:textId="77777777" w:rsidR="00097466" w:rsidRDefault="00000000">
            <w:pPr>
              <w:spacing w:before="0" w:after="0" w:line="240" w:lineRule="auto"/>
              <w:ind w:firstLine="200"/>
              <w:jc w:val="left"/>
              <w:rPr>
                <w:color w:val="000000"/>
                <w:sz w:val="20"/>
                <w:szCs w:val="20"/>
              </w:rPr>
            </w:pPr>
            <w:r>
              <w:rPr>
                <w:color w:val="000000"/>
                <w:sz w:val="20"/>
                <w:szCs w:val="20"/>
              </w:rPr>
              <w:t>1,00E-04</w:t>
            </w:r>
          </w:p>
        </w:tc>
        <w:tc>
          <w:tcPr>
            <w:tcW w:w="672" w:type="dxa"/>
            <w:tcBorders>
              <w:top w:val="nil"/>
              <w:left w:val="nil"/>
              <w:bottom w:val="single" w:sz="8" w:space="0" w:color="DDDDDD"/>
              <w:right w:val="single" w:sz="8" w:space="0" w:color="DDDDDD"/>
            </w:tcBorders>
            <w:shd w:val="clear" w:color="auto" w:fill="auto"/>
            <w:vAlign w:val="center"/>
          </w:tcPr>
          <w:p w14:paraId="278643F1" w14:textId="77777777" w:rsidR="00097466" w:rsidRDefault="00000000">
            <w:pPr>
              <w:spacing w:before="0" w:after="0" w:line="240" w:lineRule="auto"/>
              <w:ind w:firstLine="204"/>
              <w:jc w:val="left"/>
              <w:rPr>
                <w:b/>
                <w:bCs/>
                <w:color w:val="000000"/>
                <w:sz w:val="20"/>
                <w:szCs w:val="20"/>
              </w:rPr>
            </w:pPr>
            <w:r>
              <w:rPr>
                <w:b/>
                <w:bCs/>
                <w:color w:val="000000"/>
                <w:sz w:val="20"/>
                <w:szCs w:val="20"/>
              </w:rPr>
              <w:t>*</w:t>
            </w:r>
          </w:p>
        </w:tc>
      </w:tr>
      <w:tr w:rsidR="00097466" w14:paraId="6CA188D3"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6001E298" w14:textId="77777777" w:rsidR="00097466" w:rsidRDefault="00000000" w:rsidP="009271F4">
            <w:pPr>
              <w:spacing w:before="0" w:after="0" w:line="240" w:lineRule="auto"/>
              <w:jc w:val="left"/>
              <w:rPr>
                <w:color w:val="000000"/>
                <w:sz w:val="20"/>
                <w:szCs w:val="20"/>
              </w:rPr>
            </w:pPr>
            <w:r>
              <w:rPr>
                <w:color w:val="000000"/>
                <w:sz w:val="20"/>
                <w:szCs w:val="20"/>
              </w:rPr>
              <w:t>Duración enfermedad (años)</w:t>
            </w:r>
          </w:p>
        </w:tc>
        <w:tc>
          <w:tcPr>
            <w:tcW w:w="680" w:type="dxa"/>
            <w:tcBorders>
              <w:top w:val="nil"/>
              <w:left w:val="nil"/>
              <w:bottom w:val="single" w:sz="8" w:space="0" w:color="DDDDDD"/>
              <w:right w:val="single" w:sz="8" w:space="0" w:color="DDDDDD"/>
            </w:tcBorders>
            <w:shd w:val="clear" w:color="auto" w:fill="auto"/>
            <w:vAlign w:val="center"/>
          </w:tcPr>
          <w:p w14:paraId="435EBA4F" w14:textId="77777777" w:rsidR="00097466" w:rsidRDefault="00000000">
            <w:pPr>
              <w:spacing w:before="0" w:after="0" w:line="240" w:lineRule="auto"/>
              <w:ind w:firstLine="200"/>
              <w:jc w:val="left"/>
              <w:rPr>
                <w:color w:val="000000"/>
                <w:sz w:val="20"/>
                <w:szCs w:val="20"/>
              </w:rPr>
            </w:pPr>
            <w:r>
              <w:rPr>
                <w:color w:val="000000"/>
                <w:sz w:val="20"/>
                <w:szCs w:val="20"/>
              </w:rPr>
              <w:t>251</w:t>
            </w:r>
          </w:p>
        </w:tc>
        <w:tc>
          <w:tcPr>
            <w:tcW w:w="1410" w:type="dxa"/>
            <w:tcBorders>
              <w:top w:val="nil"/>
              <w:left w:val="nil"/>
              <w:bottom w:val="single" w:sz="8" w:space="0" w:color="DDDDDD"/>
              <w:right w:val="single" w:sz="8" w:space="0" w:color="DDDDDD"/>
            </w:tcBorders>
            <w:shd w:val="clear" w:color="auto" w:fill="auto"/>
            <w:vAlign w:val="center"/>
          </w:tcPr>
          <w:p w14:paraId="241E416B" w14:textId="77777777" w:rsidR="00097466" w:rsidRDefault="00000000">
            <w:pPr>
              <w:spacing w:before="0" w:after="0" w:line="240" w:lineRule="auto"/>
              <w:ind w:firstLine="200"/>
              <w:jc w:val="left"/>
              <w:rPr>
                <w:color w:val="000000"/>
                <w:sz w:val="20"/>
                <w:szCs w:val="20"/>
              </w:rPr>
            </w:pPr>
            <w:r>
              <w:rPr>
                <w:color w:val="000000"/>
                <w:sz w:val="20"/>
                <w:szCs w:val="20"/>
              </w:rPr>
              <w:t>0,041</w:t>
            </w:r>
          </w:p>
        </w:tc>
        <w:tc>
          <w:tcPr>
            <w:tcW w:w="1115" w:type="dxa"/>
            <w:tcBorders>
              <w:top w:val="nil"/>
              <w:left w:val="nil"/>
              <w:bottom w:val="single" w:sz="8" w:space="0" w:color="DDDDDD"/>
              <w:right w:val="single" w:sz="8" w:space="0" w:color="DDDDDD"/>
            </w:tcBorders>
            <w:shd w:val="clear" w:color="auto" w:fill="auto"/>
            <w:vAlign w:val="center"/>
          </w:tcPr>
          <w:p w14:paraId="37C05BBF" w14:textId="77777777" w:rsidR="00097466" w:rsidRDefault="00000000">
            <w:pPr>
              <w:spacing w:before="0" w:after="0" w:line="240" w:lineRule="auto"/>
              <w:ind w:firstLine="200"/>
              <w:jc w:val="left"/>
              <w:rPr>
                <w:color w:val="000000"/>
                <w:sz w:val="20"/>
                <w:szCs w:val="20"/>
              </w:rPr>
            </w:pPr>
            <w:r>
              <w:rPr>
                <w:color w:val="000000"/>
                <w:sz w:val="20"/>
                <w:szCs w:val="20"/>
              </w:rPr>
              <w:t>5,19E-01</w:t>
            </w:r>
          </w:p>
        </w:tc>
        <w:tc>
          <w:tcPr>
            <w:tcW w:w="1341" w:type="dxa"/>
            <w:tcBorders>
              <w:top w:val="nil"/>
              <w:left w:val="nil"/>
              <w:bottom w:val="single" w:sz="8" w:space="0" w:color="DDDDDD"/>
              <w:right w:val="single" w:sz="8" w:space="0" w:color="DDDDDD"/>
            </w:tcBorders>
            <w:shd w:val="clear" w:color="auto" w:fill="auto"/>
            <w:vAlign w:val="center"/>
          </w:tcPr>
          <w:p w14:paraId="698C78DD" w14:textId="77777777" w:rsidR="00097466" w:rsidRDefault="00000000">
            <w:pPr>
              <w:spacing w:before="0" w:after="0" w:line="240" w:lineRule="auto"/>
              <w:ind w:firstLine="200"/>
              <w:jc w:val="left"/>
              <w:rPr>
                <w:color w:val="000000"/>
                <w:sz w:val="20"/>
                <w:szCs w:val="20"/>
              </w:rPr>
            </w:pPr>
            <w:r>
              <w:rPr>
                <w:color w:val="000000"/>
                <w:sz w:val="20"/>
                <w:szCs w:val="20"/>
              </w:rPr>
              <w:t>6,40E-01</w:t>
            </w:r>
          </w:p>
        </w:tc>
        <w:tc>
          <w:tcPr>
            <w:tcW w:w="672" w:type="dxa"/>
            <w:tcBorders>
              <w:top w:val="nil"/>
              <w:left w:val="nil"/>
              <w:bottom w:val="single" w:sz="8" w:space="0" w:color="DDDDDD"/>
              <w:right w:val="single" w:sz="8" w:space="0" w:color="DDDDDD"/>
            </w:tcBorders>
            <w:shd w:val="clear" w:color="auto" w:fill="auto"/>
            <w:vAlign w:val="center"/>
          </w:tcPr>
          <w:p w14:paraId="4D05A541"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2A00CE72"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0C0AFB2B" w14:textId="77777777" w:rsidR="00097466" w:rsidRDefault="00000000" w:rsidP="009271F4">
            <w:pPr>
              <w:spacing w:before="0" w:after="0" w:line="240" w:lineRule="auto"/>
              <w:jc w:val="left"/>
              <w:rPr>
                <w:color w:val="000000"/>
                <w:sz w:val="20"/>
                <w:szCs w:val="20"/>
              </w:rPr>
            </w:pPr>
            <w:r>
              <w:rPr>
                <w:color w:val="000000"/>
                <w:sz w:val="20"/>
                <w:szCs w:val="20"/>
              </w:rPr>
              <w:t>Edad al diagnóstico (años)</w:t>
            </w:r>
          </w:p>
        </w:tc>
        <w:tc>
          <w:tcPr>
            <w:tcW w:w="680" w:type="dxa"/>
            <w:tcBorders>
              <w:top w:val="nil"/>
              <w:left w:val="nil"/>
              <w:bottom w:val="single" w:sz="8" w:space="0" w:color="DDDDDD"/>
              <w:right w:val="single" w:sz="8" w:space="0" w:color="DDDDDD"/>
            </w:tcBorders>
            <w:shd w:val="clear" w:color="auto" w:fill="auto"/>
            <w:vAlign w:val="center"/>
          </w:tcPr>
          <w:p w14:paraId="1C52657C" w14:textId="77777777" w:rsidR="00097466" w:rsidRDefault="00000000">
            <w:pPr>
              <w:spacing w:before="0" w:after="0" w:line="240" w:lineRule="auto"/>
              <w:ind w:firstLine="200"/>
              <w:jc w:val="left"/>
              <w:rPr>
                <w:color w:val="000000"/>
                <w:sz w:val="20"/>
                <w:szCs w:val="20"/>
              </w:rPr>
            </w:pPr>
            <w:r>
              <w:rPr>
                <w:color w:val="000000"/>
                <w:sz w:val="20"/>
                <w:szCs w:val="20"/>
              </w:rPr>
              <w:t>251</w:t>
            </w:r>
          </w:p>
        </w:tc>
        <w:tc>
          <w:tcPr>
            <w:tcW w:w="1410" w:type="dxa"/>
            <w:tcBorders>
              <w:top w:val="nil"/>
              <w:left w:val="nil"/>
              <w:bottom w:val="single" w:sz="8" w:space="0" w:color="DDDDDD"/>
              <w:right w:val="single" w:sz="8" w:space="0" w:color="DDDDDD"/>
            </w:tcBorders>
            <w:shd w:val="clear" w:color="auto" w:fill="auto"/>
            <w:vAlign w:val="center"/>
          </w:tcPr>
          <w:p w14:paraId="200BF6C1" w14:textId="77777777" w:rsidR="00097466" w:rsidRDefault="00000000">
            <w:pPr>
              <w:spacing w:before="0" w:after="0" w:line="240" w:lineRule="auto"/>
              <w:ind w:firstLine="200"/>
              <w:jc w:val="left"/>
              <w:rPr>
                <w:color w:val="000000"/>
                <w:sz w:val="20"/>
                <w:szCs w:val="20"/>
              </w:rPr>
            </w:pPr>
            <w:r>
              <w:rPr>
                <w:color w:val="000000"/>
                <w:sz w:val="20"/>
                <w:szCs w:val="20"/>
              </w:rPr>
              <w:t>−0,233</w:t>
            </w:r>
          </w:p>
        </w:tc>
        <w:tc>
          <w:tcPr>
            <w:tcW w:w="1115" w:type="dxa"/>
            <w:tcBorders>
              <w:top w:val="nil"/>
              <w:left w:val="nil"/>
              <w:bottom w:val="single" w:sz="8" w:space="0" w:color="DDDDDD"/>
              <w:right w:val="single" w:sz="8" w:space="0" w:color="DDDDDD"/>
            </w:tcBorders>
            <w:shd w:val="clear" w:color="auto" w:fill="auto"/>
            <w:vAlign w:val="center"/>
          </w:tcPr>
          <w:p w14:paraId="06060024" w14:textId="77777777" w:rsidR="00097466" w:rsidRDefault="00000000">
            <w:pPr>
              <w:spacing w:before="0" w:after="0" w:line="240" w:lineRule="auto"/>
              <w:ind w:firstLine="200"/>
              <w:jc w:val="left"/>
              <w:rPr>
                <w:color w:val="000000"/>
                <w:sz w:val="20"/>
                <w:szCs w:val="20"/>
              </w:rPr>
            </w:pPr>
            <w:r>
              <w:rPr>
                <w:color w:val="000000"/>
                <w:sz w:val="20"/>
                <w:szCs w:val="20"/>
              </w:rPr>
              <w:t>2,01E-04</w:t>
            </w:r>
          </w:p>
        </w:tc>
        <w:tc>
          <w:tcPr>
            <w:tcW w:w="1341" w:type="dxa"/>
            <w:tcBorders>
              <w:top w:val="nil"/>
              <w:left w:val="nil"/>
              <w:bottom w:val="single" w:sz="8" w:space="0" w:color="DDDDDD"/>
              <w:right w:val="single" w:sz="8" w:space="0" w:color="DDDDDD"/>
            </w:tcBorders>
            <w:shd w:val="clear" w:color="auto" w:fill="auto"/>
            <w:vAlign w:val="center"/>
          </w:tcPr>
          <w:p w14:paraId="2F401722" w14:textId="77777777" w:rsidR="00097466" w:rsidRDefault="00000000">
            <w:pPr>
              <w:spacing w:before="0" w:after="0" w:line="240" w:lineRule="auto"/>
              <w:ind w:firstLine="200"/>
              <w:jc w:val="left"/>
              <w:rPr>
                <w:color w:val="000000"/>
                <w:sz w:val="20"/>
                <w:szCs w:val="20"/>
              </w:rPr>
            </w:pPr>
            <w:r>
              <w:rPr>
                <w:color w:val="000000"/>
                <w:sz w:val="20"/>
                <w:szCs w:val="20"/>
              </w:rPr>
              <w:t>1,49E-03</w:t>
            </w:r>
          </w:p>
        </w:tc>
        <w:tc>
          <w:tcPr>
            <w:tcW w:w="672" w:type="dxa"/>
            <w:tcBorders>
              <w:top w:val="nil"/>
              <w:left w:val="nil"/>
              <w:bottom w:val="single" w:sz="8" w:space="0" w:color="DDDDDD"/>
              <w:right w:val="single" w:sz="8" w:space="0" w:color="DDDDDD"/>
            </w:tcBorders>
            <w:shd w:val="clear" w:color="auto" w:fill="auto"/>
            <w:vAlign w:val="center"/>
          </w:tcPr>
          <w:p w14:paraId="48C433B7" w14:textId="77777777" w:rsidR="00097466" w:rsidRDefault="00000000">
            <w:pPr>
              <w:spacing w:before="0" w:after="0" w:line="240" w:lineRule="auto"/>
              <w:ind w:firstLine="200"/>
              <w:jc w:val="left"/>
              <w:rPr>
                <w:color w:val="000000"/>
                <w:sz w:val="20"/>
                <w:szCs w:val="20"/>
              </w:rPr>
            </w:pPr>
            <w:r>
              <w:rPr>
                <w:color w:val="000000"/>
                <w:sz w:val="20"/>
                <w:szCs w:val="20"/>
              </w:rPr>
              <w:t>**</w:t>
            </w:r>
          </w:p>
        </w:tc>
      </w:tr>
      <w:tr w:rsidR="00097466" w14:paraId="3C4874FB"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7BFCB285" w14:textId="77777777" w:rsidR="00097466" w:rsidRDefault="00000000" w:rsidP="009271F4">
            <w:pPr>
              <w:spacing w:before="0" w:after="0" w:line="240" w:lineRule="auto"/>
              <w:jc w:val="left"/>
              <w:rPr>
                <w:b/>
                <w:bCs/>
                <w:color w:val="000000"/>
                <w:sz w:val="20"/>
                <w:szCs w:val="20"/>
              </w:rPr>
            </w:pPr>
            <w:r>
              <w:rPr>
                <w:b/>
                <w:bCs/>
                <w:color w:val="000000"/>
                <w:sz w:val="20"/>
                <w:szCs w:val="20"/>
              </w:rPr>
              <w:t>Índices de actividad y daño</w:t>
            </w:r>
          </w:p>
        </w:tc>
        <w:tc>
          <w:tcPr>
            <w:tcW w:w="680" w:type="dxa"/>
            <w:tcBorders>
              <w:top w:val="nil"/>
              <w:left w:val="nil"/>
              <w:bottom w:val="single" w:sz="8" w:space="0" w:color="DDDDDD"/>
              <w:right w:val="single" w:sz="8" w:space="0" w:color="DDDDDD"/>
            </w:tcBorders>
            <w:shd w:val="clear" w:color="auto" w:fill="auto"/>
            <w:vAlign w:val="center"/>
          </w:tcPr>
          <w:p w14:paraId="2859809E"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410" w:type="dxa"/>
            <w:tcBorders>
              <w:top w:val="nil"/>
              <w:left w:val="nil"/>
              <w:bottom w:val="single" w:sz="8" w:space="0" w:color="DDDDDD"/>
              <w:right w:val="single" w:sz="8" w:space="0" w:color="DDDDDD"/>
            </w:tcBorders>
            <w:shd w:val="clear" w:color="auto" w:fill="auto"/>
            <w:vAlign w:val="center"/>
          </w:tcPr>
          <w:p w14:paraId="0CA8013F"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115" w:type="dxa"/>
            <w:tcBorders>
              <w:top w:val="nil"/>
              <w:left w:val="nil"/>
              <w:bottom w:val="single" w:sz="8" w:space="0" w:color="DDDDDD"/>
              <w:right w:val="single" w:sz="8" w:space="0" w:color="DDDDDD"/>
            </w:tcBorders>
            <w:shd w:val="clear" w:color="auto" w:fill="auto"/>
            <w:vAlign w:val="center"/>
          </w:tcPr>
          <w:p w14:paraId="24448B2E"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341" w:type="dxa"/>
            <w:tcBorders>
              <w:top w:val="nil"/>
              <w:left w:val="nil"/>
              <w:bottom w:val="single" w:sz="8" w:space="0" w:color="DDDDDD"/>
              <w:right w:val="single" w:sz="8" w:space="0" w:color="DDDDDD"/>
            </w:tcBorders>
            <w:shd w:val="clear" w:color="auto" w:fill="auto"/>
            <w:vAlign w:val="center"/>
          </w:tcPr>
          <w:p w14:paraId="749C2D83"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672" w:type="dxa"/>
            <w:tcBorders>
              <w:top w:val="nil"/>
              <w:left w:val="nil"/>
              <w:bottom w:val="single" w:sz="8" w:space="0" w:color="DDDDDD"/>
              <w:right w:val="single" w:sz="8" w:space="0" w:color="DDDDDD"/>
            </w:tcBorders>
            <w:shd w:val="clear" w:color="auto" w:fill="auto"/>
            <w:vAlign w:val="center"/>
          </w:tcPr>
          <w:p w14:paraId="268AF792"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1D0BEC88"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42BC8BF6" w14:textId="77777777" w:rsidR="00097466" w:rsidRDefault="00000000" w:rsidP="009271F4">
            <w:pPr>
              <w:spacing w:before="0" w:after="0" w:line="240" w:lineRule="auto"/>
              <w:jc w:val="left"/>
              <w:rPr>
                <w:color w:val="000000"/>
                <w:sz w:val="20"/>
                <w:szCs w:val="20"/>
              </w:rPr>
            </w:pPr>
            <w:r>
              <w:rPr>
                <w:color w:val="000000"/>
                <w:sz w:val="20"/>
                <w:szCs w:val="20"/>
              </w:rPr>
              <w:t>SLEDAI-2K</w:t>
            </w:r>
          </w:p>
        </w:tc>
        <w:tc>
          <w:tcPr>
            <w:tcW w:w="680" w:type="dxa"/>
            <w:tcBorders>
              <w:top w:val="nil"/>
              <w:left w:val="nil"/>
              <w:bottom w:val="single" w:sz="8" w:space="0" w:color="DDDDDD"/>
              <w:right w:val="single" w:sz="8" w:space="0" w:color="DDDDDD"/>
            </w:tcBorders>
            <w:shd w:val="clear" w:color="auto" w:fill="auto"/>
            <w:vAlign w:val="center"/>
          </w:tcPr>
          <w:p w14:paraId="565240D8" w14:textId="77777777" w:rsidR="00097466" w:rsidRDefault="00000000">
            <w:pPr>
              <w:spacing w:before="0" w:after="0" w:line="240" w:lineRule="auto"/>
              <w:ind w:firstLine="200"/>
              <w:jc w:val="left"/>
              <w:rPr>
                <w:color w:val="000000"/>
                <w:sz w:val="20"/>
                <w:szCs w:val="20"/>
              </w:rPr>
            </w:pPr>
            <w:r>
              <w:rPr>
                <w:color w:val="000000"/>
                <w:sz w:val="20"/>
                <w:szCs w:val="20"/>
              </w:rPr>
              <w:t>251</w:t>
            </w:r>
          </w:p>
        </w:tc>
        <w:tc>
          <w:tcPr>
            <w:tcW w:w="1410" w:type="dxa"/>
            <w:tcBorders>
              <w:top w:val="nil"/>
              <w:left w:val="nil"/>
              <w:bottom w:val="single" w:sz="8" w:space="0" w:color="DDDDDD"/>
              <w:right w:val="single" w:sz="8" w:space="0" w:color="DDDDDD"/>
            </w:tcBorders>
            <w:shd w:val="clear" w:color="auto" w:fill="auto"/>
            <w:vAlign w:val="center"/>
          </w:tcPr>
          <w:p w14:paraId="2C8E8E90" w14:textId="77777777" w:rsidR="00097466" w:rsidRDefault="00000000">
            <w:pPr>
              <w:spacing w:before="0" w:after="0" w:line="240" w:lineRule="auto"/>
              <w:ind w:firstLine="200"/>
              <w:jc w:val="left"/>
              <w:rPr>
                <w:color w:val="000000"/>
                <w:sz w:val="20"/>
                <w:szCs w:val="20"/>
              </w:rPr>
            </w:pPr>
            <w:r>
              <w:rPr>
                <w:color w:val="000000"/>
                <w:sz w:val="20"/>
                <w:szCs w:val="20"/>
              </w:rPr>
              <w:t>0,182</w:t>
            </w:r>
          </w:p>
        </w:tc>
        <w:tc>
          <w:tcPr>
            <w:tcW w:w="1115" w:type="dxa"/>
            <w:tcBorders>
              <w:top w:val="nil"/>
              <w:left w:val="nil"/>
              <w:bottom w:val="single" w:sz="8" w:space="0" w:color="DDDDDD"/>
              <w:right w:val="single" w:sz="8" w:space="0" w:color="DDDDDD"/>
            </w:tcBorders>
            <w:shd w:val="clear" w:color="auto" w:fill="auto"/>
            <w:vAlign w:val="center"/>
          </w:tcPr>
          <w:p w14:paraId="73FFF9F5" w14:textId="77777777" w:rsidR="00097466" w:rsidRDefault="00000000">
            <w:pPr>
              <w:spacing w:before="0" w:after="0" w:line="240" w:lineRule="auto"/>
              <w:ind w:firstLine="200"/>
              <w:jc w:val="left"/>
              <w:rPr>
                <w:color w:val="000000"/>
                <w:sz w:val="20"/>
                <w:szCs w:val="20"/>
              </w:rPr>
            </w:pPr>
            <w:r>
              <w:rPr>
                <w:color w:val="000000"/>
                <w:sz w:val="20"/>
                <w:szCs w:val="20"/>
              </w:rPr>
              <w:t>3,80E-03</w:t>
            </w:r>
          </w:p>
        </w:tc>
        <w:tc>
          <w:tcPr>
            <w:tcW w:w="1341" w:type="dxa"/>
            <w:tcBorders>
              <w:top w:val="nil"/>
              <w:left w:val="nil"/>
              <w:bottom w:val="single" w:sz="8" w:space="0" w:color="DDDDDD"/>
              <w:right w:val="single" w:sz="8" w:space="0" w:color="DDDDDD"/>
            </w:tcBorders>
            <w:shd w:val="clear" w:color="auto" w:fill="auto"/>
            <w:vAlign w:val="center"/>
          </w:tcPr>
          <w:p w14:paraId="3E252F6E" w14:textId="77777777" w:rsidR="00097466" w:rsidRDefault="00000000">
            <w:pPr>
              <w:spacing w:before="0" w:after="0" w:line="240" w:lineRule="auto"/>
              <w:ind w:firstLine="200"/>
              <w:jc w:val="left"/>
              <w:rPr>
                <w:color w:val="000000"/>
                <w:sz w:val="20"/>
                <w:szCs w:val="20"/>
              </w:rPr>
            </w:pPr>
            <w:r>
              <w:rPr>
                <w:color w:val="000000"/>
                <w:sz w:val="20"/>
                <w:szCs w:val="20"/>
              </w:rPr>
              <w:t>1,56E-02</w:t>
            </w:r>
          </w:p>
        </w:tc>
        <w:tc>
          <w:tcPr>
            <w:tcW w:w="672" w:type="dxa"/>
            <w:tcBorders>
              <w:top w:val="nil"/>
              <w:left w:val="nil"/>
              <w:bottom w:val="single" w:sz="8" w:space="0" w:color="DDDDDD"/>
              <w:right w:val="single" w:sz="8" w:space="0" w:color="DDDDDD"/>
            </w:tcBorders>
            <w:shd w:val="clear" w:color="auto" w:fill="auto"/>
            <w:vAlign w:val="center"/>
          </w:tcPr>
          <w:p w14:paraId="33995984" w14:textId="77777777" w:rsidR="00097466" w:rsidRDefault="00000000">
            <w:pPr>
              <w:spacing w:before="0" w:after="0" w:line="240" w:lineRule="auto"/>
              <w:ind w:firstLine="200"/>
              <w:jc w:val="left"/>
              <w:rPr>
                <w:color w:val="000000"/>
                <w:sz w:val="20"/>
                <w:szCs w:val="20"/>
              </w:rPr>
            </w:pPr>
            <w:r>
              <w:rPr>
                <w:color w:val="000000"/>
                <w:sz w:val="20"/>
                <w:szCs w:val="20"/>
              </w:rPr>
              <w:t>*</w:t>
            </w:r>
          </w:p>
        </w:tc>
      </w:tr>
      <w:tr w:rsidR="00097466" w14:paraId="2A308698"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6D7DCD22" w14:textId="77777777" w:rsidR="00097466" w:rsidRDefault="00000000" w:rsidP="009271F4">
            <w:pPr>
              <w:spacing w:before="0" w:after="0" w:line="240" w:lineRule="auto"/>
              <w:jc w:val="left"/>
              <w:rPr>
                <w:color w:val="000000"/>
                <w:sz w:val="20"/>
                <w:szCs w:val="20"/>
              </w:rPr>
            </w:pPr>
            <w:r>
              <w:rPr>
                <w:color w:val="000000"/>
                <w:sz w:val="20"/>
                <w:szCs w:val="20"/>
              </w:rPr>
              <w:t>SLE-DAS</w:t>
            </w:r>
          </w:p>
        </w:tc>
        <w:tc>
          <w:tcPr>
            <w:tcW w:w="680" w:type="dxa"/>
            <w:tcBorders>
              <w:top w:val="nil"/>
              <w:left w:val="nil"/>
              <w:bottom w:val="single" w:sz="8" w:space="0" w:color="DDDDDD"/>
              <w:right w:val="single" w:sz="8" w:space="0" w:color="DDDDDD"/>
            </w:tcBorders>
            <w:shd w:val="clear" w:color="auto" w:fill="auto"/>
            <w:vAlign w:val="center"/>
          </w:tcPr>
          <w:p w14:paraId="0E33863E" w14:textId="77777777" w:rsidR="00097466" w:rsidRDefault="00000000">
            <w:pPr>
              <w:spacing w:before="0" w:after="0" w:line="240" w:lineRule="auto"/>
              <w:ind w:firstLine="200"/>
              <w:jc w:val="left"/>
              <w:rPr>
                <w:color w:val="000000"/>
                <w:sz w:val="20"/>
                <w:szCs w:val="20"/>
              </w:rPr>
            </w:pPr>
            <w:r>
              <w:rPr>
                <w:color w:val="000000"/>
                <w:sz w:val="20"/>
                <w:szCs w:val="20"/>
              </w:rPr>
              <w:t>251</w:t>
            </w:r>
          </w:p>
        </w:tc>
        <w:tc>
          <w:tcPr>
            <w:tcW w:w="1410" w:type="dxa"/>
            <w:tcBorders>
              <w:top w:val="nil"/>
              <w:left w:val="nil"/>
              <w:bottom w:val="single" w:sz="8" w:space="0" w:color="DDDDDD"/>
              <w:right w:val="single" w:sz="8" w:space="0" w:color="DDDDDD"/>
            </w:tcBorders>
            <w:shd w:val="clear" w:color="auto" w:fill="auto"/>
            <w:vAlign w:val="center"/>
          </w:tcPr>
          <w:p w14:paraId="69B1B9C9" w14:textId="77777777" w:rsidR="00097466" w:rsidRDefault="00000000">
            <w:pPr>
              <w:spacing w:before="0" w:after="0" w:line="240" w:lineRule="auto"/>
              <w:ind w:firstLine="200"/>
              <w:jc w:val="left"/>
              <w:rPr>
                <w:color w:val="000000"/>
                <w:sz w:val="20"/>
                <w:szCs w:val="20"/>
              </w:rPr>
            </w:pPr>
            <w:r>
              <w:rPr>
                <w:color w:val="000000"/>
                <w:sz w:val="20"/>
                <w:szCs w:val="20"/>
              </w:rPr>
              <w:t>0,196</w:t>
            </w:r>
          </w:p>
        </w:tc>
        <w:tc>
          <w:tcPr>
            <w:tcW w:w="1115" w:type="dxa"/>
            <w:tcBorders>
              <w:top w:val="nil"/>
              <w:left w:val="nil"/>
              <w:bottom w:val="single" w:sz="8" w:space="0" w:color="DDDDDD"/>
              <w:right w:val="single" w:sz="8" w:space="0" w:color="DDDDDD"/>
            </w:tcBorders>
            <w:shd w:val="clear" w:color="auto" w:fill="auto"/>
            <w:vAlign w:val="center"/>
          </w:tcPr>
          <w:p w14:paraId="623135E0" w14:textId="77777777" w:rsidR="00097466" w:rsidRDefault="00000000">
            <w:pPr>
              <w:spacing w:before="0" w:after="0" w:line="240" w:lineRule="auto"/>
              <w:ind w:firstLine="200"/>
              <w:jc w:val="left"/>
              <w:rPr>
                <w:color w:val="000000"/>
                <w:sz w:val="20"/>
                <w:szCs w:val="20"/>
              </w:rPr>
            </w:pPr>
            <w:r>
              <w:rPr>
                <w:color w:val="000000"/>
                <w:sz w:val="20"/>
                <w:szCs w:val="20"/>
              </w:rPr>
              <w:t>1,80E-03</w:t>
            </w:r>
          </w:p>
        </w:tc>
        <w:tc>
          <w:tcPr>
            <w:tcW w:w="1341" w:type="dxa"/>
            <w:tcBorders>
              <w:top w:val="nil"/>
              <w:left w:val="nil"/>
              <w:bottom w:val="single" w:sz="8" w:space="0" w:color="DDDDDD"/>
              <w:right w:val="single" w:sz="8" w:space="0" w:color="DDDDDD"/>
            </w:tcBorders>
            <w:shd w:val="clear" w:color="auto" w:fill="auto"/>
            <w:vAlign w:val="center"/>
          </w:tcPr>
          <w:p w14:paraId="14ECB4C2" w14:textId="77777777" w:rsidR="00097466" w:rsidRDefault="00000000">
            <w:pPr>
              <w:spacing w:before="0" w:after="0" w:line="240" w:lineRule="auto"/>
              <w:ind w:firstLine="200"/>
              <w:jc w:val="left"/>
              <w:rPr>
                <w:color w:val="000000"/>
                <w:sz w:val="20"/>
                <w:szCs w:val="20"/>
              </w:rPr>
            </w:pPr>
            <w:r>
              <w:rPr>
                <w:color w:val="000000"/>
                <w:sz w:val="20"/>
                <w:szCs w:val="20"/>
              </w:rPr>
              <w:t>8,32E-03</w:t>
            </w:r>
          </w:p>
        </w:tc>
        <w:tc>
          <w:tcPr>
            <w:tcW w:w="672" w:type="dxa"/>
            <w:tcBorders>
              <w:top w:val="nil"/>
              <w:left w:val="nil"/>
              <w:bottom w:val="single" w:sz="8" w:space="0" w:color="DDDDDD"/>
              <w:right w:val="single" w:sz="8" w:space="0" w:color="DDDDDD"/>
            </w:tcBorders>
            <w:shd w:val="clear" w:color="auto" w:fill="auto"/>
            <w:vAlign w:val="center"/>
          </w:tcPr>
          <w:p w14:paraId="57DF3CE8" w14:textId="77777777" w:rsidR="00097466" w:rsidRDefault="00000000">
            <w:pPr>
              <w:spacing w:before="0" w:after="0" w:line="240" w:lineRule="auto"/>
              <w:ind w:firstLine="200"/>
              <w:jc w:val="left"/>
              <w:rPr>
                <w:color w:val="000000"/>
                <w:sz w:val="20"/>
                <w:szCs w:val="20"/>
              </w:rPr>
            </w:pPr>
            <w:r>
              <w:rPr>
                <w:color w:val="000000"/>
                <w:sz w:val="20"/>
                <w:szCs w:val="20"/>
              </w:rPr>
              <w:t>**</w:t>
            </w:r>
          </w:p>
        </w:tc>
      </w:tr>
      <w:tr w:rsidR="00097466" w14:paraId="326D21CE"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22A847CB" w14:textId="77777777" w:rsidR="00097466" w:rsidRDefault="00000000" w:rsidP="009271F4">
            <w:pPr>
              <w:spacing w:before="0" w:after="0" w:line="240" w:lineRule="auto"/>
              <w:jc w:val="left"/>
              <w:rPr>
                <w:color w:val="000000"/>
                <w:sz w:val="20"/>
                <w:szCs w:val="20"/>
              </w:rPr>
            </w:pPr>
            <w:r>
              <w:rPr>
                <w:color w:val="000000"/>
                <w:sz w:val="20"/>
                <w:szCs w:val="20"/>
              </w:rPr>
              <w:t>SLICC-DI</w:t>
            </w:r>
          </w:p>
        </w:tc>
        <w:tc>
          <w:tcPr>
            <w:tcW w:w="680" w:type="dxa"/>
            <w:tcBorders>
              <w:top w:val="nil"/>
              <w:left w:val="nil"/>
              <w:bottom w:val="single" w:sz="8" w:space="0" w:color="DDDDDD"/>
              <w:right w:val="single" w:sz="8" w:space="0" w:color="DDDDDD"/>
            </w:tcBorders>
            <w:shd w:val="clear" w:color="auto" w:fill="auto"/>
            <w:vAlign w:val="center"/>
          </w:tcPr>
          <w:p w14:paraId="2CD6F0AB" w14:textId="77777777" w:rsidR="00097466" w:rsidRDefault="00000000">
            <w:pPr>
              <w:spacing w:before="0" w:after="0" w:line="240" w:lineRule="auto"/>
              <w:ind w:firstLine="200"/>
              <w:jc w:val="left"/>
              <w:rPr>
                <w:color w:val="000000"/>
                <w:sz w:val="20"/>
                <w:szCs w:val="20"/>
              </w:rPr>
            </w:pPr>
            <w:r>
              <w:rPr>
                <w:color w:val="000000"/>
                <w:sz w:val="20"/>
                <w:szCs w:val="20"/>
              </w:rPr>
              <w:t>251</w:t>
            </w:r>
          </w:p>
        </w:tc>
        <w:tc>
          <w:tcPr>
            <w:tcW w:w="1410" w:type="dxa"/>
            <w:tcBorders>
              <w:top w:val="nil"/>
              <w:left w:val="nil"/>
              <w:bottom w:val="single" w:sz="8" w:space="0" w:color="DDDDDD"/>
              <w:right w:val="single" w:sz="8" w:space="0" w:color="DDDDDD"/>
            </w:tcBorders>
            <w:shd w:val="clear" w:color="auto" w:fill="auto"/>
            <w:vAlign w:val="center"/>
          </w:tcPr>
          <w:p w14:paraId="4CDB9342" w14:textId="77777777" w:rsidR="00097466" w:rsidRDefault="00000000">
            <w:pPr>
              <w:spacing w:before="0" w:after="0" w:line="240" w:lineRule="auto"/>
              <w:ind w:firstLine="200"/>
              <w:jc w:val="left"/>
              <w:rPr>
                <w:color w:val="000000"/>
                <w:sz w:val="20"/>
                <w:szCs w:val="20"/>
              </w:rPr>
            </w:pPr>
            <w:r>
              <w:rPr>
                <w:color w:val="000000"/>
                <w:sz w:val="20"/>
                <w:szCs w:val="20"/>
              </w:rPr>
              <w:t>0,129</w:t>
            </w:r>
          </w:p>
        </w:tc>
        <w:tc>
          <w:tcPr>
            <w:tcW w:w="1115" w:type="dxa"/>
            <w:tcBorders>
              <w:top w:val="nil"/>
              <w:left w:val="nil"/>
              <w:bottom w:val="single" w:sz="8" w:space="0" w:color="DDDDDD"/>
              <w:right w:val="single" w:sz="8" w:space="0" w:color="DDDDDD"/>
            </w:tcBorders>
            <w:shd w:val="clear" w:color="auto" w:fill="auto"/>
            <w:vAlign w:val="center"/>
          </w:tcPr>
          <w:p w14:paraId="1EAD1B3A" w14:textId="77777777" w:rsidR="00097466" w:rsidRDefault="00000000">
            <w:pPr>
              <w:spacing w:before="0" w:after="0" w:line="240" w:lineRule="auto"/>
              <w:ind w:firstLine="200"/>
              <w:jc w:val="left"/>
              <w:rPr>
                <w:color w:val="000000"/>
                <w:sz w:val="20"/>
                <w:szCs w:val="20"/>
              </w:rPr>
            </w:pPr>
            <w:r>
              <w:rPr>
                <w:color w:val="000000"/>
                <w:sz w:val="20"/>
                <w:szCs w:val="20"/>
              </w:rPr>
              <w:t>4,12E-02</w:t>
            </w:r>
          </w:p>
        </w:tc>
        <w:tc>
          <w:tcPr>
            <w:tcW w:w="1341" w:type="dxa"/>
            <w:tcBorders>
              <w:top w:val="nil"/>
              <w:left w:val="nil"/>
              <w:bottom w:val="single" w:sz="8" w:space="0" w:color="DDDDDD"/>
              <w:right w:val="single" w:sz="8" w:space="0" w:color="DDDDDD"/>
            </w:tcBorders>
            <w:shd w:val="clear" w:color="auto" w:fill="auto"/>
            <w:vAlign w:val="center"/>
          </w:tcPr>
          <w:p w14:paraId="71FA4826" w14:textId="77777777" w:rsidR="00097466" w:rsidRDefault="00000000">
            <w:pPr>
              <w:spacing w:before="0" w:after="0" w:line="240" w:lineRule="auto"/>
              <w:ind w:firstLine="200"/>
              <w:jc w:val="left"/>
              <w:rPr>
                <w:color w:val="000000"/>
                <w:sz w:val="20"/>
                <w:szCs w:val="20"/>
              </w:rPr>
            </w:pPr>
            <w:r>
              <w:rPr>
                <w:color w:val="000000"/>
                <w:sz w:val="20"/>
                <w:szCs w:val="20"/>
              </w:rPr>
              <w:t>1,36E-01</w:t>
            </w:r>
          </w:p>
        </w:tc>
        <w:tc>
          <w:tcPr>
            <w:tcW w:w="672" w:type="dxa"/>
            <w:tcBorders>
              <w:top w:val="nil"/>
              <w:left w:val="nil"/>
              <w:bottom w:val="single" w:sz="8" w:space="0" w:color="DDDDDD"/>
              <w:right w:val="single" w:sz="8" w:space="0" w:color="DDDDDD"/>
            </w:tcBorders>
            <w:shd w:val="clear" w:color="auto" w:fill="auto"/>
            <w:vAlign w:val="center"/>
          </w:tcPr>
          <w:p w14:paraId="29AECFF8"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2E5B5D97"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1FB6A4F8" w14:textId="77777777" w:rsidR="00097466" w:rsidRDefault="00000000" w:rsidP="009271F4">
            <w:pPr>
              <w:spacing w:before="0" w:after="0" w:line="240" w:lineRule="auto"/>
              <w:jc w:val="left"/>
              <w:rPr>
                <w:b/>
                <w:bCs/>
                <w:color w:val="000000"/>
                <w:sz w:val="20"/>
                <w:szCs w:val="20"/>
              </w:rPr>
            </w:pPr>
            <w:r>
              <w:rPr>
                <w:b/>
                <w:bCs/>
                <w:color w:val="000000"/>
                <w:sz w:val="20"/>
                <w:szCs w:val="20"/>
              </w:rPr>
              <w:t>Analítica general</w:t>
            </w:r>
          </w:p>
        </w:tc>
        <w:tc>
          <w:tcPr>
            <w:tcW w:w="680" w:type="dxa"/>
            <w:tcBorders>
              <w:top w:val="nil"/>
              <w:left w:val="nil"/>
              <w:bottom w:val="single" w:sz="8" w:space="0" w:color="DDDDDD"/>
              <w:right w:val="single" w:sz="8" w:space="0" w:color="DDDDDD"/>
            </w:tcBorders>
            <w:shd w:val="clear" w:color="auto" w:fill="auto"/>
            <w:vAlign w:val="center"/>
          </w:tcPr>
          <w:p w14:paraId="3CE37C5C"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410" w:type="dxa"/>
            <w:tcBorders>
              <w:top w:val="nil"/>
              <w:left w:val="nil"/>
              <w:bottom w:val="single" w:sz="8" w:space="0" w:color="DDDDDD"/>
              <w:right w:val="single" w:sz="8" w:space="0" w:color="DDDDDD"/>
            </w:tcBorders>
            <w:shd w:val="clear" w:color="auto" w:fill="auto"/>
            <w:vAlign w:val="center"/>
          </w:tcPr>
          <w:p w14:paraId="7E26AD16"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115" w:type="dxa"/>
            <w:tcBorders>
              <w:top w:val="nil"/>
              <w:left w:val="nil"/>
              <w:bottom w:val="single" w:sz="8" w:space="0" w:color="DDDDDD"/>
              <w:right w:val="single" w:sz="8" w:space="0" w:color="DDDDDD"/>
            </w:tcBorders>
            <w:shd w:val="clear" w:color="auto" w:fill="auto"/>
            <w:vAlign w:val="center"/>
          </w:tcPr>
          <w:p w14:paraId="2CCB12C3"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341" w:type="dxa"/>
            <w:tcBorders>
              <w:top w:val="nil"/>
              <w:left w:val="nil"/>
              <w:bottom w:val="single" w:sz="8" w:space="0" w:color="DDDDDD"/>
              <w:right w:val="single" w:sz="8" w:space="0" w:color="DDDDDD"/>
            </w:tcBorders>
            <w:shd w:val="clear" w:color="auto" w:fill="auto"/>
            <w:vAlign w:val="center"/>
          </w:tcPr>
          <w:p w14:paraId="059BA0BB"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672" w:type="dxa"/>
            <w:tcBorders>
              <w:top w:val="nil"/>
              <w:left w:val="nil"/>
              <w:bottom w:val="single" w:sz="8" w:space="0" w:color="DDDDDD"/>
              <w:right w:val="single" w:sz="8" w:space="0" w:color="DDDDDD"/>
            </w:tcBorders>
            <w:shd w:val="clear" w:color="auto" w:fill="auto"/>
            <w:vAlign w:val="center"/>
          </w:tcPr>
          <w:p w14:paraId="3E71C9E6"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5448C5C3"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022225F4" w14:textId="77777777" w:rsidR="00097466" w:rsidRDefault="00000000" w:rsidP="009271F4">
            <w:pPr>
              <w:spacing w:before="0" w:after="0" w:line="240" w:lineRule="auto"/>
              <w:jc w:val="left"/>
              <w:rPr>
                <w:color w:val="000000"/>
                <w:sz w:val="20"/>
                <w:szCs w:val="20"/>
              </w:rPr>
            </w:pPr>
            <w:r>
              <w:rPr>
                <w:color w:val="000000"/>
                <w:sz w:val="20"/>
                <w:szCs w:val="20"/>
              </w:rPr>
              <w:t>PCR (mg/L)</w:t>
            </w:r>
          </w:p>
        </w:tc>
        <w:tc>
          <w:tcPr>
            <w:tcW w:w="680" w:type="dxa"/>
            <w:tcBorders>
              <w:top w:val="nil"/>
              <w:left w:val="nil"/>
              <w:bottom w:val="single" w:sz="8" w:space="0" w:color="DDDDDD"/>
              <w:right w:val="single" w:sz="8" w:space="0" w:color="DDDDDD"/>
            </w:tcBorders>
            <w:shd w:val="clear" w:color="auto" w:fill="auto"/>
            <w:vAlign w:val="center"/>
          </w:tcPr>
          <w:p w14:paraId="7316A8AD"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4751E70A" w14:textId="77777777" w:rsidR="00097466" w:rsidRDefault="00000000">
            <w:pPr>
              <w:spacing w:before="0" w:after="0" w:line="240" w:lineRule="auto"/>
              <w:ind w:firstLine="200"/>
              <w:jc w:val="left"/>
              <w:rPr>
                <w:color w:val="000000"/>
                <w:sz w:val="20"/>
                <w:szCs w:val="20"/>
              </w:rPr>
            </w:pPr>
            <w:r>
              <w:rPr>
                <w:color w:val="000000"/>
                <w:sz w:val="20"/>
                <w:szCs w:val="20"/>
              </w:rPr>
              <w:t>0,126</w:t>
            </w:r>
          </w:p>
        </w:tc>
        <w:tc>
          <w:tcPr>
            <w:tcW w:w="1115" w:type="dxa"/>
            <w:tcBorders>
              <w:top w:val="nil"/>
              <w:left w:val="nil"/>
              <w:bottom w:val="single" w:sz="8" w:space="0" w:color="DDDDDD"/>
              <w:right w:val="single" w:sz="8" w:space="0" w:color="DDDDDD"/>
            </w:tcBorders>
            <w:shd w:val="clear" w:color="auto" w:fill="auto"/>
            <w:vAlign w:val="center"/>
          </w:tcPr>
          <w:p w14:paraId="2C1954A8" w14:textId="77777777" w:rsidR="00097466" w:rsidRDefault="00000000">
            <w:pPr>
              <w:spacing w:before="0" w:after="0" w:line="240" w:lineRule="auto"/>
              <w:ind w:firstLine="200"/>
              <w:jc w:val="left"/>
              <w:rPr>
                <w:color w:val="000000"/>
                <w:sz w:val="20"/>
                <w:szCs w:val="20"/>
              </w:rPr>
            </w:pPr>
            <w:r>
              <w:rPr>
                <w:color w:val="000000"/>
                <w:sz w:val="20"/>
                <w:szCs w:val="20"/>
              </w:rPr>
              <w:t>4,79E-02</w:t>
            </w:r>
          </w:p>
        </w:tc>
        <w:tc>
          <w:tcPr>
            <w:tcW w:w="1341" w:type="dxa"/>
            <w:tcBorders>
              <w:top w:val="nil"/>
              <w:left w:val="nil"/>
              <w:bottom w:val="single" w:sz="8" w:space="0" w:color="DDDDDD"/>
              <w:right w:val="single" w:sz="8" w:space="0" w:color="DDDDDD"/>
            </w:tcBorders>
            <w:shd w:val="clear" w:color="auto" w:fill="auto"/>
            <w:vAlign w:val="center"/>
          </w:tcPr>
          <w:p w14:paraId="62D18BB1" w14:textId="77777777" w:rsidR="00097466" w:rsidRDefault="00000000">
            <w:pPr>
              <w:spacing w:before="0" w:after="0" w:line="240" w:lineRule="auto"/>
              <w:ind w:firstLine="200"/>
              <w:jc w:val="left"/>
              <w:rPr>
                <w:color w:val="000000"/>
                <w:sz w:val="20"/>
                <w:szCs w:val="20"/>
              </w:rPr>
            </w:pPr>
            <w:r>
              <w:rPr>
                <w:color w:val="000000"/>
                <w:sz w:val="20"/>
                <w:szCs w:val="20"/>
              </w:rPr>
              <w:t>1,36E-01</w:t>
            </w:r>
          </w:p>
        </w:tc>
        <w:tc>
          <w:tcPr>
            <w:tcW w:w="672" w:type="dxa"/>
            <w:tcBorders>
              <w:top w:val="nil"/>
              <w:left w:val="nil"/>
              <w:bottom w:val="single" w:sz="8" w:space="0" w:color="DDDDDD"/>
              <w:right w:val="single" w:sz="8" w:space="0" w:color="DDDDDD"/>
            </w:tcBorders>
            <w:shd w:val="clear" w:color="auto" w:fill="auto"/>
            <w:vAlign w:val="center"/>
          </w:tcPr>
          <w:p w14:paraId="1BE8FD43"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292A54F2"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06D79C31" w14:textId="77777777" w:rsidR="00097466" w:rsidRDefault="00000000" w:rsidP="009271F4">
            <w:pPr>
              <w:spacing w:before="0" w:after="0" w:line="240" w:lineRule="auto"/>
              <w:jc w:val="left"/>
              <w:rPr>
                <w:color w:val="000000"/>
                <w:sz w:val="20"/>
                <w:szCs w:val="20"/>
              </w:rPr>
            </w:pPr>
            <w:r>
              <w:rPr>
                <w:color w:val="000000"/>
                <w:sz w:val="20"/>
                <w:szCs w:val="20"/>
              </w:rPr>
              <w:t>Creatinina (mg/</w:t>
            </w:r>
            <w:proofErr w:type="spellStart"/>
            <w:r>
              <w:rPr>
                <w:color w:val="000000"/>
                <w:sz w:val="20"/>
                <w:szCs w:val="20"/>
              </w:rPr>
              <w:t>dL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188FA8D1"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5A4C296C" w14:textId="77777777" w:rsidR="00097466" w:rsidRDefault="00000000">
            <w:pPr>
              <w:spacing w:before="0" w:after="0" w:line="240" w:lineRule="auto"/>
              <w:ind w:firstLine="200"/>
              <w:jc w:val="left"/>
              <w:rPr>
                <w:color w:val="000000"/>
                <w:sz w:val="20"/>
                <w:szCs w:val="20"/>
              </w:rPr>
            </w:pPr>
            <w:r>
              <w:rPr>
                <w:color w:val="000000"/>
                <w:sz w:val="20"/>
                <w:szCs w:val="20"/>
              </w:rPr>
              <w:t>−0,043</w:t>
            </w:r>
          </w:p>
        </w:tc>
        <w:tc>
          <w:tcPr>
            <w:tcW w:w="1115" w:type="dxa"/>
            <w:tcBorders>
              <w:top w:val="nil"/>
              <w:left w:val="nil"/>
              <w:bottom w:val="single" w:sz="8" w:space="0" w:color="DDDDDD"/>
              <w:right w:val="single" w:sz="8" w:space="0" w:color="DDDDDD"/>
            </w:tcBorders>
            <w:shd w:val="clear" w:color="auto" w:fill="auto"/>
            <w:vAlign w:val="center"/>
          </w:tcPr>
          <w:p w14:paraId="36DE09B9" w14:textId="77777777" w:rsidR="00097466" w:rsidRDefault="00000000">
            <w:pPr>
              <w:spacing w:before="0" w:after="0" w:line="240" w:lineRule="auto"/>
              <w:ind w:firstLine="200"/>
              <w:jc w:val="left"/>
              <w:rPr>
                <w:color w:val="000000"/>
                <w:sz w:val="20"/>
                <w:szCs w:val="20"/>
              </w:rPr>
            </w:pPr>
            <w:r>
              <w:rPr>
                <w:color w:val="000000"/>
                <w:sz w:val="20"/>
                <w:szCs w:val="20"/>
              </w:rPr>
              <w:t>4,99E-01</w:t>
            </w:r>
          </w:p>
        </w:tc>
        <w:tc>
          <w:tcPr>
            <w:tcW w:w="1341" w:type="dxa"/>
            <w:tcBorders>
              <w:top w:val="nil"/>
              <w:left w:val="nil"/>
              <w:bottom w:val="single" w:sz="8" w:space="0" w:color="DDDDDD"/>
              <w:right w:val="single" w:sz="8" w:space="0" w:color="DDDDDD"/>
            </w:tcBorders>
            <w:shd w:val="clear" w:color="auto" w:fill="auto"/>
            <w:vAlign w:val="center"/>
          </w:tcPr>
          <w:p w14:paraId="7F27D0D9" w14:textId="77777777" w:rsidR="00097466" w:rsidRDefault="00000000">
            <w:pPr>
              <w:spacing w:before="0" w:after="0" w:line="240" w:lineRule="auto"/>
              <w:ind w:firstLine="200"/>
              <w:jc w:val="left"/>
              <w:rPr>
                <w:color w:val="000000"/>
                <w:sz w:val="20"/>
                <w:szCs w:val="20"/>
              </w:rPr>
            </w:pPr>
            <w:r>
              <w:rPr>
                <w:color w:val="000000"/>
                <w:sz w:val="20"/>
                <w:szCs w:val="20"/>
              </w:rPr>
              <w:t>6,40E-01</w:t>
            </w:r>
          </w:p>
        </w:tc>
        <w:tc>
          <w:tcPr>
            <w:tcW w:w="672" w:type="dxa"/>
            <w:tcBorders>
              <w:top w:val="nil"/>
              <w:left w:val="nil"/>
              <w:bottom w:val="single" w:sz="8" w:space="0" w:color="DDDDDD"/>
              <w:right w:val="single" w:sz="8" w:space="0" w:color="DDDDDD"/>
            </w:tcBorders>
            <w:shd w:val="clear" w:color="auto" w:fill="auto"/>
            <w:vAlign w:val="center"/>
          </w:tcPr>
          <w:p w14:paraId="35842273"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0E109ED2"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5809801C" w14:textId="77777777" w:rsidR="00097466" w:rsidRDefault="00000000" w:rsidP="009271F4">
            <w:pPr>
              <w:spacing w:before="0" w:after="0" w:line="240" w:lineRule="auto"/>
              <w:jc w:val="left"/>
              <w:rPr>
                <w:b/>
                <w:bCs/>
                <w:color w:val="000000"/>
                <w:sz w:val="20"/>
                <w:szCs w:val="20"/>
              </w:rPr>
            </w:pPr>
            <w:r>
              <w:rPr>
                <w:b/>
                <w:bCs/>
                <w:color w:val="000000"/>
                <w:sz w:val="20"/>
                <w:szCs w:val="20"/>
              </w:rPr>
              <w:t>Perfil lipídico</w:t>
            </w:r>
          </w:p>
        </w:tc>
        <w:tc>
          <w:tcPr>
            <w:tcW w:w="680" w:type="dxa"/>
            <w:tcBorders>
              <w:top w:val="nil"/>
              <w:left w:val="nil"/>
              <w:bottom w:val="single" w:sz="8" w:space="0" w:color="DDDDDD"/>
              <w:right w:val="single" w:sz="8" w:space="0" w:color="DDDDDD"/>
            </w:tcBorders>
            <w:shd w:val="clear" w:color="auto" w:fill="auto"/>
            <w:vAlign w:val="center"/>
          </w:tcPr>
          <w:p w14:paraId="7F8494D9"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410" w:type="dxa"/>
            <w:tcBorders>
              <w:top w:val="nil"/>
              <w:left w:val="nil"/>
              <w:bottom w:val="single" w:sz="8" w:space="0" w:color="DDDDDD"/>
              <w:right w:val="single" w:sz="8" w:space="0" w:color="DDDDDD"/>
            </w:tcBorders>
            <w:shd w:val="clear" w:color="auto" w:fill="auto"/>
            <w:vAlign w:val="center"/>
          </w:tcPr>
          <w:p w14:paraId="1C4F5181"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115" w:type="dxa"/>
            <w:tcBorders>
              <w:top w:val="nil"/>
              <w:left w:val="nil"/>
              <w:bottom w:val="single" w:sz="8" w:space="0" w:color="DDDDDD"/>
              <w:right w:val="single" w:sz="8" w:space="0" w:color="DDDDDD"/>
            </w:tcBorders>
            <w:shd w:val="clear" w:color="auto" w:fill="auto"/>
            <w:vAlign w:val="center"/>
          </w:tcPr>
          <w:p w14:paraId="29F68154"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341" w:type="dxa"/>
            <w:tcBorders>
              <w:top w:val="nil"/>
              <w:left w:val="nil"/>
              <w:bottom w:val="single" w:sz="8" w:space="0" w:color="DDDDDD"/>
              <w:right w:val="single" w:sz="8" w:space="0" w:color="DDDDDD"/>
            </w:tcBorders>
            <w:shd w:val="clear" w:color="auto" w:fill="auto"/>
            <w:vAlign w:val="center"/>
          </w:tcPr>
          <w:p w14:paraId="70CC4795"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672" w:type="dxa"/>
            <w:tcBorders>
              <w:top w:val="nil"/>
              <w:left w:val="nil"/>
              <w:bottom w:val="single" w:sz="8" w:space="0" w:color="DDDDDD"/>
              <w:right w:val="single" w:sz="8" w:space="0" w:color="DDDDDD"/>
            </w:tcBorders>
            <w:shd w:val="clear" w:color="auto" w:fill="auto"/>
            <w:vAlign w:val="center"/>
          </w:tcPr>
          <w:p w14:paraId="67E317B0"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2BEA4E6D"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2EA996A3" w14:textId="77777777" w:rsidR="00097466" w:rsidRDefault="00000000" w:rsidP="009271F4">
            <w:pPr>
              <w:spacing w:before="0" w:after="0" w:line="240" w:lineRule="auto"/>
              <w:jc w:val="left"/>
              <w:rPr>
                <w:color w:val="000000"/>
                <w:sz w:val="20"/>
                <w:szCs w:val="20"/>
              </w:rPr>
            </w:pPr>
            <w:r>
              <w:rPr>
                <w:color w:val="000000"/>
                <w:sz w:val="20"/>
                <w:szCs w:val="20"/>
              </w:rPr>
              <w:t>Colesterol total (mg/</w:t>
            </w:r>
            <w:proofErr w:type="spellStart"/>
            <w:r>
              <w:rPr>
                <w:color w:val="000000"/>
                <w:sz w:val="20"/>
                <w:szCs w:val="20"/>
              </w:rPr>
              <w:t>dL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3B04B578"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3EB296A8" w14:textId="77777777" w:rsidR="00097466" w:rsidRDefault="00000000">
            <w:pPr>
              <w:spacing w:before="0" w:after="0" w:line="240" w:lineRule="auto"/>
              <w:ind w:firstLine="200"/>
              <w:jc w:val="left"/>
              <w:rPr>
                <w:color w:val="000000"/>
                <w:sz w:val="20"/>
                <w:szCs w:val="20"/>
              </w:rPr>
            </w:pPr>
            <w:r>
              <w:rPr>
                <w:color w:val="000000"/>
                <w:sz w:val="20"/>
                <w:szCs w:val="20"/>
              </w:rPr>
              <w:t>−0,090</w:t>
            </w:r>
          </w:p>
        </w:tc>
        <w:tc>
          <w:tcPr>
            <w:tcW w:w="1115" w:type="dxa"/>
            <w:tcBorders>
              <w:top w:val="nil"/>
              <w:left w:val="nil"/>
              <w:bottom w:val="single" w:sz="8" w:space="0" w:color="DDDDDD"/>
              <w:right w:val="single" w:sz="8" w:space="0" w:color="DDDDDD"/>
            </w:tcBorders>
            <w:shd w:val="clear" w:color="auto" w:fill="auto"/>
            <w:vAlign w:val="center"/>
          </w:tcPr>
          <w:p w14:paraId="644A919B" w14:textId="77777777" w:rsidR="00097466" w:rsidRDefault="00000000">
            <w:pPr>
              <w:spacing w:before="0" w:after="0" w:line="240" w:lineRule="auto"/>
              <w:ind w:firstLine="200"/>
              <w:jc w:val="left"/>
              <w:rPr>
                <w:color w:val="000000"/>
                <w:sz w:val="20"/>
                <w:szCs w:val="20"/>
              </w:rPr>
            </w:pPr>
            <w:r>
              <w:rPr>
                <w:color w:val="000000"/>
                <w:sz w:val="20"/>
                <w:szCs w:val="20"/>
              </w:rPr>
              <w:t>1,59E-01</w:t>
            </w:r>
          </w:p>
        </w:tc>
        <w:tc>
          <w:tcPr>
            <w:tcW w:w="1341" w:type="dxa"/>
            <w:tcBorders>
              <w:top w:val="nil"/>
              <w:left w:val="nil"/>
              <w:bottom w:val="single" w:sz="8" w:space="0" w:color="DDDDDD"/>
              <w:right w:val="single" w:sz="8" w:space="0" w:color="DDDDDD"/>
            </w:tcBorders>
            <w:shd w:val="clear" w:color="auto" w:fill="auto"/>
            <w:vAlign w:val="center"/>
          </w:tcPr>
          <w:p w14:paraId="1BC0DAB3" w14:textId="77777777" w:rsidR="00097466" w:rsidRDefault="00000000">
            <w:pPr>
              <w:spacing w:before="0" w:after="0" w:line="240" w:lineRule="auto"/>
              <w:ind w:firstLine="200"/>
              <w:jc w:val="left"/>
              <w:rPr>
                <w:color w:val="000000"/>
                <w:sz w:val="20"/>
                <w:szCs w:val="20"/>
              </w:rPr>
            </w:pPr>
            <w:r>
              <w:rPr>
                <w:color w:val="000000"/>
                <w:sz w:val="20"/>
                <w:szCs w:val="20"/>
              </w:rPr>
              <w:t>3,46E-01</w:t>
            </w:r>
          </w:p>
        </w:tc>
        <w:tc>
          <w:tcPr>
            <w:tcW w:w="672" w:type="dxa"/>
            <w:tcBorders>
              <w:top w:val="nil"/>
              <w:left w:val="nil"/>
              <w:bottom w:val="single" w:sz="8" w:space="0" w:color="DDDDDD"/>
              <w:right w:val="single" w:sz="8" w:space="0" w:color="DDDDDD"/>
            </w:tcBorders>
            <w:shd w:val="clear" w:color="auto" w:fill="auto"/>
            <w:vAlign w:val="center"/>
          </w:tcPr>
          <w:p w14:paraId="5092D460"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02674C71"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56CF867C" w14:textId="77777777" w:rsidR="00097466" w:rsidRDefault="00000000" w:rsidP="009271F4">
            <w:pPr>
              <w:spacing w:before="0" w:after="0" w:line="240" w:lineRule="auto"/>
              <w:jc w:val="left"/>
              <w:rPr>
                <w:color w:val="000000"/>
                <w:sz w:val="20"/>
                <w:szCs w:val="20"/>
              </w:rPr>
            </w:pPr>
            <w:r>
              <w:rPr>
                <w:color w:val="000000"/>
                <w:sz w:val="20"/>
                <w:szCs w:val="20"/>
              </w:rPr>
              <w:t>Triglicéridos (mg/</w:t>
            </w:r>
            <w:proofErr w:type="spellStart"/>
            <w:r>
              <w:rPr>
                <w:color w:val="000000"/>
                <w:sz w:val="20"/>
                <w:szCs w:val="20"/>
              </w:rPr>
              <w:t>dL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7267298C"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7AB1CC47" w14:textId="77777777" w:rsidR="00097466" w:rsidRDefault="00000000">
            <w:pPr>
              <w:spacing w:before="0" w:after="0" w:line="240" w:lineRule="auto"/>
              <w:ind w:firstLine="200"/>
              <w:jc w:val="left"/>
              <w:rPr>
                <w:color w:val="000000"/>
                <w:sz w:val="20"/>
                <w:szCs w:val="20"/>
              </w:rPr>
            </w:pPr>
            <w:r>
              <w:rPr>
                <w:color w:val="000000"/>
                <w:sz w:val="20"/>
                <w:szCs w:val="20"/>
              </w:rPr>
              <w:t>0,078</w:t>
            </w:r>
          </w:p>
        </w:tc>
        <w:tc>
          <w:tcPr>
            <w:tcW w:w="1115" w:type="dxa"/>
            <w:tcBorders>
              <w:top w:val="nil"/>
              <w:left w:val="nil"/>
              <w:bottom w:val="single" w:sz="8" w:space="0" w:color="DDDDDD"/>
              <w:right w:val="single" w:sz="8" w:space="0" w:color="DDDDDD"/>
            </w:tcBorders>
            <w:shd w:val="clear" w:color="auto" w:fill="auto"/>
            <w:vAlign w:val="center"/>
          </w:tcPr>
          <w:p w14:paraId="11F6B9B4" w14:textId="77777777" w:rsidR="00097466" w:rsidRDefault="00000000">
            <w:pPr>
              <w:spacing w:before="0" w:after="0" w:line="240" w:lineRule="auto"/>
              <w:ind w:firstLine="200"/>
              <w:jc w:val="left"/>
              <w:rPr>
                <w:color w:val="000000"/>
                <w:sz w:val="20"/>
                <w:szCs w:val="20"/>
              </w:rPr>
            </w:pPr>
            <w:r>
              <w:rPr>
                <w:color w:val="000000"/>
                <w:sz w:val="20"/>
                <w:szCs w:val="20"/>
              </w:rPr>
              <w:t>2,23E-01</w:t>
            </w:r>
          </w:p>
        </w:tc>
        <w:tc>
          <w:tcPr>
            <w:tcW w:w="1341" w:type="dxa"/>
            <w:tcBorders>
              <w:top w:val="nil"/>
              <w:left w:val="nil"/>
              <w:bottom w:val="single" w:sz="8" w:space="0" w:color="DDDDDD"/>
              <w:right w:val="single" w:sz="8" w:space="0" w:color="DDDDDD"/>
            </w:tcBorders>
            <w:shd w:val="clear" w:color="auto" w:fill="auto"/>
            <w:vAlign w:val="center"/>
          </w:tcPr>
          <w:p w14:paraId="413EF63F" w14:textId="77777777" w:rsidR="00097466" w:rsidRDefault="00000000">
            <w:pPr>
              <w:spacing w:before="0" w:after="0" w:line="240" w:lineRule="auto"/>
              <w:ind w:firstLine="200"/>
              <w:jc w:val="left"/>
              <w:rPr>
                <w:color w:val="000000"/>
                <w:sz w:val="20"/>
                <w:szCs w:val="20"/>
              </w:rPr>
            </w:pPr>
            <w:r>
              <w:rPr>
                <w:color w:val="000000"/>
                <w:sz w:val="20"/>
                <w:szCs w:val="20"/>
              </w:rPr>
              <w:t>4,02E-01</w:t>
            </w:r>
          </w:p>
        </w:tc>
        <w:tc>
          <w:tcPr>
            <w:tcW w:w="672" w:type="dxa"/>
            <w:tcBorders>
              <w:top w:val="nil"/>
              <w:left w:val="nil"/>
              <w:bottom w:val="single" w:sz="8" w:space="0" w:color="DDDDDD"/>
              <w:right w:val="single" w:sz="8" w:space="0" w:color="DDDDDD"/>
            </w:tcBorders>
            <w:shd w:val="clear" w:color="auto" w:fill="auto"/>
            <w:vAlign w:val="center"/>
          </w:tcPr>
          <w:p w14:paraId="2779B025"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7563F5AA"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4FEC4C17" w14:textId="77777777" w:rsidR="00097466" w:rsidRDefault="00000000" w:rsidP="009271F4">
            <w:pPr>
              <w:spacing w:before="0" w:after="0" w:line="240" w:lineRule="auto"/>
              <w:jc w:val="left"/>
              <w:rPr>
                <w:color w:val="000000"/>
                <w:sz w:val="20"/>
                <w:szCs w:val="20"/>
              </w:rPr>
            </w:pPr>
            <w:r>
              <w:rPr>
                <w:color w:val="000000"/>
                <w:sz w:val="20"/>
                <w:szCs w:val="20"/>
              </w:rPr>
              <w:t>HDL (mg/</w:t>
            </w:r>
            <w:proofErr w:type="spellStart"/>
            <w:r>
              <w:rPr>
                <w:color w:val="000000"/>
                <w:sz w:val="20"/>
                <w:szCs w:val="20"/>
              </w:rPr>
              <w:t>dL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372FDB4F"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41FD4515" w14:textId="77777777" w:rsidR="00097466" w:rsidRDefault="00000000">
            <w:pPr>
              <w:spacing w:before="0" w:after="0" w:line="240" w:lineRule="auto"/>
              <w:ind w:firstLine="200"/>
              <w:jc w:val="left"/>
              <w:rPr>
                <w:color w:val="000000"/>
                <w:sz w:val="20"/>
                <w:szCs w:val="20"/>
              </w:rPr>
            </w:pPr>
            <w:r>
              <w:rPr>
                <w:color w:val="000000"/>
                <w:sz w:val="20"/>
                <w:szCs w:val="20"/>
              </w:rPr>
              <w:t>−0,229</w:t>
            </w:r>
          </w:p>
        </w:tc>
        <w:tc>
          <w:tcPr>
            <w:tcW w:w="1115" w:type="dxa"/>
            <w:tcBorders>
              <w:top w:val="nil"/>
              <w:left w:val="nil"/>
              <w:bottom w:val="single" w:sz="8" w:space="0" w:color="DDDDDD"/>
              <w:right w:val="single" w:sz="8" w:space="0" w:color="DDDDDD"/>
            </w:tcBorders>
            <w:shd w:val="clear" w:color="auto" w:fill="auto"/>
            <w:vAlign w:val="center"/>
          </w:tcPr>
          <w:p w14:paraId="2C50193C" w14:textId="77777777" w:rsidR="00097466" w:rsidRDefault="00000000">
            <w:pPr>
              <w:spacing w:before="0" w:after="0" w:line="240" w:lineRule="auto"/>
              <w:ind w:firstLine="200"/>
              <w:jc w:val="left"/>
              <w:rPr>
                <w:color w:val="000000"/>
                <w:sz w:val="20"/>
                <w:szCs w:val="20"/>
              </w:rPr>
            </w:pPr>
            <w:r>
              <w:rPr>
                <w:color w:val="000000"/>
                <w:sz w:val="20"/>
                <w:szCs w:val="20"/>
              </w:rPr>
              <w:t>2,87E-04</w:t>
            </w:r>
          </w:p>
        </w:tc>
        <w:tc>
          <w:tcPr>
            <w:tcW w:w="1341" w:type="dxa"/>
            <w:tcBorders>
              <w:top w:val="nil"/>
              <w:left w:val="nil"/>
              <w:bottom w:val="single" w:sz="8" w:space="0" w:color="DDDDDD"/>
              <w:right w:val="single" w:sz="8" w:space="0" w:color="DDDDDD"/>
            </w:tcBorders>
            <w:shd w:val="clear" w:color="auto" w:fill="auto"/>
            <w:vAlign w:val="center"/>
          </w:tcPr>
          <w:p w14:paraId="17E4EE23" w14:textId="77777777" w:rsidR="00097466" w:rsidRDefault="00000000">
            <w:pPr>
              <w:spacing w:before="0" w:after="0" w:line="240" w:lineRule="auto"/>
              <w:ind w:firstLine="200"/>
              <w:jc w:val="left"/>
              <w:rPr>
                <w:color w:val="000000"/>
                <w:sz w:val="20"/>
                <w:szCs w:val="20"/>
              </w:rPr>
            </w:pPr>
            <w:r>
              <w:rPr>
                <w:color w:val="000000"/>
                <w:sz w:val="20"/>
                <w:szCs w:val="20"/>
              </w:rPr>
              <w:t>1,77E-03</w:t>
            </w:r>
          </w:p>
        </w:tc>
        <w:tc>
          <w:tcPr>
            <w:tcW w:w="672" w:type="dxa"/>
            <w:tcBorders>
              <w:top w:val="nil"/>
              <w:left w:val="nil"/>
              <w:bottom w:val="single" w:sz="8" w:space="0" w:color="DDDDDD"/>
              <w:right w:val="single" w:sz="8" w:space="0" w:color="DDDDDD"/>
            </w:tcBorders>
            <w:shd w:val="clear" w:color="auto" w:fill="auto"/>
            <w:vAlign w:val="center"/>
          </w:tcPr>
          <w:p w14:paraId="4490784D" w14:textId="77777777" w:rsidR="00097466" w:rsidRDefault="00000000">
            <w:pPr>
              <w:spacing w:before="0" w:after="0" w:line="240" w:lineRule="auto"/>
              <w:ind w:firstLine="200"/>
              <w:jc w:val="left"/>
              <w:rPr>
                <w:color w:val="000000"/>
                <w:sz w:val="20"/>
                <w:szCs w:val="20"/>
              </w:rPr>
            </w:pPr>
            <w:r>
              <w:rPr>
                <w:color w:val="000000"/>
                <w:sz w:val="20"/>
                <w:szCs w:val="20"/>
              </w:rPr>
              <w:t>**</w:t>
            </w:r>
          </w:p>
        </w:tc>
      </w:tr>
      <w:tr w:rsidR="00097466" w14:paraId="77B58BF0"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16D476D8" w14:textId="77777777" w:rsidR="00097466" w:rsidRDefault="00000000" w:rsidP="009271F4">
            <w:pPr>
              <w:spacing w:before="0" w:after="0" w:line="240" w:lineRule="auto"/>
              <w:jc w:val="left"/>
              <w:rPr>
                <w:color w:val="000000"/>
                <w:sz w:val="20"/>
                <w:szCs w:val="20"/>
              </w:rPr>
            </w:pPr>
            <w:r>
              <w:rPr>
                <w:color w:val="000000"/>
                <w:sz w:val="20"/>
                <w:szCs w:val="20"/>
              </w:rPr>
              <w:t>LDL (mg/</w:t>
            </w:r>
            <w:proofErr w:type="spellStart"/>
            <w:r>
              <w:rPr>
                <w:color w:val="000000"/>
                <w:sz w:val="20"/>
                <w:szCs w:val="20"/>
              </w:rPr>
              <w:t>dL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6FDFE826"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7BD9F608" w14:textId="77777777" w:rsidR="00097466" w:rsidRDefault="00000000">
            <w:pPr>
              <w:spacing w:before="0" w:after="0" w:line="240" w:lineRule="auto"/>
              <w:ind w:firstLine="200"/>
              <w:jc w:val="left"/>
              <w:rPr>
                <w:color w:val="000000"/>
                <w:sz w:val="20"/>
                <w:szCs w:val="20"/>
              </w:rPr>
            </w:pPr>
            <w:r>
              <w:rPr>
                <w:color w:val="000000"/>
                <w:sz w:val="20"/>
                <w:szCs w:val="20"/>
              </w:rPr>
              <w:t>−0,046</w:t>
            </w:r>
          </w:p>
        </w:tc>
        <w:tc>
          <w:tcPr>
            <w:tcW w:w="1115" w:type="dxa"/>
            <w:tcBorders>
              <w:top w:val="nil"/>
              <w:left w:val="nil"/>
              <w:bottom w:val="single" w:sz="8" w:space="0" w:color="DDDDDD"/>
              <w:right w:val="single" w:sz="8" w:space="0" w:color="DDDDDD"/>
            </w:tcBorders>
            <w:shd w:val="clear" w:color="auto" w:fill="auto"/>
            <w:vAlign w:val="center"/>
          </w:tcPr>
          <w:p w14:paraId="73C09766" w14:textId="77777777" w:rsidR="00097466" w:rsidRDefault="00000000">
            <w:pPr>
              <w:spacing w:before="0" w:after="0" w:line="240" w:lineRule="auto"/>
              <w:ind w:firstLine="200"/>
              <w:jc w:val="left"/>
              <w:rPr>
                <w:color w:val="000000"/>
                <w:sz w:val="20"/>
                <w:szCs w:val="20"/>
              </w:rPr>
            </w:pPr>
            <w:r>
              <w:rPr>
                <w:color w:val="000000"/>
                <w:sz w:val="20"/>
                <w:szCs w:val="20"/>
              </w:rPr>
              <w:t>4,69E-01</w:t>
            </w:r>
          </w:p>
        </w:tc>
        <w:tc>
          <w:tcPr>
            <w:tcW w:w="1341" w:type="dxa"/>
            <w:tcBorders>
              <w:top w:val="nil"/>
              <w:left w:val="nil"/>
              <w:bottom w:val="single" w:sz="8" w:space="0" w:color="DDDDDD"/>
              <w:right w:val="single" w:sz="8" w:space="0" w:color="DDDDDD"/>
            </w:tcBorders>
            <w:shd w:val="clear" w:color="auto" w:fill="auto"/>
            <w:vAlign w:val="center"/>
          </w:tcPr>
          <w:p w14:paraId="3E7D260E" w14:textId="77777777" w:rsidR="00097466" w:rsidRDefault="00000000">
            <w:pPr>
              <w:spacing w:before="0" w:after="0" w:line="240" w:lineRule="auto"/>
              <w:ind w:firstLine="200"/>
              <w:jc w:val="left"/>
              <w:rPr>
                <w:color w:val="000000"/>
                <w:sz w:val="20"/>
                <w:szCs w:val="20"/>
              </w:rPr>
            </w:pPr>
            <w:r>
              <w:rPr>
                <w:color w:val="000000"/>
                <w:sz w:val="20"/>
                <w:szCs w:val="20"/>
              </w:rPr>
              <w:t>6,40E-01</w:t>
            </w:r>
          </w:p>
        </w:tc>
        <w:tc>
          <w:tcPr>
            <w:tcW w:w="672" w:type="dxa"/>
            <w:tcBorders>
              <w:top w:val="nil"/>
              <w:left w:val="nil"/>
              <w:bottom w:val="single" w:sz="8" w:space="0" w:color="DDDDDD"/>
              <w:right w:val="single" w:sz="8" w:space="0" w:color="DDDDDD"/>
            </w:tcBorders>
            <w:shd w:val="clear" w:color="auto" w:fill="auto"/>
            <w:vAlign w:val="center"/>
          </w:tcPr>
          <w:p w14:paraId="6229C69E"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2E748D05"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0AC66FA6" w14:textId="77777777" w:rsidR="00097466" w:rsidRDefault="00000000" w:rsidP="009271F4">
            <w:pPr>
              <w:spacing w:before="0" w:after="0" w:line="240" w:lineRule="auto"/>
              <w:jc w:val="left"/>
              <w:rPr>
                <w:color w:val="000000"/>
                <w:sz w:val="20"/>
                <w:szCs w:val="20"/>
              </w:rPr>
            </w:pPr>
            <w:r>
              <w:rPr>
                <w:color w:val="000000"/>
                <w:sz w:val="20"/>
                <w:szCs w:val="20"/>
              </w:rPr>
              <w:t>Apo A-I (mg/</w:t>
            </w:r>
            <w:proofErr w:type="spellStart"/>
            <w:r>
              <w:rPr>
                <w:color w:val="000000"/>
                <w:sz w:val="20"/>
                <w:szCs w:val="20"/>
              </w:rPr>
              <w:t>dL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79B5F7B6"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54ECFB19" w14:textId="77777777" w:rsidR="00097466" w:rsidRDefault="00000000">
            <w:pPr>
              <w:spacing w:before="0" w:after="0" w:line="240" w:lineRule="auto"/>
              <w:ind w:firstLine="200"/>
              <w:jc w:val="left"/>
              <w:rPr>
                <w:color w:val="000000"/>
                <w:sz w:val="20"/>
                <w:szCs w:val="20"/>
              </w:rPr>
            </w:pPr>
            <w:r>
              <w:rPr>
                <w:color w:val="000000"/>
                <w:sz w:val="20"/>
                <w:szCs w:val="20"/>
              </w:rPr>
              <w:t>−0,213</w:t>
            </w:r>
          </w:p>
        </w:tc>
        <w:tc>
          <w:tcPr>
            <w:tcW w:w="1115" w:type="dxa"/>
            <w:tcBorders>
              <w:top w:val="nil"/>
              <w:left w:val="nil"/>
              <w:bottom w:val="single" w:sz="8" w:space="0" w:color="DDDDDD"/>
              <w:right w:val="single" w:sz="8" w:space="0" w:color="DDDDDD"/>
            </w:tcBorders>
            <w:shd w:val="clear" w:color="auto" w:fill="auto"/>
            <w:vAlign w:val="center"/>
          </w:tcPr>
          <w:p w14:paraId="2269E332" w14:textId="77777777" w:rsidR="00097466" w:rsidRDefault="00000000">
            <w:pPr>
              <w:spacing w:before="0" w:after="0" w:line="240" w:lineRule="auto"/>
              <w:ind w:firstLine="200"/>
              <w:jc w:val="left"/>
              <w:rPr>
                <w:color w:val="000000"/>
                <w:sz w:val="20"/>
                <w:szCs w:val="20"/>
              </w:rPr>
            </w:pPr>
            <w:r>
              <w:rPr>
                <w:color w:val="000000"/>
                <w:sz w:val="20"/>
                <w:szCs w:val="20"/>
              </w:rPr>
              <w:t>7,95E-04</w:t>
            </w:r>
          </w:p>
        </w:tc>
        <w:tc>
          <w:tcPr>
            <w:tcW w:w="1341" w:type="dxa"/>
            <w:tcBorders>
              <w:top w:val="nil"/>
              <w:left w:val="nil"/>
              <w:bottom w:val="single" w:sz="8" w:space="0" w:color="DDDDDD"/>
              <w:right w:val="single" w:sz="8" w:space="0" w:color="DDDDDD"/>
            </w:tcBorders>
            <w:shd w:val="clear" w:color="auto" w:fill="auto"/>
            <w:vAlign w:val="center"/>
          </w:tcPr>
          <w:p w14:paraId="533DCB55" w14:textId="77777777" w:rsidR="00097466" w:rsidRDefault="00000000">
            <w:pPr>
              <w:spacing w:before="0" w:after="0" w:line="240" w:lineRule="auto"/>
              <w:ind w:firstLine="200"/>
              <w:jc w:val="left"/>
              <w:rPr>
                <w:color w:val="000000"/>
                <w:sz w:val="20"/>
                <w:szCs w:val="20"/>
              </w:rPr>
            </w:pPr>
            <w:r>
              <w:rPr>
                <w:color w:val="000000"/>
                <w:sz w:val="20"/>
                <w:szCs w:val="20"/>
              </w:rPr>
              <w:t>4,20E-03</w:t>
            </w:r>
          </w:p>
        </w:tc>
        <w:tc>
          <w:tcPr>
            <w:tcW w:w="672" w:type="dxa"/>
            <w:tcBorders>
              <w:top w:val="nil"/>
              <w:left w:val="nil"/>
              <w:bottom w:val="single" w:sz="8" w:space="0" w:color="DDDDDD"/>
              <w:right w:val="single" w:sz="8" w:space="0" w:color="DDDDDD"/>
            </w:tcBorders>
            <w:shd w:val="clear" w:color="auto" w:fill="auto"/>
            <w:vAlign w:val="center"/>
          </w:tcPr>
          <w:p w14:paraId="04AE5160" w14:textId="77777777" w:rsidR="00097466" w:rsidRDefault="00000000">
            <w:pPr>
              <w:spacing w:before="0" w:after="0" w:line="240" w:lineRule="auto"/>
              <w:ind w:firstLine="200"/>
              <w:jc w:val="left"/>
              <w:rPr>
                <w:color w:val="000000"/>
                <w:sz w:val="20"/>
                <w:szCs w:val="20"/>
              </w:rPr>
            </w:pPr>
            <w:r>
              <w:rPr>
                <w:color w:val="000000"/>
                <w:sz w:val="20"/>
                <w:szCs w:val="20"/>
              </w:rPr>
              <w:t>**</w:t>
            </w:r>
          </w:p>
        </w:tc>
      </w:tr>
      <w:tr w:rsidR="00097466" w14:paraId="07EDDCDF"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4852B4AF" w14:textId="77777777" w:rsidR="00097466" w:rsidRDefault="00000000" w:rsidP="009271F4">
            <w:pPr>
              <w:spacing w:before="0" w:after="0" w:line="240" w:lineRule="auto"/>
              <w:jc w:val="left"/>
              <w:rPr>
                <w:color w:val="000000"/>
                <w:sz w:val="20"/>
                <w:szCs w:val="20"/>
              </w:rPr>
            </w:pPr>
            <w:r>
              <w:rPr>
                <w:color w:val="000000"/>
                <w:sz w:val="20"/>
                <w:szCs w:val="20"/>
              </w:rPr>
              <w:t>Apo B (mg/</w:t>
            </w:r>
            <w:proofErr w:type="spellStart"/>
            <w:r>
              <w:rPr>
                <w:color w:val="000000"/>
                <w:sz w:val="20"/>
                <w:szCs w:val="20"/>
              </w:rPr>
              <w:t>dL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27EA7C6F"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69B48683" w14:textId="77777777" w:rsidR="00097466" w:rsidRDefault="00000000">
            <w:pPr>
              <w:spacing w:before="0" w:after="0" w:line="240" w:lineRule="auto"/>
              <w:ind w:firstLine="200"/>
              <w:jc w:val="left"/>
              <w:rPr>
                <w:color w:val="000000"/>
                <w:sz w:val="20"/>
                <w:szCs w:val="20"/>
              </w:rPr>
            </w:pPr>
            <w:r>
              <w:rPr>
                <w:color w:val="000000"/>
                <w:sz w:val="20"/>
                <w:szCs w:val="20"/>
              </w:rPr>
              <w:t>−0,010</w:t>
            </w:r>
          </w:p>
        </w:tc>
        <w:tc>
          <w:tcPr>
            <w:tcW w:w="1115" w:type="dxa"/>
            <w:tcBorders>
              <w:top w:val="nil"/>
              <w:left w:val="nil"/>
              <w:bottom w:val="single" w:sz="8" w:space="0" w:color="DDDDDD"/>
              <w:right w:val="single" w:sz="8" w:space="0" w:color="DDDDDD"/>
            </w:tcBorders>
            <w:shd w:val="clear" w:color="auto" w:fill="auto"/>
            <w:vAlign w:val="center"/>
          </w:tcPr>
          <w:p w14:paraId="4D9947C6" w14:textId="77777777" w:rsidR="00097466" w:rsidRDefault="00000000">
            <w:pPr>
              <w:spacing w:before="0" w:after="0" w:line="240" w:lineRule="auto"/>
              <w:ind w:firstLine="200"/>
              <w:jc w:val="left"/>
              <w:rPr>
                <w:color w:val="000000"/>
                <w:sz w:val="20"/>
                <w:szCs w:val="20"/>
              </w:rPr>
            </w:pPr>
            <w:r>
              <w:rPr>
                <w:color w:val="000000"/>
                <w:sz w:val="20"/>
                <w:szCs w:val="20"/>
              </w:rPr>
              <w:t>8,81E-01</w:t>
            </w:r>
          </w:p>
        </w:tc>
        <w:tc>
          <w:tcPr>
            <w:tcW w:w="1341" w:type="dxa"/>
            <w:tcBorders>
              <w:top w:val="nil"/>
              <w:left w:val="nil"/>
              <w:bottom w:val="single" w:sz="8" w:space="0" w:color="DDDDDD"/>
              <w:right w:val="single" w:sz="8" w:space="0" w:color="DDDDDD"/>
            </w:tcBorders>
            <w:shd w:val="clear" w:color="auto" w:fill="auto"/>
            <w:vAlign w:val="center"/>
          </w:tcPr>
          <w:p w14:paraId="0C635E42" w14:textId="77777777" w:rsidR="00097466" w:rsidRDefault="00000000">
            <w:pPr>
              <w:spacing w:before="0" w:after="0" w:line="240" w:lineRule="auto"/>
              <w:ind w:firstLine="200"/>
              <w:jc w:val="left"/>
              <w:rPr>
                <w:color w:val="000000"/>
                <w:sz w:val="20"/>
                <w:szCs w:val="20"/>
              </w:rPr>
            </w:pPr>
            <w:r>
              <w:rPr>
                <w:color w:val="000000"/>
                <w:sz w:val="20"/>
                <w:szCs w:val="20"/>
              </w:rPr>
              <w:t>9,85E-01</w:t>
            </w:r>
          </w:p>
        </w:tc>
        <w:tc>
          <w:tcPr>
            <w:tcW w:w="672" w:type="dxa"/>
            <w:tcBorders>
              <w:top w:val="nil"/>
              <w:left w:val="nil"/>
              <w:bottom w:val="single" w:sz="8" w:space="0" w:color="DDDDDD"/>
              <w:right w:val="single" w:sz="8" w:space="0" w:color="DDDDDD"/>
            </w:tcBorders>
            <w:shd w:val="clear" w:color="auto" w:fill="auto"/>
            <w:vAlign w:val="center"/>
          </w:tcPr>
          <w:p w14:paraId="5B23CFF5"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52548271"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4B3F1BF2" w14:textId="77777777" w:rsidR="00097466" w:rsidRDefault="00000000" w:rsidP="009271F4">
            <w:pPr>
              <w:spacing w:before="0" w:after="0" w:line="240" w:lineRule="auto"/>
              <w:jc w:val="left"/>
              <w:rPr>
                <w:color w:val="000000"/>
                <w:sz w:val="20"/>
                <w:szCs w:val="20"/>
              </w:rPr>
            </w:pPr>
            <w:r>
              <w:rPr>
                <w:color w:val="000000"/>
                <w:sz w:val="20"/>
                <w:szCs w:val="20"/>
              </w:rPr>
              <w:lastRenderedPageBreak/>
              <w:t>Cociente Apo B/A-I</w:t>
            </w:r>
          </w:p>
        </w:tc>
        <w:tc>
          <w:tcPr>
            <w:tcW w:w="680" w:type="dxa"/>
            <w:tcBorders>
              <w:top w:val="nil"/>
              <w:left w:val="nil"/>
              <w:bottom w:val="single" w:sz="8" w:space="0" w:color="DDDDDD"/>
              <w:right w:val="single" w:sz="8" w:space="0" w:color="DDDDDD"/>
            </w:tcBorders>
            <w:shd w:val="clear" w:color="auto" w:fill="auto"/>
            <w:vAlign w:val="center"/>
          </w:tcPr>
          <w:p w14:paraId="4F1FF0F3" w14:textId="77777777" w:rsidR="00097466" w:rsidRDefault="00000000">
            <w:pPr>
              <w:spacing w:before="0" w:after="0" w:line="240" w:lineRule="auto"/>
              <w:ind w:firstLine="200"/>
              <w:jc w:val="left"/>
              <w:rPr>
                <w:color w:val="000000"/>
                <w:sz w:val="20"/>
                <w:szCs w:val="20"/>
              </w:rPr>
            </w:pPr>
            <w:r>
              <w:rPr>
                <w:color w:val="000000"/>
                <w:sz w:val="20"/>
                <w:szCs w:val="20"/>
              </w:rPr>
              <w:t>245</w:t>
            </w:r>
          </w:p>
        </w:tc>
        <w:tc>
          <w:tcPr>
            <w:tcW w:w="1410" w:type="dxa"/>
            <w:tcBorders>
              <w:top w:val="nil"/>
              <w:left w:val="nil"/>
              <w:bottom w:val="single" w:sz="8" w:space="0" w:color="DDDDDD"/>
              <w:right w:val="single" w:sz="8" w:space="0" w:color="DDDDDD"/>
            </w:tcBorders>
            <w:shd w:val="clear" w:color="auto" w:fill="auto"/>
            <w:vAlign w:val="center"/>
          </w:tcPr>
          <w:p w14:paraId="176B728C" w14:textId="77777777" w:rsidR="00097466" w:rsidRDefault="00000000">
            <w:pPr>
              <w:spacing w:before="0" w:after="0" w:line="240" w:lineRule="auto"/>
              <w:ind w:firstLine="200"/>
              <w:jc w:val="left"/>
              <w:rPr>
                <w:color w:val="000000"/>
                <w:sz w:val="20"/>
                <w:szCs w:val="20"/>
              </w:rPr>
            </w:pPr>
            <w:r>
              <w:rPr>
                <w:color w:val="000000"/>
                <w:sz w:val="20"/>
                <w:szCs w:val="20"/>
              </w:rPr>
              <w:t>0,1</w:t>
            </w:r>
          </w:p>
        </w:tc>
        <w:tc>
          <w:tcPr>
            <w:tcW w:w="1115" w:type="dxa"/>
            <w:tcBorders>
              <w:top w:val="nil"/>
              <w:left w:val="nil"/>
              <w:bottom w:val="single" w:sz="8" w:space="0" w:color="DDDDDD"/>
              <w:right w:val="single" w:sz="8" w:space="0" w:color="DDDDDD"/>
            </w:tcBorders>
            <w:shd w:val="clear" w:color="auto" w:fill="auto"/>
            <w:vAlign w:val="center"/>
          </w:tcPr>
          <w:p w14:paraId="1016174A" w14:textId="77777777" w:rsidR="00097466" w:rsidRDefault="00000000">
            <w:pPr>
              <w:spacing w:before="0" w:after="0" w:line="240" w:lineRule="auto"/>
              <w:ind w:firstLine="200"/>
              <w:jc w:val="left"/>
              <w:rPr>
                <w:color w:val="000000"/>
                <w:sz w:val="20"/>
                <w:szCs w:val="20"/>
              </w:rPr>
            </w:pPr>
            <w:r>
              <w:rPr>
                <w:color w:val="000000"/>
                <w:sz w:val="20"/>
                <w:szCs w:val="20"/>
              </w:rPr>
              <w:t>1,20E-01</w:t>
            </w:r>
          </w:p>
        </w:tc>
        <w:tc>
          <w:tcPr>
            <w:tcW w:w="1341" w:type="dxa"/>
            <w:tcBorders>
              <w:top w:val="nil"/>
              <w:left w:val="nil"/>
              <w:bottom w:val="single" w:sz="8" w:space="0" w:color="DDDDDD"/>
              <w:right w:val="single" w:sz="8" w:space="0" w:color="DDDDDD"/>
            </w:tcBorders>
            <w:shd w:val="clear" w:color="auto" w:fill="auto"/>
            <w:vAlign w:val="center"/>
          </w:tcPr>
          <w:p w14:paraId="3A882EBA" w14:textId="77777777" w:rsidR="00097466" w:rsidRDefault="00000000">
            <w:pPr>
              <w:spacing w:before="0" w:after="0" w:line="240" w:lineRule="auto"/>
              <w:ind w:firstLine="200"/>
              <w:jc w:val="left"/>
              <w:rPr>
                <w:color w:val="000000"/>
                <w:sz w:val="20"/>
                <w:szCs w:val="20"/>
              </w:rPr>
            </w:pPr>
            <w:r>
              <w:rPr>
                <w:color w:val="000000"/>
                <w:sz w:val="20"/>
                <w:szCs w:val="20"/>
              </w:rPr>
              <w:t>2,79E-01</w:t>
            </w:r>
          </w:p>
        </w:tc>
        <w:tc>
          <w:tcPr>
            <w:tcW w:w="672" w:type="dxa"/>
            <w:tcBorders>
              <w:top w:val="nil"/>
              <w:left w:val="nil"/>
              <w:bottom w:val="single" w:sz="8" w:space="0" w:color="DDDDDD"/>
              <w:right w:val="single" w:sz="8" w:space="0" w:color="DDDDDD"/>
            </w:tcBorders>
            <w:shd w:val="clear" w:color="auto" w:fill="auto"/>
            <w:vAlign w:val="center"/>
          </w:tcPr>
          <w:p w14:paraId="15755BEE"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370E0A06"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0F1CFFBF" w14:textId="77777777" w:rsidR="00097466" w:rsidRDefault="00000000" w:rsidP="009271F4">
            <w:pPr>
              <w:spacing w:before="0" w:after="0" w:line="240" w:lineRule="auto"/>
              <w:jc w:val="left"/>
              <w:rPr>
                <w:color w:val="000000"/>
                <w:sz w:val="20"/>
                <w:szCs w:val="20"/>
              </w:rPr>
            </w:pPr>
            <w:r>
              <w:rPr>
                <w:color w:val="000000"/>
                <w:sz w:val="20"/>
                <w:szCs w:val="20"/>
              </w:rPr>
              <w:t>Lipoproteína(a) (mg/</w:t>
            </w:r>
            <w:proofErr w:type="spellStart"/>
            <w:r>
              <w:rPr>
                <w:color w:val="000000"/>
                <w:sz w:val="20"/>
                <w:szCs w:val="20"/>
              </w:rPr>
              <w:t>dL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668BFBEE"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234CC67C" w14:textId="77777777" w:rsidR="00097466" w:rsidRDefault="00000000">
            <w:pPr>
              <w:spacing w:before="0" w:after="0" w:line="240" w:lineRule="auto"/>
              <w:ind w:firstLine="200"/>
              <w:jc w:val="left"/>
              <w:rPr>
                <w:color w:val="000000"/>
                <w:sz w:val="20"/>
                <w:szCs w:val="20"/>
              </w:rPr>
            </w:pPr>
            <w:r>
              <w:rPr>
                <w:color w:val="000000"/>
                <w:sz w:val="20"/>
                <w:szCs w:val="20"/>
              </w:rPr>
              <w:t>−0,083</w:t>
            </w:r>
          </w:p>
        </w:tc>
        <w:tc>
          <w:tcPr>
            <w:tcW w:w="1115" w:type="dxa"/>
            <w:tcBorders>
              <w:top w:val="nil"/>
              <w:left w:val="nil"/>
              <w:bottom w:val="single" w:sz="8" w:space="0" w:color="DDDDDD"/>
              <w:right w:val="single" w:sz="8" w:space="0" w:color="DDDDDD"/>
            </w:tcBorders>
            <w:shd w:val="clear" w:color="auto" w:fill="auto"/>
            <w:vAlign w:val="center"/>
          </w:tcPr>
          <w:p w14:paraId="53674189" w14:textId="77777777" w:rsidR="00097466" w:rsidRDefault="00000000">
            <w:pPr>
              <w:spacing w:before="0" w:after="0" w:line="240" w:lineRule="auto"/>
              <w:ind w:firstLine="200"/>
              <w:jc w:val="left"/>
              <w:rPr>
                <w:color w:val="000000"/>
                <w:sz w:val="20"/>
                <w:szCs w:val="20"/>
              </w:rPr>
            </w:pPr>
            <w:r>
              <w:rPr>
                <w:color w:val="000000"/>
                <w:sz w:val="20"/>
                <w:szCs w:val="20"/>
              </w:rPr>
              <w:t>1,94E-01</w:t>
            </w:r>
          </w:p>
        </w:tc>
        <w:tc>
          <w:tcPr>
            <w:tcW w:w="1341" w:type="dxa"/>
            <w:tcBorders>
              <w:top w:val="nil"/>
              <w:left w:val="nil"/>
              <w:bottom w:val="single" w:sz="8" w:space="0" w:color="DDDDDD"/>
              <w:right w:val="single" w:sz="8" w:space="0" w:color="DDDDDD"/>
            </w:tcBorders>
            <w:shd w:val="clear" w:color="auto" w:fill="auto"/>
            <w:vAlign w:val="center"/>
          </w:tcPr>
          <w:p w14:paraId="3B4A1157" w14:textId="77777777" w:rsidR="00097466" w:rsidRDefault="00000000">
            <w:pPr>
              <w:spacing w:before="0" w:after="0" w:line="240" w:lineRule="auto"/>
              <w:ind w:firstLine="200"/>
              <w:jc w:val="left"/>
              <w:rPr>
                <w:color w:val="000000"/>
                <w:sz w:val="20"/>
                <w:szCs w:val="20"/>
              </w:rPr>
            </w:pPr>
            <w:r>
              <w:rPr>
                <w:color w:val="000000"/>
                <w:sz w:val="20"/>
                <w:szCs w:val="20"/>
              </w:rPr>
              <w:t>3,77E-01</w:t>
            </w:r>
          </w:p>
        </w:tc>
        <w:tc>
          <w:tcPr>
            <w:tcW w:w="672" w:type="dxa"/>
            <w:tcBorders>
              <w:top w:val="nil"/>
              <w:left w:val="nil"/>
              <w:bottom w:val="single" w:sz="8" w:space="0" w:color="DDDDDD"/>
              <w:right w:val="single" w:sz="8" w:space="0" w:color="DDDDDD"/>
            </w:tcBorders>
            <w:shd w:val="clear" w:color="auto" w:fill="auto"/>
            <w:vAlign w:val="center"/>
          </w:tcPr>
          <w:p w14:paraId="23881804"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250C5F98"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30A36757" w14:textId="77777777" w:rsidR="00097466" w:rsidRDefault="00000000" w:rsidP="009271F4">
            <w:pPr>
              <w:spacing w:before="0" w:after="0" w:line="240" w:lineRule="auto"/>
              <w:jc w:val="left"/>
              <w:rPr>
                <w:b/>
                <w:bCs/>
                <w:color w:val="000000"/>
                <w:sz w:val="20"/>
                <w:szCs w:val="20"/>
              </w:rPr>
            </w:pPr>
            <w:r>
              <w:rPr>
                <w:b/>
                <w:bCs/>
                <w:color w:val="000000"/>
                <w:sz w:val="20"/>
                <w:szCs w:val="20"/>
              </w:rPr>
              <w:t>Glucosa e insulina</w:t>
            </w:r>
          </w:p>
        </w:tc>
        <w:tc>
          <w:tcPr>
            <w:tcW w:w="680" w:type="dxa"/>
            <w:tcBorders>
              <w:top w:val="nil"/>
              <w:left w:val="nil"/>
              <w:bottom w:val="single" w:sz="8" w:space="0" w:color="DDDDDD"/>
              <w:right w:val="single" w:sz="8" w:space="0" w:color="DDDDDD"/>
            </w:tcBorders>
            <w:shd w:val="clear" w:color="auto" w:fill="auto"/>
            <w:vAlign w:val="center"/>
          </w:tcPr>
          <w:p w14:paraId="07C0424F"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410" w:type="dxa"/>
            <w:tcBorders>
              <w:top w:val="nil"/>
              <w:left w:val="nil"/>
              <w:bottom w:val="single" w:sz="8" w:space="0" w:color="DDDDDD"/>
              <w:right w:val="single" w:sz="8" w:space="0" w:color="DDDDDD"/>
            </w:tcBorders>
            <w:shd w:val="clear" w:color="auto" w:fill="auto"/>
            <w:vAlign w:val="center"/>
          </w:tcPr>
          <w:p w14:paraId="75BC9209"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115" w:type="dxa"/>
            <w:tcBorders>
              <w:top w:val="nil"/>
              <w:left w:val="nil"/>
              <w:bottom w:val="single" w:sz="8" w:space="0" w:color="DDDDDD"/>
              <w:right w:val="single" w:sz="8" w:space="0" w:color="DDDDDD"/>
            </w:tcBorders>
            <w:shd w:val="clear" w:color="auto" w:fill="auto"/>
            <w:vAlign w:val="center"/>
          </w:tcPr>
          <w:p w14:paraId="5E3B4C18"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341" w:type="dxa"/>
            <w:tcBorders>
              <w:top w:val="nil"/>
              <w:left w:val="nil"/>
              <w:bottom w:val="single" w:sz="8" w:space="0" w:color="DDDDDD"/>
              <w:right w:val="single" w:sz="8" w:space="0" w:color="DDDDDD"/>
            </w:tcBorders>
            <w:shd w:val="clear" w:color="auto" w:fill="auto"/>
            <w:vAlign w:val="center"/>
          </w:tcPr>
          <w:p w14:paraId="23E3130E"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672" w:type="dxa"/>
            <w:tcBorders>
              <w:top w:val="nil"/>
              <w:left w:val="nil"/>
              <w:bottom w:val="single" w:sz="8" w:space="0" w:color="DDDDDD"/>
              <w:right w:val="single" w:sz="8" w:space="0" w:color="DDDDDD"/>
            </w:tcBorders>
            <w:shd w:val="clear" w:color="auto" w:fill="auto"/>
            <w:vAlign w:val="center"/>
          </w:tcPr>
          <w:p w14:paraId="595ECDDC"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5043532B"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66BC088F" w14:textId="77777777" w:rsidR="00097466" w:rsidRDefault="00000000" w:rsidP="009271F4">
            <w:pPr>
              <w:spacing w:before="0" w:after="0" w:line="240" w:lineRule="auto"/>
              <w:jc w:val="left"/>
              <w:rPr>
                <w:color w:val="000000"/>
                <w:sz w:val="20"/>
                <w:szCs w:val="20"/>
              </w:rPr>
            </w:pPr>
            <w:r>
              <w:rPr>
                <w:color w:val="000000"/>
                <w:sz w:val="20"/>
                <w:szCs w:val="20"/>
              </w:rPr>
              <w:t>Glucosa (mg/</w:t>
            </w:r>
            <w:proofErr w:type="spellStart"/>
            <w:r>
              <w:rPr>
                <w:color w:val="000000"/>
                <w:sz w:val="20"/>
                <w:szCs w:val="20"/>
              </w:rPr>
              <w:t>dL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56A13495"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016B21C8" w14:textId="77777777" w:rsidR="00097466" w:rsidRDefault="00000000">
            <w:pPr>
              <w:spacing w:before="0" w:after="0" w:line="240" w:lineRule="auto"/>
              <w:ind w:firstLine="200"/>
              <w:jc w:val="left"/>
              <w:rPr>
                <w:color w:val="000000"/>
                <w:sz w:val="20"/>
                <w:szCs w:val="20"/>
              </w:rPr>
            </w:pPr>
            <w:r>
              <w:rPr>
                <w:color w:val="000000"/>
                <w:sz w:val="20"/>
                <w:szCs w:val="20"/>
              </w:rPr>
              <w:t>−0,074</w:t>
            </w:r>
          </w:p>
        </w:tc>
        <w:tc>
          <w:tcPr>
            <w:tcW w:w="1115" w:type="dxa"/>
            <w:tcBorders>
              <w:top w:val="nil"/>
              <w:left w:val="nil"/>
              <w:bottom w:val="single" w:sz="8" w:space="0" w:color="DDDDDD"/>
              <w:right w:val="single" w:sz="8" w:space="0" w:color="DDDDDD"/>
            </w:tcBorders>
            <w:shd w:val="clear" w:color="auto" w:fill="auto"/>
            <w:vAlign w:val="center"/>
          </w:tcPr>
          <w:p w14:paraId="05FBAD7B" w14:textId="77777777" w:rsidR="00097466" w:rsidRDefault="00000000">
            <w:pPr>
              <w:spacing w:before="0" w:after="0" w:line="240" w:lineRule="auto"/>
              <w:ind w:firstLine="200"/>
              <w:jc w:val="left"/>
              <w:rPr>
                <w:color w:val="000000"/>
                <w:sz w:val="20"/>
                <w:szCs w:val="20"/>
              </w:rPr>
            </w:pPr>
            <w:r>
              <w:rPr>
                <w:color w:val="000000"/>
                <w:sz w:val="20"/>
                <w:szCs w:val="20"/>
              </w:rPr>
              <w:t>2,44E-01</w:t>
            </w:r>
          </w:p>
        </w:tc>
        <w:tc>
          <w:tcPr>
            <w:tcW w:w="1341" w:type="dxa"/>
            <w:tcBorders>
              <w:top w:val="nil"/>
              <w:left w:val="nil"/>
              <w:bottom w:val="single" w:sz="8" w:space="0" w:color="DDDDDD"/>
              <w:right w:val="single" w:sz="8" w:space="0" w:color="DDDDDD"/>
            </w:tcBorders>
            <w:shd w:val="clear" w:color="auto" w:fill="auto"/>
            <w:vAlign w:val="center"/>
          </w:tcPr>
          <w:p w14:paraId="233B0787" w14:textId="77777777" w:rsidR="00097466" w:rsidRDefault="00000000">
            <w:pPr>
              <w:spacing w:before="0" w:after="0" w:line="240" w:lineRule="auto"/>
              <w:ind w:firstLine="200"/>
              <w:jc w:val="left"/>
              <w:rPr>
                <w:color w:val="000000"/>
                <w:sz w:val="20"/>
                <w:szCs w:val="20"/>
              </w:rPr>
            </w:pPr>
            <w:r>
              <w:rPr>
                <w:color w:val="000000"/>
                <w:sz w:val="20"/>
                <w:szCs w:val="20"/>
              </w:rPr>
              <w:t>4,02E-01</w:t>
            </w:r>
          </w:p>
        </w:tc>
        <w:tc>
          <w:tcPr>
            <w:tcW w:w="672" w:type="dxa"/>
            <w:tcBorders>
              <w:top w:val="nil"/>
              <w:left w:val="nil"/>
              <w:bottom w:val="single" w:sz="8" w:space="0" w:color="DDDDDD"/>
              <w:right w:val="single" w:sz="8" w:space="0" w:color="DDDDDD"/>
            </w:tcBorders>
            <w:shd w:val="clear" w:color="auto" w:fill="auto"/>
            <w:vAlign w:val="center"/>
          </w:tcPr>
          <w:p w14:paraId="2A9C7BBA"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09D396FB"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41DA6A7B" w14:textId="77777777" w:rsidR="00097466" w:rsidRDefault="00000000" w:rsidP="009271F4">
            <w:pPr>
              <w:spacing w:before="0" w:after="0" w:line="240" w:lineRule="auto"/>
              <w:jc w:val="left"/>
              <w:rPr>
                <w:color w:val="000000"/>
                <w:sz w:val="20"/>
                <w:szCs w:val="20"/>
              </w:rPr>
            </w:pPr>
            <w:r>
              <w:rPr>
                <w:color w:val="000000"/>
                <w:sz w:val="20"/>
                <w:szCs w:val="20"/>
              </w:rPr>
              <w:t>Insulina (µU/</w:t>
            </w:r>
            <w:proofErr w:type="spellStart"/>
            <w:r>
              <w:rPr>
                <w:color w:val="000000"/>
                <w:sz w:val="20"/>
                <w:szCs w:val="20"/>
              </w:rPr>
              <w:t>mL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7333C859" w14:textId="77777777" w:rsidR="00097466" w:rsidRDefault="00000000">
            <w:pPr>
              <w:spacing w:before="0" w:after="0" w:line="240" w:lineRule="auto"/>
              <w:ind w:firstLine="200"/>
              <w:jc w:val="left"/>
              <w:rPr>
                <w:color w:val="000000"/>
                <w:sz w:val="20"/>
                <w:szCs w:val="20"/>
              </w:rPr>
            </w:pPr>
            <w:r>
              <w:rPr>
                <w:color w:val="000000"/>
                <w:sz w:val="20"/>
                <w:szCs w:val="20"/>
              </w:rPr>
              <w:t>249</w:t>
            </w:r>
          </w:p>
        </w:tc>
        <w:tc>
          <w:tcPr>
            <w:tcW w:w="1410" w:type="dxa"/>
            <w:tcBorders>
              <w:top w:val="nil"/>
              <w:left w:val="nil"/>
              <w:bottom w:val="single" w:sz="8" w:space="0" w:color="DDDDDD"/>
              <w:right w:val="single" w:sz="8" w:space="0" w:color="DDDDDD"/>
            </w:tcBorders>
            <w:shd w:val="clear" w:color="auto" w:fill="auto"/>
            <w:vAlign w:val="center"/>
          </w:tcPr>
          <w:p w14:paraId="2499EC1B" w14:textId="77777777" w:rsidR="00097466" w:rsidRDefault="00000000">
            <w:pPr>
              <w:spacing w:before="0" w:after="0" w:line="240" w:lineRule="auto"/>
              <w:ind w:firstLine="200"/>
              <w:jc w:val="left"/>
              <w:rPr>
                <w:color w:val="000000"/>
                <w:sz w:val="20"/>
                <w:szCs w:val="20"/>
              </w:rPr>
            </w:pPr>
            <w:r>
              <w:rPr>
                <w:color w:val="000000"/>
                <w:sz w:val="20"/>
                <w:szCs w:val="20"/>
              </w:rPr>
              <w:t>−0,002</w:t>
            </w:r>
          </w:p>
        </w:tc>
        <w:tc>
          <w:tcPr>
            <w:tcW w:w="1115" w:type="dxa"/>
            <w:tcBorders>
              <w:top w:val="nil"/>
              <w:left w:val="nil"/>
              <w:bottom w:val="single" w:sz="8" w:space="0" w:color="DDDDDD"/>
              <w:right w:val="single" w:sz="8" w:space="0" w:color="DDDDDD"/>
            </w:tcBorders>
            <w:shd w:val="clear" w:color="auto" w:fill="auto"/>
            <w:vAlign w:val="center"/>
          </w:tcPr>
          <w:p w14:paraId="40037F55" w14:textId="77777777" w:rsidR="00097466" w:rsidRDefault="00000000">
            <w:pPr>
              <w:spacing w:before="0" w:after="0" w:line="240" w:lineRule="auto"/>
              <w:ind w:firstLine="200"/>
              <w:jc w:val="left"/>
              <w:rPr>
                <w:color w:val="000000"/>
                <w:sz w:val="20"/>
                <w:szCs w:val="20"/>
              </w:rPr>
            </w:pPr>
            <w:r>
              <w:rPr>
                <w:color w:val="000000"/>
                <w:sz w:val="20"/>
                <w:szCs w:val="20"/>
              </w:rPr>
              <w:t>9,72E-01</w:t>
            </w:r>
          </w:p>
        </w:tc>
        <w:tc>
          <w:tcPr>
            <w:tcW w:w="1341" w:type="dxa"/>
            <w:tcBorders>
              <w:top w:val="nil"/>
              <w:left w:val="nil"/>
              <w:bottom w:val="single" w:sz="8" w:space="0" w:color="DDDDDD"/>
              <w:right w:val="single" w:sz="8" w:space="0" w:color="DDDDDD"/>
            </w:tcBorders>
            <w:shd w:val="clear" w:color="auto" w:fill="auto"/>
            <w:vAlign w:val="center"/>
          </w:tcPr>
          <w:p w14:paraId="6138AA35" w14:textId="77777777" w:rsidR="00097466" w:rsidRDefault="00000000">
            <w:pPr>
              <w:spacing w:before="0" w:after="0" w:line="240" w:lineRule="auto"/>
              <w:ind w:firstLine="200"/>
              <w:jc w:val="left"/>
              <w:rPr>
                <w:color w:val="000000"/>
                <w:sz w:val="20"/>
                <w:szCs w:val="20"/>
              </w:rPr>
            </w:pPr>
            <w:r>
              <w:rPr>
                <w:color w:val="000000"/>
                <w:sz w:val="20"/>
                <w:szCs w:val="20"/>
              </w:rPr>
              <w:t>9,85E-01</w:t>
            </w:r>
          </w:p>
        </w:tc>
        <w:tc>
          <w:tcPr>
            <w:tcW w:w="672" w:type="dxa"/>
            <w:tcBorders>
              <w:top w:val="nil"/>
              <w:left w:val="nil"/>
              <w:bottom w:val="single" w:sz="8" w:space="0" w:color="DDDDDD"/>
              <w:right w:val="single" w:sz="8" w:space="0" w:color="DDDDDD"/>
            </w:tcBorders>
            <w:shd w:val="clear" w:color="auto" w:fill="auto"/>
            <w:vAlign w:val="center"/>
          </w:tcPr>
          <w:p w14:paraId="55E69449"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6FD0C10A"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1553C239" w14:textId="77777777" w:rsidR="00097466" w:rsidRDefault="00000000" w:rsidP="009271F4">
            <w:pPr>
              <w:spacing w:before="0" w:after="0" w:line="240" w:lineRule="auto"/>
              <w:jc w:val="left"/>
              <w:rPr>
                <w:color w:val="000000"/>
                <w:sz w:val="20"/>
                <w:szCs w:val="20"/>
              </w:rPr>
            </w:pPr>
            <w:r>
              <w:rPr>
                <w:color w:val="000000"/>
                <w:sz w:val="20"/>
                <w:szCs w:val="20"/>
              </w:rPr>
              <w:t>Péptido C (ng/</w:t>
            </w:r>
            <w:proofErr w:type="spellStart"/>
            <w:r>
              <w:rPr>
                <w:color w:val="000000"/>
                <w:sz w:val="20"/>
                <w:szCs w:val="20"/>
              </w:rPr>
              <w:t>mL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494ED089" w14:textId="77777777" w:rsidR="00097466" w:rsidRDefault="00000000">
            <w:pPr>
              <w:spacing w:before="0" w:after="0" w:line="240" w:lineRule="auto"/>
              <w:ind w:firstLine="200"/>
              <w:jc w:val="left"/>
              <w:rPr>
                <w:color w:val="000000"/>
                <w:sz w:val="20"/>
                <w:szCs w:val="20"/>
              </w:rPr>
            </w:pPr>
            <w:r>
              <w:rPr>
                <w:color w:val="000000"/>
                <w:sz w:val="20"/>
                <w:szCs w:val="20"/>
              </w:rPr>
              <w:t>248</w:t>
            </w:r>
          </w:p>
        </w:tc>
        <w:tc>
          <w:tcPr>
            <w:tcW w:w="1410" w:type="dxa"/>
            <w:tcBorders>
              <w:top w:val="nil"/>
              <w:left w:val="nil"/>
              <w:bottom w:val="single" w:sz="8" w:space="0" w:color="DDDDDD"/>
              <w:right w:val="single" w:sz="8" w:space="0" w:color="DDDDDD"/>
            </w:tcBorders>
            <w:shd w:val="clear" w:color="auto" w:fill="auto"/>
            <w:vAlign w:val="center"/>
          </w:tcPr>
          <w:p w14:paraId="6FA2EAB6" w14:textId="77777777" w:rsidR="00097466" w:rsidRDefault="00000000">
            <w:pPr>
              <w:spacing w:before="0" w:after="0" w:line="240" w:lineRule="auto"/>
              <w:ind w:firstLine="200"/>
              <w:jc w:val="left"/>
              <w:rPr>
                <w:color w:val="000000"/>
                <w:sz w:val="20"/>
                <w:szCs w:val="20"/>
              </w:rPr>
            </w:pPr>
            <w:r>
              <w:rPr>
                <w:color w:val="000000"/>
                <w:sz w:val="20"/>
                <w:szCs w:val="20"/>
              </w:rPr>
              <w:t>−0,073</w:t>
            </w:r>
          </w:p>
        </w:tc>
        <w:tc>
          <w:tcPr>
            <w:tcW w:w="1115" w:type="dxa"/>
            <w:tcBorders>
              <w:top w:val="nil"/>
              <w:left w:val="nil"/>
              <w:bottom w:val="single" w:sz="8" w:space="0" w:color="DDDDDD"/>
              <w:right w:val="single" w:sz="8" w:space="0" w:color="DDDDDD"/>
            </w:tcBorders>
            <w:shd w:val="clear" w:color="auto" w:fill="auto"/>
            <w:vAlign w:val="center"/>
          </w:tcPr>
          <w:p w14:paraId="58134B3E" w14:textId="77777777" w:rsidR="00097466" w:rsidRDefault="00000000">
            <w:pPr>
              <w:spacing w:before="0" w:after="0" w:line="240" w:lineRule="auto"/>
              <w:ind w:firstLine="200"/>
              <w:jc w:val="left"/>
              <w:rPr>
                <w:color w:val="000000"/>
                <w:sz w:val="20"/>
                <w:szCs w:val="20"/>
              </w:rPr>
            </w:pPr>
            <w:r>
              <w:rPr>
                <w:color w:val="000000"/>
                <w:sz w:val="20"/>
                <w:szCs w:val="20"/>
              </w:rPr>
              <w:t>2,50E-01</w:t>
            </w:r>
          </w:p>
        </w:tc>
        <w:tc>
          <w:tcPr>
            <w:tcW w:w="1341" w:type="dxa"/>
            <w:tcBorders>
              <w:top w:val="nil"/>
              <w:left w:val="nil"/>
              <w:bottom w:val="single" w:sz="8" w:space="0" w:color="DDDDDD"/>
              <w:right w:val="single" w:sz="8" w:space="0" w:color="DDDDDD"/>
            </w:tcBorders>
            <w:shd w:val="clear" w:color="auto" w:fill="auto"/>
            <w:vAlign w:val="center"/>
          </w:tcPr>
          <w:p w14:paraId="773A5E90" w14:textId="77777777" w:rsidR="00097466" w:rsidRDefault="00000000">
            <w:pPr>
              <w:spacing w:before="0" w:after="0" w:line="240" w:lineRule="auto"/>
              <w:ind w:firstLine="200"/>
              <w:jc w:val="left"/>
              <w:rPr>
                <w:color w:val="000000"/>
                <w:sz w:val="20"/>
                <w:szCs w:val="20"/>
              </w:rPr>
            </w:pPr>
            <w:r>
              <w:rPr>
                <w:color w:val="000000"/>
                <w:sz w:val="20"/>
                <w:szCs w:val="20"/>
              </w:rPr>
              <w:t>4,02E-01</w:t>
            </w:r>
          </w:p>
        </w:tc>
        <w:tc>
          <w:tcPr>
            <w:tcW w:w="672" w:type="dxa"/>
            <w:tcBorders>
              <w:top w:val="nil"/>
              <w:left w:val="nil"/>
              <w:bottom w:val="single" w:sz="8" w:space="0" w:color="DDDDDD"/>
              <w:right w:val="single" w:sz="8" w:space="0" w:color="DDDDDD"/>
            </w:tcBorders>
            <w:shd w:val="clear" w:color="auto" w:fill="auto"/>
            <w:vAlign w:val="center"/>
          </w:tcPr>
          <w:p w14:paraId="154AC0BD"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46F072B9"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368A872F" w14:textId="77777777" w:rsidR="00097466" w:rsidRDefault="00000000" w:rsidP="009271F4">
            <w:pPr>
              <w:spacing w:before="0" w:after="0" w:line="240" w:lineRule="auto"/>
              <w:jc w:val="left"/>
              <w:rPr>
                <w:color w:val="000000"/>
                <w:sz w:val="20"/>
                <w:szCs w:val="20"/>
              </w:rPr>
            </w:pPr>
            <w:r>
              <w:rPr>
                <w:color w:val="000000"/>
                <w:sz w:val="20"/>
                <w:szCs w:val="20"/>
              </w:rPr>
              <w:t>HOMA-IR</w:t>
            </w:r>
          </w:p>
        </w:tc>
        <w:tc>
          <w:tcPr>
            <w:tcW w:w="680" w:type="dxa"/>
            <w:tcBorders>
              <w:top w:val="nil"/>
              <w:left w:val="nil"/>
              <w:bottom w:val="single" w:sz="8" w:space="0" w:color="DDDDDD"/>
              <w:right w:val="single" w:sz="8" w:space="0" w:color="DDDDDD"/>
            </w:tcBorders>
            <w:shd w:val="clear" w:color="auto" w:fill="auto"/>
            <w:vAlign w:val="center"/>
          </w:tcPr>
          <w:p w14:paraId="7B70D4F0"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32A5E43D" w14:textId="77777777" w:rsidR="00097466" w:rsidRDefault="00000000">
            <w:pPr>
              <w:spacing w:before="0" w:after="0" w:line="240" w:lineRule="auto"/>
              <w:ind w:firstLine="200"/>
              <w:jc w:val="left"/>
              <w:rPr>
                <w:color w:val="000000"/>
                <w:sz w:val="20"/>
                <w:szCs w:val="20"/>
              </w:rPr>
            </w:pPr>
            <w:r>
              <w:rPr>
                <w:color w:val="000000"/>
                <w:sz w:val="20"/>
                <w:szCs w:val="20"/>
              </w:rPr>
              <w:t>−0,001</w:t>
            </w:r>
          </w:p>
        </w:tc>
        <w:tc>
          <w:tcPr>
            <w:tcW w:w="1115" w:type="dxa"/>
            <w:tcBorders>
              <w:top w:val="nil"/>
              <w:left w:val="nil"/>
              <w:bottom w:val="single" w:sz="8" w:space="0" w:color="DDDDDD"/>
              <w:right w:val="single" w:sz="8" w:space="0" w:color="DDDDDD"/>
            </w:tcBorders>
            <w:shd w:val="clear" w:color="auto" w:fill="auto"/>
            <w:vAlign w:val="center"/>
          </w:tcPr>
          <w:p w14:paraId="2131C51D" w14:textId="77777777" w:rsidR="00097466" w:rsidRDefault="00000000">
            <w:pPr>
              <w:spacing w:before="0" w:after="0" w:line="240" w:lineRule="auto"/>
              <w:ind w:firstLine="200"/>
              <w:jc w:val="left"/>
              <w:rPr>
                <w:color w:val="000000"/>
                <w:sz w:val="20"/>
                <w:szCs w:val="20"/>
              </w:rPr>
            </w:pPr>
            <w:r>
              <w:rPr>
                <w:color w:val="000000"/>
                <w:sz w:val="20"/>
                <w:szCs w:val="20"/>
              </w:rPr>
              <w:t>9,85E-01</w:t>
            </w:r>
          </w:p>
        </w:tc>
        <w:tc>
          <w:tcPr>
            <w:tcW w:w="1341" w:type="dxa"/>
            <w:tcBorders>
              <w:top w:val="nil"/>
              <w:left w:val="nil"/>
              <w:bottom w:val="single" w:sz="8" w:space="0" w:color="DDDDDD"/>
              <w:right w:val="single" w:sz="8" w:space="0" w:color="DDDDDD"/>
            </w:tcBorders>
            <w:shd w:val="clear" w:color="auto" w:fill="auto"/>
            <w:vAlign w:val="center"/>
          </w:tcPr>
          <w:p w14:paraId="0D63B1EB" w14:textId="77777777" w:rsidR="00097466" w:rsidRDefault="00000000">
            <w:pPr>
              <w:spacing w:before="0" w:after="0" w:line="240" w:lineRule="auto"/>
              <w:ind w:firstLine="200"/>
              <w:jc w:val="left"/>
              <w:rPr>
                <w:color w:val="000000"/>
                <w:sz w:val="20"/>
                <w:szCs w:val="20"/>
              </w:rPr>
            </w:pPr>
            <w:r>
              <w:rPr>
                <w:color w:val="000000"/>
                <w:sz w:val="20"/>
                <w:szCs w:val="20"/>
              </w:rPr>
              <w:t>9,85E-01</w:t>
            </w:r>
          </w:p>
        </w:tc>
        <w:tc>
          <w:tcPr>
            <w:tcW w:w="672" w:type="dxa"/>
            <w:tcBorders>
              <w:top w:val="nil"/>
              <w:left w:val="nil"/>
              <w:bottom w:val="single" w:sz="8" w:space="0" w:color="DDDDDD"/>
              <w:right w:val="single" w:sz="8" w:space="0" w:color="DDDDDD"/>
            </w:tcBorders>
            <w:shd w:val="clear" w:color="auto" w:fill="auto"/>
            <w:vAlign w:val="center"/>
          </w:tcPr>
          <w:p w14:paraId="44AD49AE"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1DE89FEF"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116E0D3C" w14:textId="77777777" w:rsidR="00097466" w:rsidRDefault="00000000" w:rsidP="009271F4">
            <w:pPr>
              <w:spacing w:before="0" w:after="0" w:line="240" w:lineRule="auto"/>
              <w:jc w:val="left"/>
              <w:rPr>
                <w:color w:val="000000"/>
                <w:sz w:val="20"/>
                <w:szCs w:val="20"/>
              </w:rPr>
            </w:pPr>
            <w:r>
              <w:rPr>
                <w:color w:val="000000"/>
                <w:sz w:val="20"/>
                <w:szCs w:val="20"/>
              </w:rPr>
              <w:t>HOMA-S</w:t>
            </w:r>
          </w:p>
        </w:tc>
        <w:tc>
          <w:tcPr>
            <w:tcW w:w="680" w:type="dxa"/>
            <w:tcBorders>
              <w:top w:val="nil"/>
              <w:left w:val="nil"/>
              <w:bottom w:val="single" w:sz="8" w:space="0" w:color="DDDDDD"/>
              <w:right w:val="single" w:sz="8" w:space="0" w:color="DDDDDD"/>
            </w:tcBorders>
            <w:shd w:val="clear" w:color="auto" w:fill="auto"/>
            <w:vAlign w:val="center"/>
          </w:tcPr>
          <w:p w14:paraId="45FE6B19"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4C5F6FAE" w14:textId="77777777" w:rsidR="00097466" w:rsidRDefault="00000000">
            <w:pPr>
              <w:spacing w:before="0" w:after="0" w:line="240" w:lineRule="auto"/>
              <w:ind w:firstLine="200"/>
              <w:jc w:val="left"/>
              <w:rPr>
                <w:color w:val="000000"/>
                <w:sz w:val="20"/>
                <w:szCs w:val="20"/>
              </w:rPr>
            </w:pPr>
            <w:r>
              <w:rPr>
                <w:color w:val="000000"/>
                <w:sz w:val="20"/>
                <w:szCs w:val="20"/>
              </w:rPr>
              <w:t>0,003</w:t>
            </w:r>
          </w:p>
        </w:tc>
        <w:tc>
          <w:tcPr>
            <w:tcW w:w="1115" w:type="dxa"/>
            <w:tcBorders>
              <w:top w:val="nil"/>
              <w:left w:val="nil"/>
              <w:bottom w:val="single" w:sz="8" w:space="0" w:color="DDDDDD"/>
              <w:right w:val="single" w:sz="8" w:space="0" w:color="DDDDDD"/>
            </w:tcBorders>
            <w:shd w:val="clear" w:color="auto" w:fill="auto"/>
            <w:vAlign w:val="center"/>
          </w:tcPr>
          <w:p w14:paraId="044C38A3" w14:textId="77777777" w:rsidR="00097466" w:rsidRDefault="00000000">
            <w:pPr>
              <w:spacing w:before="0" w:after="0" w:line="240" w:lineRule="auto"/>
              <w:ind w:firstLine="200"/>
              <w:jc w:val="left"/>
              <w:rPr>
                <w:color w:val="000000"/>
                <w:sz w:val="20"/>
                <w:szCs w:val="20"/>
              </w:rPr>
            </w:pPr>
            <w:r>
              <w:rPr>
                <w:color w:val="000000"/>
                <w:sz w:val="20"/>
                <w:szCs w:val="20"/>
              </w:rPr>
              <w:t>9,68E-01</w:t>
            </w:r>
          </w:p>
        </w:tc>
        <w:tc>
          <w:tcPr>
            <w:tcW w:w="1341" w:type="dxa"/>
            <w:tcBorders>
              <w:top w:val="nil"/>
              <w:left w:val="nil"/>
              <w:bottom w:val="single" w:sz="8" w:space="0" w:color="DDDDDD"/>
              <w:right w:val="single" w:sz="8" w:space="0" w:color="DDDDDD"/>
            </w:tcBorders>
            <w:shd w:val="clear" w:color="auto" w:fill="auto"/>
            <w:vAlign w:val="center"/>
          </w:tcPr>
          <w:p w14:paraId="7B257132" w14:textId="77777777" w:rsidR="00097466" w:rsidRDefault="00000000">
            <w:pPr>
              <w:spacing w:before="0" w:after="0" w:line="240" w:lineRule="auto"/>
              <w:ind w:firstLine="200"/>
              <w:jc w:val="left"/>
              <w:rPr>
                <w:color w:val="000000"/>
                <w:sz w:val="20"/>
                <w:szCs w:val="20"/>
              </w:rPr>
            </w:pPr>
            <w:r>
              <w:rPr>
                <w:color w:val="000000"/>
                <w:sz w:val="20"/>
                <w:szCs w:val="20"/>
              </w:rPr>
              <w:t>9,85E-01</w:t>
            </w:r>
          </w:p>
        </w:tc>
        <w:tc>
          <w:tcPr>
            <w:tcW w:w="672" w:type="dxa"/>
            <w:tcBorders>
              <w:top w:val="nil"/>
              <w:left w:val="nil"/>
              <w:bottom w:val="single" w:sz="8" w:space="0" w:color="DDDDDD"/>
              <w:right w:val="single" w:sz="8" w:space="0" w:color="DDDDDD"/>
            </w:tcBorders>
            <w:shd w:val="clear" w:color="auto" w:fill="auto"/>
            <w:vAlign w:val="center"/>
          </w:tcPr>
          <w:p w14:paraId="66747CE7"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774EAF7B"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004C4A87" w14:textId="77777777" w:rsidR="00097466" w:rsidRDefault="00000000" w:rsidP="009271F4">
            <w:pPr>
              <w:spacing w:before="0" w:after="0" w:line="240" w:lineRule="auto"/>
              <w:jc w:val="left"/>
              <w:rPr>
                <w:color w:val="000000"/>
                <w:sz w:val="20"/>
                <w:szCs w:val="20"/>
              </w:rPr>
            </w:pPr>
            <w:r>
              <w:rPr>
                <w:color w:val="000000"/>
                <w:sz w:val="20"/>
                <w:szCs w:val="20"/>
              </w:rPr>
              <w:t>HOMA-B</w:t>
            </w:r>
          </w:p>
        </w:tc>
        <w:tc>
          <w:tcPr>
            <w:tcW w:w="680" w:type="dxa"/>
            <w:tcBorders>
              <w:top w:val="nil"/>
              <w:left w:val="nil"/>
              <w:bottom w:val="single" w:sz="8" w:space="0" w:color="DDDDDD"/>
              <w:right w:val="single" w:sz="8" w:space="0" w:color="DDDDDD"/>
            </w:tcBorders>
            <w:shd w:val="clear" w:color="auto" w:fill="auto"/>
            <w:vAlign w:val="center"/>
          </w:tcPr>
          <w:p w14:paraId="09D3C116" w14:textId="77777777" w:rsidR="00097466" w:rsidRDefault="00000000">
            <w:pPr>
              <w:spacing w:before="0" w:after="0" w:line="240" w:lineRule="auto"/>
              <w:ind w:firstLine="200"/>
              <w:jc w:val="left"/>
              <w:rPr>
                <w:color w:val="000000"/>
                <w:sz w:val="20"/>
                <w:szCs w:val="20"/>
              </w:rPr>
            </w:pPr>
            <w:r>
              <w:rPr>
                <w:color w:val="000000"/>
                <w:sz w:val="20"/>
                <w:szCs w:val="20"/>
              </w:rPr>
              <w:t>245</w:t>
            </w:r>
          </w:p>
        </w:tc>
        <w:tc>
          <w:tcPr>
            <w:tcW w:w="1410" w:type="dxa"/>
            <w:tcBorders>
              <w:top w:val="nil"/>
              <w:left w:val="nil"/>
              <w:bottom w:val="single" w:sz="8" w:space="0" w:color="DDDDDD"/>
              <w:right w:val="single" w:sz="8" w:space="0" w:color="DDDDDD"/>
            </w:tcBorders>
            <w:shd w:val="clear" w:color="auto" w:fill="auto"/>
            <w:vAlign w:val="center"/>
          </w:tcPr>
          <w:p w14:paraId="1BA32AA2" w14:textId="77777777" w:rsidR="00097466" w:rsidRDefault="00000000">
            <w:pPr>
              <w:spacing w:before="0" w:after="0" w:line="240" w:lineRule="auto"/>
              <w:ind w:firstLine="200"/>
              <w:jc w:val="left"/>
              <w:rPr>
                <w:color w:val="000000"/>
                <w:sz w:val="20"/>
                <w:szCs w:val="20"/>
              </w:rPr>
            </w:pPr>
            <w:r>
              <w:rPr>
                <w:color w:val="000000"/>
                <w:sz w:val="20"/>
                <w:szCs w:val="20"/>
              </w:rPr>
              <w:t>−0,023</w:t>
            </w:r>
          </w:p>
        </w:tc>
        <w:tc>
          <w:tcPr>
            <w:tcW w:w="1115" w:type="dxa"/>
            <w:tcBorders>
              <w:top w:val="nil"/>
              <w:left w:val="nil"/>
              <w:bottom w:val="single" w:sz="8" w:space="0" w:color="DDDDDD"/>
              <w:right w:val="single" w:sz="8" w:space="0" w:color="DDDDDD"/>
            </w:tcBorders>
            <w:shd w:val="clear" w:color="auto" w:fill="auto"/>
            <w:vAlign w:val="center"/>
          </w:tcPr>
          <w:p w14:paraId="5DA74F33" w14:textId="77777777" w:rsidR="00097466" w:rsidRDefault="00000000">
            <w:pPr>
              <w:spacing w:before="0" w:after="0" w:line="240" w:lineRule="auto"/>
              <w:ind w:firstLine="200"/>
              <w:jc w:val="left"/>
              <w:rPr>
                <w:color w:val="000000"/>
                <w:sz w:val="20"/>
                <w:szCs w:val="20"/>
              </w:rPr>
            </w:pPr>
            <w:r>
              <w:rPr>
                <w:color w:val="000000"/>
                <w:sz w:val="20"/>
                <w:szCs w:val="20"/>
              </w:rPr>
              <w:t>7,18E-01</w:t>
            </w:r>
          </w:p>
        </w:tc>
        <w:tc>
          <w:tcPr>
            <w:tcW w:w="1341" w:type="dxa"/>
            <w:tcBorders>
              <w:top w:val="nil"/>
              <w:left w:val="nil"/>
              <w:bottom w:val="single" w:sz="8" w:space="0" w:color="DDDDDD"/>
              <w:right w:val="single" w:sz="8" w:space="0" w:color="DDDDDD"/>
            </w:tcBorders>
            <w:shd w:val="clear" w:color="auto" w:fill="auto"/>
            <w:vAlign w:val="center"/>
          </w:tcPr>
          <w:p w14:paraId="7696379F" w14:textId="77777777" w:rsidR="00097466" w:rsidRDefault="00000000">
            <w:pPr>
              <w:spacing w:before="0" w:after="0" w:line="240" w:lineRule="auto"/>
              <w:ind w:firstLine="200"/>
              <w:jc w:val="left"/>
              <w:rPr>
                <w:color w:val="000000"/>
                <w:sz w:val="20"/>
                <w:szCs w:val="20"/>
              </w:rPr>
            </w:pPr>
            <w:r>
              <w:rPr>
                <w:color w:val="000000"/>
                <w:sz w:val="20"/>
                <w:szCs w:val="20"/>
              </w:rPr>
              <w:t>8,57E-01</w:t>
            </w:r>
          </w:p>
        </w:tc>
        <w:tc>
          <w:tcPr>
            <w:tcW w:w="672" w:type="dxa"/>
            <w:tcBorders>
              <w:top w:val="nil"/>
              <w:left w:val="nil"/>
              <w:bottom w:val="single" w:sz="8" w:space="0" w:color="DDDDDD"/>
              <w:right w:val="single" w:sz="8" w:space="0" w:color="DDDDDD"/>
            </w:tcBorders>
            <w:shd w:val="clear" w:color="auto" w:fill="auto"/>
            <w:vAlign w:val="center"/>
          </w:tcPr>
          <w:p w14:paraId="7BE0BA0E"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0D07F188"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20AF0064" w14:textId="77777777" w:rsidR="00097466" w:rsidRDefault="00000000" w:rsidP="009271F4">
            <w:pPr>
              <w:spacing w:before="0" w:after="0" w:line="240" w:lineRule="auto"/>
              <w:jc w:val="left"/>
              <w:rPr>
                <w:b/>
                <w:bCs/>
                <w:color w:val="000000"/>
                <w:sz w:val="20"/>
                <w:szCs w:val="20"/>
              </w:rPr>
            </w:pPr>
            <w:r>
              <w:rPr>
                <w:b/>
                <w:bCs/>
                <w:color w:val="000000"/>
                <w:sz w:val="20"/>
                <w:szCs w:val="20"/>
              </w:rPr>
              <w:t>Complemento y función hepática</w:t>
            </w:r>
          </w:p>
        </w:tc>
        <w:tc>
          <w:tcPr>
            <w:tcW w:w="680" w:type="dxa"/>
            <w:tcBorders>
              <w:top w:val="nil"/>
              <w:left w:val="nil"/>
              <w:bottom w:val="single" w:sz="8" w:space="0" w:color="DDDDDD"/>
              <w:right w:val="single" w:sz="8" w:space="0" w:color="DDDDDD"/>
            </w:tcBorders>
            <w:shd w:val="clear" w:color="auto" w:fill="auto"/>
            <w:vAlign w:val="center"/>
          </w:tcPr>
          <w:p w14:paraId="74AEB5CC"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410" w:type="dxa"/>
            <w:tcBorders>
              <w:top w:val="nil"/>
              <w:left w:val="nil"/>
              <w:bottom w:val="single" w:sz="8" w:space="0" w:color="DDDDDD"/>
              <w:right w:val="single" w:sz="8" w:space="0" w:color="DDDDDD"/>
            </w:tcBorders>
            <w:shd w:val="clear" w:color="auto" w:fill="auto"/>
            <w:vAlign w:val="center"/>
          </w:tcPr>
          <w:p w14:paraId="6D813929"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115" w:type="dxa"/>
            <w:tcBorders>
              <w:top w:val="nil"/>
              <w:left w:val="nil"/>
              <w:bottom w:val="single" w:sz="8" w:space="0" w:color="DDDDDD"/>
              <w:right w:val="single" w:sz="8" w:space="0" w:color="DDDDDD"/>
            </w:tcBorders>
            <w:shd w:val="clear" w:color="auto" w:fill="auto"/>
            <w:vAlign w:val="center"/>
          </w:tcPr>
          <w:p w14:paraId="117AC306"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341" w:type="dxa"/>
            <w:tcBorders>
              <w:top w:val="nil"/>
              <w:left w:val="nil"/>
              <w:bottom w:val="single" w:sz="8" w:space="0" w:color="DDDDDD"/>
              <w:right w:val="single" w:sz="8" w:space="0" w:color="DDDDDD"/>
            </w:tcBorders>
            <w:shd w:val="clear" w:color="auto" w:fill="auto"/>
            <w:vAlign w:val="center"/>
          </w:tcPr>
          <w:p w14:paraId="2D986AAA"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672" w:type="dxa"/>
            <w:tcBorders>
              <w:top w:val="nil"/>
              <w:left w:val="nil"/>
              <w:bottom w:val="single" w:sz="8" w:space="0" w:color="DDDDDD"/>
              <w:right w:val="single" w:sz="8" w:space="0" w:color="DDDDDD"/>
            </w:tcBorders>
            <w:shd w:val="clear" w:color="auto" w:fill="auto"/>
            <w:vAlign w:val="center"/>
          </w:tcPr>
          <w:p w14:paraId="4B40B90C"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7CF930AC"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04C99EAA" w14:textId="77777777" w:rsidR="00097466" w:rsidRDefault="00000000" w:rsidP="009271F4">
            <w:pPr>
              <w:spacing w:before="0" w:after="0" w:line="240" w:lineRule="auto"/>
              <w:jc w:val="left"/>
              <w:rPr>
                <w:color w:val="000000"/>
                <w:sz w:val="20"/>
                <w:szCs w:val="20"/>
              </w:rPr>
            </w:pPr>
            <w:r>
              <w:rPr>
                <w:color w:val="000000"/>
                <w:sz w:val="20"/>
                <w:szCs w:val="20"/>
              </w:rPr>
              <w:t>C3 (mg/</w:t>
            </w:r>
            <w:proofErr w:type="spellStart"/>
            <w:r>
              <w:rPr>
                <w:color w:val="000000"/>
                <w:sz w:val="20"/>
                <w:szCs w:val="20"/>
              </w:rPr>
              <w:t>dL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45D89256"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2072B806" w14:textId="77777777" w:rsidR="00097466" w:rsidRDefault="00000000">
            <w:pPr>
              <w:spacing w:before="0" w:after="0" w:line="240" w:lineRule="auto"/>
              <w:ind w:firstLine="200"/>
              <w:jc w:val="left"/>
              <w:rPr>
                <w:color w:val="000000"/>
                <w:sz w:val="20"/>
                <w:szCs w:val="20"/>
              </w:rPr>
            </w:pPr>
            <w:r>
              <w:rPr>
                <w:color w:val="000000"/>
                <w:sz w:val="20"/>
                <w:szCs w:val="20"/>
              </w:rPr>
              <w:t>−0,071</w:t>
            </w:r>
          </w:p>
        </w:tc>
        <w:tc>
          <w:tcPr>
            <w:tcW w:w="1115" w:type="dxa"/>
            <w:tcBorders>
              <w:top w:val="nil"/>
              <w:left w:val="nil"/>
              <w:bottom w:val="single" w:sz="8" w:space="0" w:color="DDDDDD"/>
              <w:right w:val="single" w:sz="8" w:space="0" w:color="DDDDDD"/>
            </w:tcBorders>
            <w:shd w:val="clear" w:color="auto" w:fill="auto"/>
            <w:vAlign w:val="center"/>
          </w:tcPr>
          <w:p w14:paraId="6C0A7C4B" w14:textId="77777777" w:rsidR="00097466" w:rsidRDefault="00000000">
            <w:pPr>
              <w:spacing w:before="0" w:after="0" w:line="240" w:lineRule="auto"/>
              <w:ind w:firstLine="200"/>
              <w:jc w:val="left"/>
              <w:rPr>
                <w:color w:val="000000"/>
                <w:sz w:val="20"/>
                <w:szCs w:val="20"/>
              </w:rPr>
            </w:pPr>
            <w:r>
              <w:rPr>
                <w:color w:val="000000"/>
                <w:sz w:val="20"/>
                <w:szCs w:val="20"/>
              </w:rPr>
              <w:t>2,67E-01</w:t>
            </w:r>
          </w:p>
        </w:tc>
        <w:tc>
          <w:tcPr>
            <w:tcW w:w="1341" w:type="dxa"/>
            <w:tcBorders>
              <w:top w:val="nil"/>
              <w:left w:val="nil"/>
              <w:bottom w:val="single" w:sz="8" w:space="0" w:color="DDDDDD"/>
              <w:right w:val="single" w:sz="8" w:space="0" w:color="DDDDDD"/>
            </w:tcBorders>
            <w:shd w:val="clear" w:color="auto" w:fill="auto"/>
            <w:vAlign w:val="center"/>
          </w:tcPr>
          <w:p w14:paraId="694F3956" w14:textId="77777777" w:rsidR="00097466" w:rsidRDefault="00000000">
            <w:pPr>
              <w:spacing w:before="0" w:after="0" w:line="240" w:lineRule="auto"/>
              <w:ind w:firstLine="200"/>
              <w:jc w:val="left"/>
              <w:rPr>
                <w:color w:val="000000"/>
                <w:sz w:val="20"/>
                <w:szCs w:val="20"/>
              </w:rPr>
            </w:pPr>
            <w:r>
              <w:rPr>
                <w:color w:val="000000"/>
                <w:sz w:val="20"/>
                <w:szCs w:val="20"/>
              </w:rPr>
              <w:t>4,11E-01</w:t>
            </w:r>
          </w:p>
        </w:tc>
        <w:tc>
          <w:tcPr>
            <w:tcW w:w="672" w:type="dxa"/>
            <w:tcBorders>
              <w:top w:val="nil"/>
              <w:left w:val="nil"/>
              <w:bottom w:val="single" w:sz="8" w:space="0" w:color="DDDDDD"/>
              <w:right w:val="single" w:sz="8" w:space="0" w:color="DDDDDD"/>
            </w:tcBorders>
            <w:shd w:val="clear" w:color="auto" w:fill="auto"/>
            <w:vAlign w:val="center"/>
          </w:tcPr>
          <w:p w14:paraId="1F578E42"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3810D9E4"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7ECD273F" w14:textId="77777777" w:rsidR="00097466" w:rsidRDefault="00000000" w:rsidP="009271F4">
            <w:pPr>
              <w:spacing w:before="0" w:after="0" w:line="240" w:lineRule="auto"/>
              <w:jc w:val="left"/>
              <w:rPr>
                <w:color w:val="000000"/>
                <w:sz w:val="20"/>
                <w:szCs w:val="20"/>
              </w:rPr>
            </w:pPr>
            <w:r>
              <w:rPr>
                <w:color w:val="000000"/>
                <w:sz w:val="20"/>
                <w:szCs w:val="20"/>
              </w:rPr>
              <w:t>C4 (mg/</w:t>
            </w:r>
            <w:proofErr w:type="spellStart"/>
            <w:r>
              <w:rPr>
                <w:color w:val="000000"/>
                <w:sz w:val="20"/>
                <w:szCs w:val="20"/>
              </w:rPr>
              <w:t>dL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1F67AA54" w14:textId="77777777" w:rsidR="00097466" w:rsidRDefault="00000000">
            <w:pPr>
              <w:spacing w:before="0" w:after="0" w:line="240" w:lineRule="auto"/>
              <w:ind w:firstLine="200"/>
              <w:jc w:val="left"/>
              <w:rPr>
                <w:color w:val="000000"/>
                <w:sz w:val="20"/>
                <w:szCs w:val="20"/>
              </w:rPr>
            </w:pPr>
            <w:r>
              <w:rPr>
                <w:color w:val="000000"/>
                <w:sz w:val="20"/>
                <w:szCs w:val="20"/>
              </w:rPr>
              <w:t>246</w:t>
            </w:r>
          </w:p>
        </w:tc>
        <w:tc>
          <w:tcPr>
            <w:tcW w:w="1410" w:type="dxa"/>
            <w:tcBorders>
              <w:top w:val="nil"/>
              <w:left w:val="nil"/>
              <w:bottom w:val="single" w:sz="8" w:space="0" w:color="DDDDDD"/>
              <w:right w:val="single" w:sz="8" w:space="0" w:color="DDDDDD"/>
            </w:tcBorders>
            <w:shd w:val="clear" w:color="auto" w:fill="auto"/>
            <w:vAlign w:val="center"/>
          </w:tcPr>
          <w:p w14:paraId="66FE1787" w14:textId="77777777" w:rsidR="00097466" w:rsidRDefault="00000000">
            <w:pPr>
              <w:spacing w:before="0" w:after="0" w:line="240" w:lineRule="auto"/>
              <w:ind w:firstLine="200"/>
              <w:jc w:val="left"/>
              <w:rPr>
                <w:color w:val="000000"/>
                <w:sz w:val="20"/>
                <w:szCs w:val="20"/>
              </w:rPr>
            </w:pPr>
            <w:r>
              <w:rPr>
                <w:color w:val="000000"/>
                <w:sz w:val="20"/>
                <w:szCs w:val="20"/>
              </w:rPr>
              <w:t>−0,043</w:t>
            </w:r>
          </w:p>
        </w:tc>
        <w:tc>
          <w:tcPr>
            <w:tcW w:w="1115" w:type="dxa"/>
            <w:tcBorders>
              <w:top w:val="nil"/>
              <w:left w:val="nil"/>
              <w:bottom w:val="single" w:sz="8" w:space="0" w:color="DDDDDD"/>
              <w:right w:val="single" w:sz="8" w:space="0" w:color="DDDDDD"/>
            </w:tcBorders>
            <w:shd w:val="clear" w:color="auto" w:fill="auto"/>
            <w:vAlign w:val="center"/>
          </w:tcPr>
          <w:p w14:paraId="3CD98D08" w14:textId="77777777" w:rsidR="00097466" w:rsidRDefault="00000000">
            <w:pPr>
              <w:spacing w:before="0" w:after="0" w:line="240" w:lineRule="auto"/>
              <w:ind w:firstLine="200"/>
              <w:jc w:val="left"/>
              <w:rPr>
                <w:color w:val="000000"/>
                <w:sz w:val="20"/>
                <w:szCs w:val="20"/>
              </w:rPr>
            </w:pPr>
            <w:r>
              <w:rPr>
                <w:color w:val="000000"/>
                <w:sz w:val="20"/>
                <w:szCs w:val="20"/>
              </w:rPr>
              <w:t>5,04E-01</w:t>
            </w:r>
          </w:p>
        </w:tc>
        <w:tc>
          <w:tcPr>
            <w:tcW w:w="1341" w:type="dxa"/>
            <w:tcBorders>
              <w:top w:val="nil"/>
              <w:left w:val="nil"/>
              <w:bottom w:val="single" w:sz="8" w:space="0" w:color="DDDDDD"/>
              <w:right w:val="single" w:sz="8" w:space="0" w:color="DDDDDD"/>
            </w:tcBorders>
            <w:shd w:val="clear" w:color="auto" w:fill="auto"/>
            <w:vAlign w:val="center"/>
          </w:tcPr>
          <w:p w14:paraId="01043078" w14:textId="77777777" w:rsidR="00097466" w:rsidRDefault="00000000">
            <w:pPr>
              <w:spacing w:before="0" w:after="0" w:line="240" w:lineRule="auto"/>
              <w:ind w:firstLine="200"/>
              <w:jc w:val="left"/>
              <w:rPr>
                <w:color w:val="000000"/>
                <w:sz w:val="20"/>
                <w:szCs w:val="20"/>
              </w:rPr>
            </w:pPr>
            <w:r>
              <w:rPr>
                <w:color w:val="000000"/>
                <w:sz w:val="20"/>
                <w:szCs w:val="20"/>
              </w:rPr>
              <w:t>6,40E-01</w:t>
            </w:r>
          </w:p>
        </w:tc>
        <w:tc>
          <w:tcPr>
            <w:tcW w:w="672" w:type="dxa"/>
            <w:tcBorders>
              <w:top w:val="nil"/>
              <w:left w:val="nil"/>
              <w:bottom w:val="single" w:sz="8" w:space="0" w:color="DDDDDD"/>
              <w:right w:val="single" w:sz="8" w:space="0" w:color="DDDDDD"/>
            </w:tcBorders>
            <w:shd w:val="clear" w:color="auto" w:fill="auto"/>
            <w:vAlign w:val="center"/>
          </w:tcPr>
          <w:p w14:paraId="18C426CA"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7A3BB8E9"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7983E23E" w14:textId="77777777" w:rsidR="00097466" w:rsidRDefault="00000000" w:rsidP="009271F4">
            <w:pPr>
              <w:spacing w:before="0" w:after="0" w:line="240" w:lineRule="auto"/>
              <w:jc w:val="left"/>
              <w:rPr>
                <w:color w:val="000000"/>
                <w:sz w:val="20"/>
                <w:szCs w:val="20"/>
              </w:rPr>
            </w:pPr>
            <w:r>
              <w:rPr>
                <w:color w:val="000000"/>
                <w:sz w:val="20"/>
                <w:szCs w:val="20"/>
              </w:rPr>
              <w:t>GOT/AST (U/L) †</w:t>
            </w:r>
          </w:p>
        </w:tc>
        <w:tc>
          <w:tcPr>
            <w:tcW w:w="680" w:type="dxa"/>
            <w:tcBorders>
              <w:top w:val="nil"/>
              <w:left w:val="nil"/>
              <w:bottom w:val="single" w:sz="8" w:space="0" w:color="DDDDDD"/>
              <w:right w:val="single" w:sz="8" w:space="0" w:color="DDDDDD"/>
            </w:tcBorders>
            <w:shd w:val="clear" w:color="auto" w:fill="auto"/>
            <w:vAlign w:val="center"/>
          </w:tcPr>
          <w:p w14:paraId="538B67F2" w14:textId="77777777" w:rsidR="00097466" w:rsidRDefault="00000000">
            <w:pPr>
              <w:spacing w:before="0" w:after="0" w:line="240" w:lineRule="auto"/>
              <w:ind w:firstLine="200"/>
              <w:jc w:val="left"/>
              <w:rPr>
                <w:color w:val="000000"/>
                <w:sz w:val="20"/>
                <w:szCs w:val="20"/>
              </w:rPr>
            </w:pPr>
            <w:r>
              <w:rPr>
                <w:color w:val="000000"/>
                <w:sz w:val="20"/>
                <w:szCs w:val="20"/>
              </w:rPr>
              <w:t>67</w:t>
            </w:r>
          </w:p>
        </w:tc>
        <w:tc>
          <w:tcPr>
            <w:tcW w:w="1410" w:type="dxa"/>
            <w:tcBorders>
              <w:top w:val="nil"/>
              <w:left w:val="nil"/>
              <w:bottom w:val="single" w:sz="8" w:space="0" w:color="DDDDDD"/>
              <w:right w:val="single" w:sz="8" w:space="0" w:color="DDDDDD"/>
            </w:tcBorders>
            <w:shd w:val="clear" w:color="auto" w:fill="auto"/>
            <w:vAlign w:val="center"/>
          </w:tcPr>
          <w:p w14:paraId="261F9FD5" w14:textId="77777777" w:rsidR="00097466" w:rsidRDefault="00000000">
            <w:pPr>
              <w:spacing w:before="0" w:after="0" w:line="240" w:lineRule="auto"/>
              <w:ind w:firstLine="200"/>
              <w:jc w:val="left"/>
              <w:rPr>
                <w:color w:val="000000"/>
                <w:sz w:val="20"/>
                <w:szCs w:val="20"/>
              </w:rPr>
            </w:pPr>
            <w:r>
              <w:rPr>
                <w:color w:val="000000"/>
                <w:sz w:val="20"/>
                <w:szCs w:val="20"/>
              </w:rPr>
              <w:t>0,338</w:t>
            </w:r>
          </w:p>
        </w:tc>
        <w:tc>
          <w:tcPr>
            <w:tcW w:w="1115" w:type="dxa"/>
            <w:tcBorders>
              <w:top w:val="nil"/>
              <w:left w:val="nil"/>
              <w:bottom w:val="single" w:sz="8" w:space="0" w:color="DDDDDD"/>
              <w:right w:val="single" w:sz="8" w:space="0" w:color="DDDDDD"/>
            </w:tcBorders>
            <w:shd w:val="clear" w:color="auto" w:fill="auto"/>
            <w:vAlign w:val="center"/>
          </w:tcPr>
          <w:p w14:paraId="26437DF4" w14:textId="77777777" w:rsidR="00097466" w:rsidRDefault="00000000">
            <w:pPr>
              <w:spacing w:before="0" w:after="0" w:line="240" w:lineRule="auto"/>
              <w:ind w:firstLine="200"/>
              <w:jc w:val="left"/>
              <w:rPr>
                <w:color w:val="000000"/>
                <w:sz w:val="20"/>
                <w:szCs w:val="20"/>
              </w:rPr>
            </w:pPr>
            <w:r>
              <w:rPr>
                <w:color w:val="000000"/>
                <w:sz w:val="20"/>
                <w:szCs w:val="20"/>
              </w:rPr>
              <w:t>5,12E-03</w:t>
            </w:r>
          </w:p>
        </w:tc>
        <w:tc>
          <w:tcPr>
            <w:tcW w:w="1341" w:type="dxa"/>
            <w:tcBorders>
              <w:top w:val="nil"/>
              <w:left w:val="nil"/>
              <w:bottom w:val="single" w:sz="8" w:space="0" w:color="DDDDDD"/>
              <w:right w:val="single" w:sz="8" w:space="0" w:color="DDDDDD"/>
            </w:tcBorders>
            <w:shd w:val="clear" w:color="auto" w:fill="auto"/>
            <w:vAlign w:val="center"/>
          </w:tcPr>
          <w:p w14:paraId="0643CFBD" w14:textId="77777777" w:rsidR="00097466" w:rsidRDefault="00000000">
            <w:pPr>
              <w:spacing w:before="0" w:after="0" w:line="240" w:lineRule="auto"/>
              <w:ind w:firstLine="200"/>
              <w:jc w:val="left"/>
              <w:rPr>
                <w:color w:val="000000"/>
                <w:sz w:val="20"/>
                <w:szCs w:val="20"/>
              </w:rPr>
            </w:pPr>
            <w:r>
              <w:rPr>
                <w:color w:val="000000"/>
                <w:sz w:val="20"/>
                <w:szCs w:val="20"/>
              </w:rPr>
              <w:t>1,89E-02</w:t>
            </w:r>
          </w:p>
        </w:tc>
        <w:tc>
          <w:tcPr>
            <w:tcW w:w="672" w:type="dxa"/>
            <w:tcBorders>
              <w:top w:val="nil"/>
              <w:left w:val="nil"/>
              <w:bottom w:val="single" w:sz="8" w:space="0" w:color="DDDDDD"/>
              <w:right w:val="single" w:sz="8" w:space="0" w:color="DDDDDD"/>
            </w:tcBorders>
            <w:shd w:val="clear" w:color="auto" w:fill="auto"/>
            <w:vAlign w:val="center"/>
          </w:tcPr>
          <w:p w14:paraId="72852DD2" w14:textId="77777777" w:rsidR="00097466" w:rsidRDefault="00000000">
            <w:pPr>
              <w:spacing w:before="0" w:after="0" w:line="240" w:lineRule="auto"/>
              <w:ind w:firstLine="200"/>
              <w:jc w:val="left"/>
              <w:rPr>
                <w:color w:val="000000"/>
                <w:sz w:val="20"/>
                <w:szCs w:val="20"/>
              </w:rPr>
            </w:pPr>
            <w:r>
              <w:rPr>
                <w:color w:val="000000"/>
                <w:sz w:val="20"/>
                <w:szCs w:val="20"/>
              </w:rPr>
              <w:t>*</w:t>
            </w:r>
          </w:p>
        </w:tc>
      </w:tr>
      <w:tr w:rsidR="00097466" w14:paraId="617C536E"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6031CAF0" w14:textId="77777777" w:rsidR="00097466" w:rsidRDefault="00000000" w:rsidP="009271F4">
            <w:pPr>
              <w:spacing w:before="0" w:after="0" w:line="240" w:lineRule="auto"/>
              <w:jc w:val="left"/>
              <w:rPr>
                <w:color w:val="000000"/>
                <w:sz w:val="20"/>
                <w:szCs w:val="20"/>
              </w:rPr>
            </w:pPr>
            <w:r>
              <w:rPr>
                <w:color w:val="000000"/>
                <w:sz w:val="20"/>
                <w:szCs w:val="20"/>
              </w:rPr>
              <w:t>GPT/ALT (U/L) †</w:t>
            </w:r>
          </w:p>
        </w:tc>
        <w:tc>
          <w:tcPr>
            <w:tcW w:w="680" w:type="dxa"/>
            <w:tcBorders>
              <w:top w:val="nil"/>
              <w:left w:val="nil"/>
              <w:bottom w:val="single" w:sz="8" w:space="0" w:color="DDDDDD"/>
              <w:right w:val="single" w:sz="8" w:space="0" w:color="DDDDDD"/>
            </w:tcBorders>
            <w:shd w:val="clear" w:color="auto" w:fill="auto"/>
            <w:vAlign w:val="center"/>
          </w:tcPr>
          <w:p w14:paraId="7143429C" w14:textId="77777777" w:rsidR="00097466" w:rsidRDefault="00000000">
            <w:pPr>
              <w:spacing w:before="0" w:after="0" w:line="240" w:lineRule="auto"/>
              <w:ind w:firstLine="200"/>
              <w:jc w:val="left"/>
              <w:rPr>
                <w:color w:val="000000"/>
                <w:sz w:val="20"/>
                <w:szCs w:val="20"/>
              </w:rPr>
            </w:pPr>
            <w:r>
              <w:rPr>
                <w:color w:val="000000"/>
                <w:sz w:val="20"/>
                <w:szCs w:val="20"/>
              </w:rPr>
              <w:t>67</w:t>
            </w:r>
          </w:p>
        </w:tc>
        <w:tc>
          <w:tcPr>
            <w:tcW w:w="1410" w:type="dxa"/>
            <w:tcBorders>
              <w:top w:val="nil"/>
              <w:left w:val="nil"/>
              <w:bottom w:val="single" w:sz="8" w:space="0" w:color="DDDDDD"/>
              <w:right w:val="single" w:sz="8" w:space="0" w:color="DDDDDD"/>
            </w:tcBorders>
            <w:shd w:val="clear" w:color="auto" w:fill="auto"/>
            <w:vAlign w:val="center"/>
          </w:tcPr>
          <w:p w14:paraId="3C5F4A51" w14:textId="77777777" w:rsidR="00097466" w:rsidRDefault="00000000">
            <w:pPr>
              <w:spacing w:before="0" w:after="0" w:line="240" w:lineRule="auto"/>
              <w:ind w:firstLine="200"/>
              <w:jc w:val="left"/>
              <w:rPr>
                <w:color w:val="000000"/>
                <w:sz w:val="20"/>
                <w:szCs w:val="20"/>
              </w:rPr>
            </w:pPr>
            <w:r>
              <w:rPr>
                <w:color w:val="000000"/>
                <w:sz w:val="20"/>
                <w:szCs w:val="20"/>
              </w:rPr>
              <w:t>0,135</w:t>
            </w:r>
          </w:p>
        </w:tc>
        <w:tc>
          <w:tcPr>
            <w:tcW w:w="1115" w:type="dxa"/>
            <w:tcBorders>
              <w:top w:val="nil"/>
              <w:left w:val="nil"/>
              <w:bottom w:val="single" w:sz="8" w:space="0" w:color="DDDDDD"/>
              <w:right w:val="single" w:sz="8" w:space="0" w:color="DDDDDD"/>
            </w:tcBorders>
            <w:shd w:val="clear" w:color="auto" w:fill="auto"/>
            <w:vAlign w:val="center"/>
          </w:tcPr>
          <w:p w14:paraId="2EB2D1C7" w14:textId="77777777" w:rsidR="00097466" w:rsidRDefault="00000000">
            <w:pPr>
              <w:spacing w:before="0" w:after="0" w:line="240" w:lineRule="auto"/>
              <w:ind w:firstLine="200"/>
              <w:jc w:val="left"/>
              <w:rPr>
                <w:color w:val="000000"/>
                <w:sz w:val="20"/>
                <w:szCs w:val="20"/>
              </w:rPr>
            </w:pPr>
            <w:r>
              <w:rPr>
                <w:color w:val="000000"/>
                <w:sz w:val="20"/>
                <w:szCs w:val="20"/>
              </w:rPr>
              <w:t>2,78E-01</w:t>
            </w:r>
          </w:p>
        </w:tc>
        <w:tc>
          <w:tcPr>
            <w:tcW w:w="1341" w:type="dxa"/>
            <w:tcBorders>
              <w:top w:val="nil"/>
              <w:left w:val="nil"/>
              <w:bottom w:val="single" w:sz="8" w:space="0" w:color="DDDDDD"/>
              <w:right w:val="single" w:sz="8" w:space="0" w:color="DDDDDD"/>
            </w:tcBorders>
            <w:shd w:val="clear" w:color="auto" w:fill="auto"/>
            <w:vAlign w:val="center"/>
          </w:tcPr>
          <w:p w14:paraId="1D269CA8" w14:textId="77777777" w:rsidR="00097466" w:rsidRDefault="00000000">
            <w:pPr>
              <w:spacing w:before="0" w:after="0" w:line="240" w:lineRule="auto"/>
              <w:ind w:firstLine="200"/>
              <w:jc w:val="left"/>
              <w:rPr>
                <w:color w:val="000000"/>
                <w:sz w:val="20"/>
                <w:szCs w:val="20"/>
              </w:rPr>
            </w:pPr>
            <w:r>
              <w:rPr>
                <w:color w:val="000000"/>
                <w:sz w:val="20"/>
                <w:szCs w:val="20"/>
              </w:rPr>
              <w:t>4,11E-01</w:t>
            </w:r>
          </w:p>
        </w:tc>
        <w:tc>
          <w:tcPr>
            <w:tcW w:w="672" w:type="dxa"/>
            <w:tcBorders>
              <w:top w:val="nil"/>
              <w:left w:val="nil"/>
              <w:bottom w:val="single" w:sz="8" w:space="0" w:color="DDDDDD"/>
              <w:right w:val="single" w:sz="8" w:space="0" w:color="DDDDDD"/>
            </w:tcBorders>
            <w:shd w:val="clear" w:color="auto" w:fill="auto"/>
            <w:vAlign w:val="center"/>
          </w:tcPr>
          <w:p w14:paraId="6D5498F1"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7775835B"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799982CB" w14:textId="77777777" w:rsidR="00097466" w:rsidRDefault="00000000" w:rsidP="009271F4">
            <w:pPr>
              <w:spacing w:before="0" w:after="0" w:line="240" w:lineRule="auto"/>
              <w:jc w:val="left"/>
              <w:rPr>
                <w:color w:val="000000"/>
                <w:sz w:val="20"/>
                <w:szCs w:val="20"/>
              </w:rPr>
            </w:pPr>
            <w:r>
              <w:rPr>
                <w:color w:val="000000"/>
                <w:sz w:val="20"/>
                <w:szCs w:val="20"/>
              </w:rPr>
              <w:t>GGT (U/L) †</w:t>
            </w:r>
          </w:p>
        </w:tc>
        <w:tc>
          <w:tcPr>
            <w:tcW w:w="680" w:type="dxa"/>
            <w:tcBorders>
              <w:top w:val="nil"/>
              <w:left w:val="nil"/>
              <w:bottom w:val="single" w:sz="8" w:space="0" w:color="DDDDDD"/>
              <w:right w:val="single" w:sz="8" w:space="0" w:color="DDDDDD"/>
            </w:tcBorders>
            <w:shd w:val="clear" w:color="auto" w:fill="auto"/>
            <w:vAlign w:val="center"/>
          </w:tcPr>
          <w:p w14:paraId="113B8BCD" w14:textId="77777777" w:rsidR="00097466" w:rsidRDefault="00000000">
            <w:pPr>
              <w:spacing w:before="0" w:after="0" w:line="240" w:lineRule="auto"/>
              <w:ind w:firstLine="200"/>
              <w:jc w:val="left"/>
              <w:rPr>
                <w:color w:val="000000"/>
                <w:sz w:val="20"/>
                <w:szCs w:val="20"/>
              </w:rPr>
            </w:pPr>
            <w:r>
              <w:rPr>
                <w:color w:val="000000"/>
                <w:sz w:val="20"/>
                <w:szCs w:val="20"/>
              </w:rPr>
              <w:t>52</w:t>
            </w:r>
          </w:p>
        </w:tc>
        <w:tc>
          <w:tcPr>
            <w:tcW w:w="1410" w:type="dxa"/>
            <w:tcBorders>
              <w:top w:val="nil"/>
              <w:left w:val="nil"/>
              <w:bottom w:val="single" w:sz="8" w:space="0" w:color="DDDDDD"/>
              <w:right w:val="single" w:sz="8" w:space="0" w:color="DDDDDD"/>
            </w:tcBorders>
            <w:shd w:val="clear" w:color="auto" w:fill="auto"/>
            <w:vAlign w:val="center"/>
          </w:tcPr>
          <w:p w14:paraId="346EFA3C" w14:textId="77777777" w:rsidR="00097466" w:rsidRDefault="00000000">
            <w:pPr>
              <w:spacing w:before="0" w:after="0" w:line="240" w:lineRule="auto"/>
              <w:ind w:firstLine="200"/>
              <w:jc w:val="left"/>
              <w:rPr>
                <w:color w:val="000000"/>
                <w:sz w:val="20"/>
                <w:szCs w:val="20"/>
              </w:rPr>
            </w:pPr>
            <w:r>
              <w:rPr>
                <w:color w:val="000000"/>
                <w:sz w:val="20"/>
                <w:szCs w:val="20"/>
              </w:rPr>
              <w:t>0,028</w:t>
            </w:r>
          </w:p>
        </w:tc>
        <w:tc>
          <w:tcPr>
            <w:tcW w:w="1115" w:type="dxa"/>
            <w:tcBorders>
              <w:top w:val="nil"/>
              <w:left w:val="nil"/>
              <w:bottom w:val="single" w:sz="8" w:space="0" w:color="DDDDDD"/>
              <w:right w:val="single" w:sz="8" w:space="0" w:color="DDDDDD"/>
            </w:tcBorders>
            <w:shd w:val="clear" w:color="auto" w:fill="auto"/>
            <w:vAlign w:val="center"/>
          </w:tcPr>
          <w:p w14:paraId="2082A392" w14:textId="77777777" w:rsidR="00097466" w:rsidRDefault="00000000">
            <w:pPr>
              <w:spacing w:before="0" w:after="0" w:line="240" w:lineRule="auto"/>
              <w:ind w:firstLine="200"/>
              <w:jc w:val="left"/>
              <w:rPr>
                <w:color w:val="000000"/>
                <w:sz w:val="20"/>
                <w:szCs w:val="20"/>
              </w:rPr>
            </w:pPr>
            <w:r>
              <w:rPr>
                <w:color w:val="000000"/>
                <w:sz w:val="20"/>
                <w:szCs w:val="20"/>
              </w:rPr>
              <w:t>8,45E-01</w:t>
            </w:r>
          </w:p>
        </w:tc>
        <w:tc>
          <w:tcPr>
            <w:tcW w:w="1341" w:type="dxa"/>
            <w:tcBorders>
              <w:top w:val="nil"/>
              <w:left w:val="nil"/>
              <w:bottom w:val="single" w:sz="8" w:space="0" w:color="DDDDDD"/>
              <w:right w:val="single" w:sz="8" w:space="0" w:color="DDDDDD"/>
            </w:tcBorders>
            <w:shd w:val="clear" w:color="auto" w:fill="auto"/>
            <w:vAlign w:val="center"/>
          </w:tcPr>
          <w:p w14:paraId="4EC9CE5D" w14:textId="77777777" w:rsidR="00097466" w:rsidRDefault="00000000">
            <w:pPr>
              <w:spacing w:before="0" w:after="0" w:line="240" w:lineRule="auto"/>
              <w:ind w:firstLine="200"/>
              <w:jc w:val="left"/>
              <w:rPr>
                <w:color w:val="000000"/>
                <w:sz w:val="20"/>
                <w:szCs w:val="20"/>
              </w:rPr>
            </w:pPr>
            <w:r>
              <w:rPr>
                <w:color w:val="000000"/>
                <w:sz w:val="20"/>
                <w:szCs w:val="20"/>
              </w:rPr>
              <w:t>9,78E-01</w:t>
            </w:r>
          </w:p>
        </w:tc>
        <w:tc>
          <w:tcPr>
            <w:tcW w:w="672" w:type="dxa"/>
            <w:tcBorders>
              <w:top w:val="nil"/>
              <w:left w:val="nil"/>
              <w:bottom w:val="single" w:sz="8" w:space="0" w:color="DDDDDD"/>
              <w:right w:val="single" w:sz="8" w:space="0" w:color="DDDDDD"/>
            </w:tcBorders>
            <w:shd w:val="clear" w:color="auto" w:fill="auto"/>
            <w:vAlign w:val="center"/>
          </w:tcPr>
          <w:p w14:paraId="2EFE93B6"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2736CB61"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723D3CE1" w14:textId="77777777" w:rsidR="00097466" w:rsidRDefault="00000000" w:rsidP="009271F4">
            <w:pPr>
              <w:spacing w:before="0" w:after="0" w:line="240" w:lineRule="auto"/>
              <w:jc w:val="left"/>
              <w:rPr>
                <w:color w:val="000000"/>
                <w:sz w:val="20"/>
                <w:szCs w:val="20"/>
              </w:rPr>
            </w:pPr>
            <w:r>
              <w:rPr>
                <w:color w:val="000000"/>
                <w:sz w:val="20"/>
                <w:szCs w:val="20"/>
              </w:rPr>
              <w:t>Proteínas totales (g/</w:t>
            </w:r>
            <w:proofErr w:type="spellStart"/>
            <w:r>
              <w:rPr>
                <w:color w:val="000000"/>
                <w:sz w:val="20"/>
                <w:szCs w:val="20"/>
              </w:rPr>
              <w:t>dL</w:t>
            </w:r>
            <w:proofErr w:type="spellEnd"/>
            <w:r>
              <w:rPr>
                <w:color w:val="000000"/>
                <w:sz w:val="20"/>
                <w:szCs w:val="20"/>
              </w:rPr>
              <w:t>) †</w:t>
            </w:r>
          </w:p>
        </w:tc>
        <w:tc>
          <w:tcPr>
            <w:tcW w:w="680" w:type="dxa"/>
            <w:tcBorders>
              <w:top w:val="nil"/>
              <w:left w:val="nil"/>
              <w:bottom w:val="single" w:sz="8" w:space="0" w:color="DDDDDD"/>
              <w:right w:val="single" w:sz="8" w:space="0" w:color="DDDDDD"/>
            </w:tcBorders>
            <w:shd w:val="clear" w:color="auto" w:fill="auto"/>
            <w:vAlign w:val="center"/>
          </w:tcPr>
          <w:p w14:paraId="325589A3" w14:textId="77777777" w:rsidR="00097466" w:rsidRDefault="00000000">
            <w:pPr>
              <w:spacing w:before="0" w:after="0" w:line="240" w:lineRule="auto"/>
              <w:ind w:firstLine="200"/>
              <w:jc w:val="left"/>
              <w:rPr>
                <w:color w:val="000000"/>
                <w:sz w:val="20"/>
                <w:szCs w:val="20"/>
              </w:rPr>
            </w:pPr>
            <w:r>
              <w:rPr>
                <w:color w:val="000000"/>
                <w:sz w:val="20"/>
                <w:szCs w:val="20"/>
              </w:rPr>
              <w:t>62</w:t>
            </w:r>
          </w:p>
        </w:tc>
        <w:tc>
          <w:tcPr>
            <w:tcW w:w="1410" w:type="dxa"/>
            <w:tcBorders>
              <w:top w:val="nil"/>
              <w:left w:val="nil"/>
              <w:bottom w:val="single" w:sz="8" w:space="0" w:color="DDDDDD"/>
              <w:right w:val="single" w:sz="8" w:space="0" w:color="DDDDDD"/>
            </w:tcBorders>
            <w:shd w:val="clear" w:color="auto" w:fill="auto"/>
            <w:vAlign w:val="center"/>
          </w:tcPr>
          <w:p w14:paraId="168DFC79" w14:textId="77777777" w:rsidR="00097466" w:rsidRDefault="00000000">
            <w:pPr>
              <w:spacing w:before="0" w:after="0" w:line="240" w:lineRule="auto"/>
              <w:ind w:firstLine="200"/>
              <w:jc w:val="left"/>
              <w:rPr>
                <w:color w:val="000000"/>
                <w:sz w:val="20"/>
                <w:szCs w:val="20"/>
              </w:rPr>
            </w:pPr>
            <w:r>
              <w:rPr>
                <w:color w:val="000000"/>
                <w:sz w:val="20"/>
                <w:szCs w:val="20"/>
              </w:rPr>
              <w:t>0,24</w:t>
            </w:r>
          </w:p>
        </w:tc>
        <w:tc>
          <w:tcPr>
            <w:tcW w:w="1115" w:type="dxa"/>
            <w:tcBorders>
              <w:top w:val="nil"/>
              <w:left w:val="nil"/>
              <w:bottom w:val="single" w:sz="8" w:space="0" w:color="DDDDDD"/>
              <w:right w:val="single" w:sz="8" w:space="0" w:color="DDDDDD"/>
            </w:tcBorders>
            <w:shd w:val="clear" w:color="auto" w:fill="auto"/>
            <w:vAlign w:val="center"/>
          </w:tcPr>
          <w:p w14:paraId="601B61A8" w14:textId="77777777" w:rsidR="00097466" w:rsidRDefault="00000000">
            <w:pPr>
              <w:spacing w:before="0" w:after="0" w:line="240" w:lineRule="auto"/>
              <w:ind w:firstLine="200"/>
              <w:jc w:val="left"/>
              <w:rPr>
                <w:color w:val="000000"/>
                <w:sz w:val="20"/>
                <w:szCs w:val="20"/>
              </w:rPr>
            </w:pPr>
            <w:r>
              <w:rPr>
                <w:color w:val="000000"/>
                <w:sz w:val="20"/>
                <w:szCs w:val="20"/>
              </w:rPr>
              <w:t>6,01E-02</w:t>
            </w:r>
          </w:p>
        </w:tc>
        <w:tc>
          <w:tcPr>
            <w:tcW w:w="1341" w:type="dxa"/>
            <w:tcBorders>
              <w:top w:val="nil"/>
              <w:left w:val="nil"/>
              <w:bottom w:val="single" w:sz="8" w:space="0" w:color="DDDDDD"/>
              <w:right w:val="single" w:sz="8" w:space="0" w:color="DDDDDD"/>
            </w:tcBorders>
            <w:shd w:val="clear" w:color="auto" w:fill="auto"/>
            <w:vAlign w:val="center"/>
          </w:tcPr>
          <w:p w14:paraId="157E509C" w14:textId="77777777" w:rsidR="00097466" w:rsidRDefault="00000000">
            <w:pPr>
              <w:spacing w:before="0" w:after="0" w:line="240" w:lineRule="auto"/>
              <w:ind w:firstLine="200"/>
              <w:jc w:val="left"/>
              <w:rPr>
                <w:color w:val="000000"/>
                <w:sz w:val="20"/>
                <w:szCs w:val="20"/>
              </w:rPr>
            </w:pPr>
            <w:r>
              <w:rPr>
                <w:color w:val="000000"/>
                <w:sz w:val="20"/>
                <w:szCs w:val="20"/>
              </w:rPr>
              <w:t>1,59E-01</w:t>
            </w:r>
          </w:p>
        </w:tc>
        <w:tc>
          <w:tcPr>
            <w:tcW w:w="672" w:type="dxa"/>
            <w:tcBorders>
              <w:top w:val="nil"/>
              <w:left w:val="nil"/>
              <w:bottom w:val="single" w:sz="8" w:space="0" w:color="DDDDDD"/>
              <w:right w:val="single" w:sz="8" w:space="0" w:color="DDDDDD"/>
            </w:tcBorders>
            <w:shd w:val="clear" w:color="auto" w:fill="auto"/>
            <w:vAlign w:val="center"/>
          </w:tcPr>
          <w:p w14:paraId="29E73DB3"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747D80C0"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7C25096C" w14:textId="77777777" w:rsidR="00097466" w:rsidRDefault="00000000" w:rsidP="009271F4">
            <w:pPr>
              <w:spacing w:before="0" w:after="0" w:line="240" w:lineRule="auto"/>
              <w:jc w:val="left"/>
              <w:rPr>
                <w:b/>
                <w:bCs/>
                <w:color w:val="000000"/>
                <w:sz w:val="20"/>
                <w:szCs w:val="20"/>
              </w:rPr>
            </w:pPr>
            <w:r>
              <w:rPr>
                <w:b/>
                <w:bCs/>
                <w:color w:val="000000"/>
                <w:sz w:val="20"/>
                <w:szCs w:val="20"/>
              </w:rPr>
              <w:t>Citocinas plasmáticas</w:t>
            </w:r>
          </w:p>
        </w:tc>
        <w:tc>
          <w:tcPr>
            <w:tcW w:w="680" w:type="dxa"/>
            <w:tcBorders>
              <w:top w:val="nil"/>
              <w:left w:val="nil"/>
              <w:bottom w:val="single" w:sz="8" w:space="0" w:color="DDDDDD"/>
              <w:right w:val="single" w:sz="8" w:space="0" w:color="DDDDDD"/>
            </w:tcBorders>
            <w:shd w:val="clear" w:color="auto" w:fill="auto"/>
            <w:vAlign w:val="center"/>
          </w:tcPr>
          <w:p w14:paraId="33E7757D"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410" w:type="dxa"/>
            <w:tcBorders>
              <w:top w:val="nil"/>
              <w:left w:val="nil"/>
              <w:bottom w:val="single" w:sz="8" w:space="0" w:color="DDDDDD"/>
              <w:right w:val="single" w:sz="8" w:space="0" w:color="DDDDDD"/>
            </w:tcBorders>
            <w:shd w:val="clear" w:color="auto" w:fill="auto"/>
            <w:vAlign w:val="center"/>
          </w:tcPr>
          <w:p w14:paraId="5192FC9F"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115" w:type="dxa"/>
            <w:tcBorders>
              <w:top w:val="nil"/>
              <w:left w:val="nil"/>
              <w:bottom w:val="single" w:sz="8" w:space="0" w:color="DDDDDD"/>
              <w:right w:val="single" w:sz="8" w:space="0" w:color="DDDDDD"/>
            </w:tcBorders>
            <w:shd w:val="clear" w:color="auto" w:fill="auto"/>
            <w:vAlign w:val="center"/>
          </w:tcPr>
          <w:p w14:paraId="0EF25328"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1341" w:type="dxa"/>
            <w:tcBorders>
              <w:top w:val="nil"/>
              <w:left w:val="nil"/>
              <w:bottom w:val="single" w:sz="8" w:space="0" w:color="DDDDDD"/>
              <w:right w:val="single" w:sz="8" w:space="0" w:color="DDDDDD"/>
            </w:tcBorders>
            <w:shd w:val="clear" w:color="auto" w:fill="auto"/>
            <w:vAlign w:val="center"/>
          </w:tcPr>
          <w:p w14:paraId="016CCE85"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c>
          <w:tcPr>
            <w:tcW w:w="672" w:type="dxa"/>
            <w:tcBorders>
              <w:top w:val="nil"/>
              <w:left w:val="nil"/>
              <w:bottom w:val="single" w:sz="8" w:space="0" w:color="DDDDDD"/>
              <w:right w:val="single" w:sz="8" w:space="0" w:color="DDDDDD"/>
            </w:tcBorders>
            <w:shd w:val="clear" w:color="auto" w:fill="auto"/>
            <w:vAlign w:val="center"/>
          </w:tcPr>
          <w:p w14:paraId="463B8581"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31932C86"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0DC137B8" w14:textId="77777777" w:rsidR="00097466" w:rsidRDefault="00000000" w:rsidP="009271F4">
            <w:pPr>
              <w:spacing w:before="0" w:after="0" w:line="240" w:lineRule="auto"/>
              <w:jc w:val="left"/>
              <w:rPr>
                <w:color w:val="000000"/>
                <w:sz w:val="20"/>
                <w:szCs w:val="20"/>
              </w:rPr>
            </w:pPr>
            <w:r>
              <w:rPr>
                <w:color w:val="000000"/>
                <w:sz w:val="20"/>
                <w:szCs w:val="20"/>
              </w:rPr>
              <w:t>IFN-α (pg/</w:t>
            </w:r>
            <w:proofErr w:type="spellStart"/>
            <w:r>
              <w:rPr>
                <w:color w:val="000000"/>
                <w:sz w:val="20"/>
                <w:szCs w:val="20"/>
              </w:rPr>
              <w:t>mL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48834BF6" w14:textId="77777777" w:rsidR="00097466" w:rsidRDefault="00000000">
            <w:pPr>
              <w:spacing w:before="0" w:after="0" w:line="240" w:lineRule="auto"/>
              <w:ind w:firstLine="200"/>
              <w:jc w:val="left"/>
              <w:rPr>
                <w:color w:val="000000"/>
                <w:sz w:val="20"/>
                <w:szCs w:val="20"/>
              </w:rPr>
            </w:pPr>
            <w:r>
              <w:rPr>
                <w:color w:val="000000"/>
                <w:sz w:val="20"/>
                <w:szCs w:val="20"/>
              </w:rPr>
              <w:t>243</w:t>
            </w:r>
          </w:p>
        </w:tc>
        <w:tc>
          <w:tcPr>
            <w:tcW w:w="1410" w:type="dxa"/>
            <w:tcBorders>
              <w:top w:val="nil"/>
              <w:left w:val="nil"/>
              <w:bottom w:val="single" w:sz="8" w:space="0" w:color="DDDDDD"/>
              <w:right w:val="single" w:sz="8" w:space="0" w:color="DDDDDD"/>
            </w:tcBorders>
            <w:shd w:val="clear" w:color="auto" w:fill="auto"/>
            <w:vAlign w:val="center"/>
          </w:tcPr>
          <w:p w14:paraId="7005E618" w14:textId="77777777" w:rsidR="00097466" w:rsidRDefault="00000000">
            <w:pPr>
              <w:spacing w:before="0" w:after="0" w:line="240" w:lineRule="auto"/>
              <w:ind w:firstLine="200"/>
              <w:jc w:val="left"/>
              <w:rPr>
                <w:color w:val="000000"/>
                <w:sz w:val="20"/>
                <w:szCs w:val="20"/>
              </w:rPr>
            </w:pPr>
            <w:r>
              <w:rPr>
                <w:color w:val="000000"/>
                <w:sz w:val="20"/>
                <w:szCs w:val="20"/>
              </w:rPr>
              <w:t>0,856</w:t>
            </w:r>
          </w:p>
        </w:tc>
        <w:tc>
          <w:tcPr>
            <w:tcW w:w="1115" w:type="dxa"/>
            <w:tcBorders>
              <w:top w:val="nil"/>
              <w:left w:val="nil"/>
              <w:bottom w:val="single" w:sz="8" w:space="0" w:color="DDDDDD"/>
              <w:right w:val="single" w:sz="8" w:space="0" w:color="DDDDDD"/>
            </w:tcBorders>
            <w:shd w:val="clear" w:color="auto" w:fill="auto"/>
            <w:vAlign w:val="center"/>
          </w:tcPr>
          <w:p w14:paraId="2D591CBB" w14:textId="77777777" w:rsidR="00097466" w:rsidRDefault="00000000">
            <w:pPr>
              <w:spacing w:before="0" w:after="0" w:line="240" w:lineRule="auto"/>
              <w:ind w:firstLine="200"/>
              <w:jc w:val="left"/>
              <w:rPr>
                <w:color w:val="000000"/>
                <w:sz w:val="20"/>
                <w:szCs w:val="20"/>
              </w:rPr>
            </w:pPr>
            <w:r>
              <w:rPr>
                <w:color w:val="000000"/>
                <w:sz w:val="20"/>
                <w:szCs w:val="20"/>
              </w:rPr>
              <w:t>4,09E-71</w:t>
            </w:r>
          </w:p>
        </w:tc>
        <w:tc>
          <w:tcPr>
            <w:tcW w:w="1341" w:type="dxa"/>
            <w:tcBorders>
              <w:top w:val="nil"/>
              <w:left w:val="nil"/>
              <w:bottom w:val="single" w:sz="8" w:space="0" w:color="DDDDDD"/>
              <w:right w:val="single" w:sz="8" w:space="0" w:color="DDDDDD"/>
            </w:tcBorders>
            <w:shd w:val="clear" w:color="auto" w:fill="auto"/>
            <w:vAlign w:val="center"/>
          </w:tcPr>
          <w:p w14:paraId="4EB00F12" w14:textId="77777777" w:rsidR="00097466" w:rsidRDefault="00000000">
            <w:pPr>
              <w:spacing w:before="0" w:after="0" w:line="240" w:lineRule="auto"/>
              <w:ind w:firstLine="200"/>
              <w:jc w:val="left"/>
              <w:rPr>
                <w:color w:val="000000"/>
                <w:sz w:val="20"/>
                <w:szCs w:val="20"/>
              </w:rPr>
            </w:pPr>
            <w:r>
              <w:rPr>
                <w:color w:val="000000"/>
                <w:sz w:val="20"/>
                <w:szCs w:val="20"/>
              </w:rPr>
              <w:t>1,52E-69</w:t>
            </w:r>
          </w:p>
        </w:tc>
        <w:tc>
          <w:tcPr>
            <w:tcW w:w="672" w:type="dxa"/>
            <w:tcBorders>
              <w:top w:val="nil"/>
              <w:left w:val="nil"/>
              <w:bottom w:val="single" w:sz="8" w:space="0" w:color="DDDDDD"/>
              <w:right w:val="single" w:sz="8" w:space="0" w:color="DDDDDD"/>
            </w:tcBorders>
            <w:shd w:val="clear" w:color="auto" w:fill="auto"/>
            <w:vAlign w:val="center"/>
          </w:tcPr>
          <w:p w14:paraId="533EF6E9" w14:textId="77777777" w:rsidR="00097466" w:rsidRDefault="00000000">
            <w:pPr>
              <w:spacing w:before="0" w:after="0" w:line="240" w:lineRule="auto"/>
              <w:ind w:firstLine="204"/>
              <w:jc w:val="left"/>
              <w:rPr>
                <w:b/>
                <w:bCs/>
                <w:color w:val="000000"/>
                <w:sz w:val="20"/>
                <w:szCs w:val="20"/>
              </w:rPr>
            </w:pPr>
            <w:r>
              <w:rPr>
                <w:b/>
                <w:bCs/>
                <w:color w:val="000000"/>
                <w:sz w:val="20"/>
                <w:szCs w:val="20"/>
              </w:rPr>
              <w:t>*</w:t>
            </w:r>
          </w:p>
        </w:tc>
      </w:tr>
      <w:tr w:rsidR="00097466" w14:paraId="3D7E8084"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761FEF63" w14:textId="77777777" w:rsidR="00097466" w:rsidRDefault="00000000" w:rsidP="009271F4">
            <w:pPr>
              <w:spacing w:before="0" w:after="0" w:line="240" w:lineRule="auto"/>
              <w:jc w:val="left"/>
              <w:rPr>
                <w:color w:val="000000"/>
                <w:sz w:val="20"/>
                <w:szCs w:val="20"/>
              </w:rPr>
            </w:pPr>
            <w:r>
              <w:rPr>
                <w:color w:val="000000"/>
                <w:sz w:val="20"/>
                <w:szCs w:val="20"/>
              </w:rPr>
              <w:t>IFN-γ (pg/</w:t>
            </w:r>
            <w:proofErr w:type="spellStart"/>
            <w:r>
              <w:rPr>
                <w:color w:val="000000"/>
                <w:sz w:val="20"/>
                <w:szCs w:val="20"/>
              </w:rPr>
              <w:t>mL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422F9995" w14:textId="77777777" w:rsidR="00097466" w:rsidRDefault="00000000">
            <w:pPr>
              <w:spacing w:before="0" w:after="0" w:line="240" w:lineRule="auto"/>
              <w:ind w:firstLine="200"/>
              <w:jc w:val="left"/>
              <w:rPr>
                <w:color w:val="000000"/>
                <w:sz w:val="20"/>
                <w:szCs w:val="20"/>
              </w:rPr>
            </w:pPr>
            <w:r>
              <w:rPr>
                <w:color w:val="000000"/>
                <w:sz w:val="20"/>
                <w:szCs w:val="20"/>
              </w:rPr>
              <w:t>249</w:t>
            </w:r>
          </w:p>
        </w:tc>
        <w:tc>
          <w:tcPr>
            <w:tcW w:w="1410" w:type="dxa"/>
            <w:tcBorders>
              <w:top w:val="nil"/>
              <w:left w:val="nil"/>
              <w:bottom w:val="single" w:sz="8" w:space="0" w:color="DDDDDD"/>
              <w:right w:val="single" w:sz="8" w:space="0" w:color="DDDDDD"/>
            </w:tcBorders>
            <w:shd w:val="clear" w:color="auto" w:fill="auto"/>
            <w:vAlign w:val="center"/>
          </w:tcPr>
          <w:p w14:paraId="3723C345" w14:textId="77777777" w:rsidR="00097466" w:rsidRDefault="00000000">
            <w:pPr>
              <w:spacing w:before="0" w:after="0" w:line="240" w:lineRule="auto"/>
              <w:ind w:firstLine="200"/>
              <w:jc w:val="left"/>
              <w:rPr>
                <w:color w:val="000000"/>
                <w:sz w:val="20"/>
                <w:szCs w:val="20"/>
              </w:rPr>
            </w:pPr>
            <w:r>
              <w:rPr>
                <w:color w:val="000000"/>
                <w:sz w:val="20"/>
                <w:szCs w:val="20"/>
              </w:rPr>
              <w:t>0,409</w:t>
            </w:r>
          </w:p>
        </w:tc>
        <w:tc>
          <w:tcPr>
            <w:tcW w:w="1115" w:type="dxa"/>
            <w:tcBorders>
              <w:top w:val="nil"/>
              <w:left w:val="nil"/>
              <w:bottom w:val="single" w:sz="8" w:space="0" w:color="DDDDDD"/>
              <w:right w:val="single" w:sz="8" w:space="0" w:color="DDDDDD"/>
            </w:tcBorders>
            <w:shd w:val="clear" w:color="auto" w:fill="auto"/>
            <w:vAlign w:val="center"/>
          </w:tcPr>
          <w:p w14:paraId="7206F53F" w14:textId="77777777" w:rsidR="00097466" w:rsidRDefault="00000000">
            <w:pPr>
              <w:spacing w:before="0" w:after="0" w:line="240" w:lineRule="auto"/>
              <w:ind w:firstLine="200"/>
              <w:jc w:val="left"/>
              <w:rPr>
                <w:color w:val="000000"/>
                <w:sz w:val="20"/>
                <w:szCs w:val="20"/>
              </w:rPr>
            </w:pPr>
            <w:r>
              <w:rPr>
                <w:color w:val="000000"/>
                <w:sz w:val="20"/>
                <w:szCs w:val="20"/>
              </w:rPr>
              <w:t>1,88E-11</w:t>
            </w:r>
          </w:p>
        </w:tc>
        <w:tc>
          <w:tcPr>
            <w:tcW w:w="1341" w:type="dxa"/>
            <w:tcBorders>
              <w:top w:val="nil"/>
              <w:left w:val="nil"/>
              <w:bottom w:val="single" w:sz="8" w:space="0" w:color="DDDDDD"/>
              <w:right w:val="single" w:sz="8" w:space="0" w:color="DDDDDD"/>
            </w:tcBorders>
            <w:shd w:val="clear" w:color="auto" w:fill="auto"/>
            <w:vAlign w:val="center"/>
          </w:tcPr>
          <w:p w14:paraId="0FFB6129" w14:textId="77777777" w:rsidR="00097466" w:rsidRDefault="00000000">
            <w:pPr>
              <w:spacing w:before="0" w:after="0" w:line="240" w:lineRule="auto"/>
              <w:ind w:firstLine="200"/>
              <w:jc w:val="left"/>
              <w:rPr>
                <w:color w:val="000000"/>
                <w:sz w:val="20"/>
                <w:szCs w:val="20"/>
              </w:rPr>
            </w:pPr>
            <w:r>
              <w:rPr>
                <w:color w:val="000000"/>
                <w:sz w:val="20"/>
                <w:szCs w:val="20"/>
              </w:rPr>
              <w:t>3,48E-10</w:t>
            </w:r>
          </w:p>
        </w:tc>
        <w:tc>
          <w:tcPr>
            <w:tcW w:w="672" w:type="dxa"/>
            <w:tcBorders>
              <w:top w:val="nil"/>
              <w:left w:val="nil"/>
              <w:bottom w:val="single" w:sz="8" w:space="0" w:color="DDDDDD"/>
              <w:right w:val="single" w:sz="8" w:space="0" w:color="DDDDDD"/>
            </w:tcBorders>
            <w:shd w:val="clear" w:color="auto" w:fill="auto"/>
            <w:vAlign w:val="center"/>
          </w:tcPr>
          <w:p w14:paraId="39CB0B55" w14:textId="77777777" w:rsidR="00097466" w:rsidRDefault="00000000">
            <w:pPr>
              <w:spacing w:before="0" w:after="0" w:line="240" w:lineRule="auto"/>
              <w:ind w:firstLine="204"/>
              <w:jc w:val="left"/>
              <w:rPr>
                <w:b/>
                <w:bCs/>
                <w:color w:val="000000"/>
                <w:sz w:val="20"/>
                <w:szCs w:val="20"/>
              </w:rPr>
            </w:pPr>
            <w:r>
              <w:rPr>
                <w:b/>
                <w:bCs/>
                <w:color w:val="000000"/>
                <w:sz w:val="20"/>
                <w:szCs w:val="20"/>
              </w:rPr>
              <w:t>*</w:t>
            </w:r>
          </w:p>
        </w:tc>
      </w:tr>
      <w:tr w:rsidR="00097466" w14:paraId="527E6477"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39150A1E" w14:textId="77777777" w:rsidR="00097466" w:rsidRDefault="00000000" w:rsidP="009271F4">
            <w:pPr>
              <w:spacing w:before="0" w:after="0" w:line="240" w:lineRule="auto"/>
              <w:jc w:val="left"/>
              <w:rPr>
                <w:color w:val="000000"/>
                <w:sz w:val="20"/>
                <w:szCs w:val="20"/>
              </w:rPr>
            </w:pPr>
            <w:r>
              <w:rPr>
                <w:color w:val="000000"/>
                <w:sz w:val="20"/>
                <w:szCs w:val="20"/>
              </w:rPr>
              <w:t>IL-2 (pg/</w:t>
            </w:r>
            <w:proofErr w:type="spellStart"/>
            <w:r>
              <w:rPr>
                <w:color w:val="000000"/>
                <w:sz w:val="20"/>
                <w:szCs w:val="20"/>
              </w:rPr>
              <w:t>mL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7731E348" w14:textId="77777777" w:rsidR="00097466" w:rsidRDefault="00000000">
            <w:pPr>
              <w:spacing w:before="0" w:after="0" w:line="240" w:lineRule="auto"/>
              <w:ind w:firstLine="200"/>
              <w:jc w:val="left"/>
              <w:rPr>
                <w:color w:val="000000"/>
                <w:sz w:val="20"/>
                <w:szCs w:val="20"/>
              </w:rPr>
            </w:pPr>
            <w:r>
              <w:rPr>
                <w:color w:val="000000"/>
                <w:sz w:val="20"/>
                <w:szCs w:val="20"/>
              </w:rPr>
              <w:t>178</w:t>
            </w:r>
          </w:p>
        </w:tc>
        <w:tc>
          <w:tcPr>
            <w:tcW w:w="1410" w:type="dxa"/>
            <w:tcBorders>
              <w:top w:val="nil"/>
              <w:left w:val="nil"/>
              <w:bottom w:val="single" w:sz="8" w:space="0" w:color="DDDDDD"/>
              <w:right w:val="single" w:sz="8" w:space="0" w:color="DDDDDD"/>
            </w:tcBorders>
            <w:shd w:val="clear" w:color="auto" w:fill="auto"/>
            <w:vAlign w:val="center"/>
          </w:tcPr>
          <w:p w14:paraId="4FE93ECF" w14:textId="77777777" w:rsidR="00097466" w:rsidRDefault="00000000">
            <w:pPr>
              <w:spacing w:before="0" w:after="0" w:line="240" w:lineRule="auto"/>
              <w:ind w:firstLine="200"/>
              <w:jc w:val="left"/>
              <w:rPr>
                <w:color w:val="000000"/>
                <w:sz w:val="20"/>
                <w:szCs w:val="20"/>
              </w:rPr>
            </w:pPr>
            <w:r>
              <w:rPr>
                <w:color w:val="000000"/>
                <w:sz w:val="20"/>
                <w:szCs w:val="20"/>
              </w:rPr>
              <w:t>0,373</w:t>
            </w:r>
          </w:p>
        </w:tc>
        <w:tc>
          <w:tcPr>
            <w:tcW w:w="1115" w:type="dxa"/>
            <w:tcBorders>
              <w:top w:val="nil"/>
              <w:left w:val="nil"/>
              <w:bottom w:val="single" w:sz="8" w:space="0" w:color="DDDDDD"/>
              <w:right w:val="single" w:sz="8" w:space="0" w:color="DDDDDD"/>
            </w:tcBorders>
            <w:shd w:val="clear" w:color="auto" w:fill="auto"/>
            <w:vAlign w:val="center"/>
          </w:tcPr>
          <w:p w14:paraId="421B7C91" w14:textId="77777777" w:rsidR="00097466" w:rsidRDefault="00000000">
            <w:pPr>
              <w:spacing w:before="0" w:after="0" w:line="240" w:lineRule="auto"/>
              <w:ind w:firstLine="200"/>
              <w:jc w:val="left"/>
              <w:rPr>
                <w:color w:val="000000"/>
                <w:sz w:val="20"/>
                <w:szCs w:val="20"/>
              </w:rPr>
            </w:pPr>
            <w:r>
              <w:rPr>
                <w:color w:val="000000"/>
                <w:sz w:val="20"/>
                <w:szCs w:val="20"/>
              </w:rPr>
              <w:t>2,86E-07</w:t>
            </w:r>
          </w:p>
        </w:tc>
        <w:tc>
          <w:tcPr>
            <w:tcW w:w="1341" w:type="dxa"/>
            <w:tcBorders>
              <w:top w:val="nil"/>
              <w:left w:val="nil"/>
              <w:bottom w:val="single" w:sz="8" w:space="0" w:color="DDDDDD"/>
              <w:right w:val="single" w:sz="8" w:space="0" w:color="DDDDDD"/>
            </w:tcBorders>
            <w:shd w:val="clear" w:color="auto" w:fill="auto"/>
            <w:vAlign w:val="center"/>
          </w:tcPr>
          <w:p w14:paraId="338699B3" w14:textId="77777777" w:rsidR="00097466" w:rsidRDefault="00000000">
            <w:pPr>
              <w:spacing w:before="0" w:after="0" w:line="240" w:lineRule="auto"/>
              <w:ind w:firstLine="200"/>
              <w:jc w:val="left"/>
              <w:rPr>
                <w:color w:val="000000"/>
                <w:sz w:val="20"/>
                <w:szCs w:val="20"/>
              </w:rPr>
            </w:pPr>
            <w:r>
              <w:rPr>
                <w:color w:val="000000"/>
                <w:sz w:val="20"/>
                <w:szCs w:val="20"/>
              </w:rPr>
              <w:t>3,53E-06</w:t>
            </w:r>
          </w:p>
        </w:tc>
        <w:tc>
          <w:tcPr>
            <w:tcW w:w="672" w:type="dxa"/>
            <w:tcBorders>
              <w:top w:val="nil"/>
              <w:left w:val="nil"/>
              <w:bottom w:val="single" w:sz="8" w:space="0" w:color="DDDDDD"/>
              <w:right w:val="single" w:sz="8" w:space="0" w:color="DDDDDD"/>
            </w:tcBorders>
            <w:shd w:val="clear" w:color="auto" w:fill="auto"/>
            <w:vAlign w:val="center"/>
          </w:tcPr>
          <w:p w14:paraId="4DC32565" w14:textId="77777777" w:rsidR="00097466" w:rsidRDefault="00000000">
            <w:pPr>
              <w:spacing w:before="0" w:after="0" w:line="240" w:lineRule="auto"/>
              <w:ind w:firstLine="204"/>
              <w:jc w:val="left"/>
              <w:rPr>
                <w:b/>
                <w:bCs/>
                <w:color w:val="000000"/>
                <w:sz w:val="20"/>
                <w:szCs w:val="20"/>
              </w:rPr>
            </w:pPr>
            <w:r>
              <w:rPr>
                <w:b/>
                <w:bCs/>
                <w:color w:val="000000"/>
                <w:sz w:val="20"/>
                <w:szCs w:val="20"/>
              </w:rPr>
              <w:t>*</w:t>
            </w:r>
          </w:p>
        </w:tc>
      </w:tr>
      <w:tr w:rsidR="00097466" w14:paraId="33B365DE"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55E0FBBA" w14:textId="77777777" w:rsidR="00097466" w:rsidRDefault="00000000" w:rsidP="009271F4">
            <w:pPr>
              <w:spacing w:before="0" w:after="0" w:line="240" w:lineRule="auto"/>
              <w:jc w:val="left"/>
              <w:rPr>
                <w:color w:val="000000"/>
                <w:sz w:val="20"/>
                <w:szCs w:val="20"/>
              </w:rPr>
            </w:pPr>
            <w:r>
              <w:rPr>
                <w:color w:val="000000"/>
                <w:sz w:val="20"/>
                <w:szCs w:val="20"/>
              </w:rPr>
              <w:t>IL-6 (pg/</w:t>
            </w:r>
            <w:proofErr w:type="spellStart"/>
            <w:r>
              <w:rPr>
                <w:color w:val="000000"/>
                <w:sz w:val="20"/>
                <w:szCs w:val="20"/>
              </w:rPr>
              <w:t>mL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3325E7E3" w14:textId="77777777" w:rsidR="00097466" w:rsidRDefault="00000000">
            <w:pPr>
              <w:spacing w:before="0" w:after="0" w:line="240" w:lineRule="auto"/>
              <w:ind w:firstLine="200"/>
              <w:jc w:val="left"/>
              <w:rPr>
                <w:color w:val="000000"/>
                <w:sz w:val="20"/>
                <w:szCs w:val="20"/>
              </w:rPr>
            </w:pPr>
            <w:r>
              <w:rPr>
                <w:color w:val="000000"/>
                <w:sz w:val="20"/>
                <w:szCs w:val="20"/>
              </w:rPr>
              <w:t>178</w:t>
            </w:r>
          </w:p>
        </w:tc>
        <w:tc>
          <w:tcPr>
            <w:tcW w:w="1410" w:type="dxa"/>
            <w:tcBorders>
              <w:top w:val="nil"/>
              <w:left w:val="nil"/>
              <w:bottom w:val="single" w:sz="8" w:space="0" w:color="DDDDDD"/>
              <w:right w:val="single" w:sz="8" w:space="0" w:color="DDDDDD"/>
            </w:tcBorders>
            <w:shd w:val="clear" w:color="auto" w:fill="auto"/>
            <w:vAlign w:val="center"/>
          </w:tcPr>
          <w:p w14:paraId="503DB6B9" w14:textId="77777777" w:rsidR="00097466" w:rsidRDefault="00000000">
            <w:pPr>
              <w:spacing w:before="0" w:after="0" w:line="240" w:lineRule="auto"/>
              <w:ind w:firstLine="200"/>
              <w:jc w:val="left"/>
              <w:rPr>
                <w:color w:val="000000"/>
                <w:sz w:val="20"/>
                <w:szCs w:val="20"/>
              </w:rPr>
            </w:pPr>
            <w:r>
              <w:rPr>
                <w:color w:val="000000"/>
                <w:sz w:val="20"/>
                <w:szCs w:val="20"/>
              </w:rPr>
              <w:t>0,117</w:t>
            </w:r>
          </w:p>
        </w:tc>
        <w:tc>
          <w:tcPr>
            <w:tcW w:w="1115" w:type="dxa"/>
            <w:tcBorders>
              <w:top w:val="nil"/>
              <w:left w:val="nil"/>
              <w:bottom w:val="single" w:sz="8" w:space="0" w:color="DDDDDD"/>
              <w:right w:val="single" w:sz="8" w:space="0" w:color="DDDDDD"/>
            </w:tcBorders>
            <w:shd w:val="clear" w:color="auto" w:fill="auto"/>
            <w:vAlign w:val="center"/>
          </w:tcPr>
          <w:p w14:paraId="6A97A714" w14:textId="77777777" w:rsidR="00097466" w:rsidRDefault="00000000">
            <w:pPr>
              <w:spacing w:before="0" w:after="0" w:line="240" w:lineRule="auto"/>
              <w:ind w:firstLine="200"/>
              <w:jc w:val="left"/>
              <w:rPr>
                <w:color w:val="000000"/>
                <w:sz w:val="20"/>
                <w:szCs w:val="20"/>
              </w:rPr>
            </w:pPr>
            <w:r>
              <w:rPr>
                <w:color w:val="000000"/>
                <w:sz w:val="20"/>
                <w:szCs w:val="20"/>
              </w:rPr>
              <w:t>1,21E-01</w:t>
            </w:r>
          </w:p>
        </w:tc>
        <w:tc>
          <w:tcPr>
            <w:tcW w:w="1341" w:type="dxa"/>
            <w:tcBorders>
              <w:top w:val="nil"/>
              <w:left w:val="nil"/>
              <w:bottom w:val="single" w:sz="8" w:space="0" w:color="DDDDDD"/>
              <w:right w:val="single" w:sz="8" w:space="0" w:color="DDDDDD"/>
            </w:tcBorders>
            <w:shd w:val="clear" w:color="auto" w:fill="auto"/>
            <w:vAlign w:val="center"/>
          </w:tcPr>
          <w:p w14:paraId="56F19C3B" w14:textId="77777777" w:rsidR="00097466" w:rsidRDefault="00000000">
            <w:pPr>
              <w:spacing w:before="0" w:after="0" w:line="240" w:lineRule="auto"/>
              <w:ind w:firstLine="200"/>
              <w:jc w:val="left"/>
              <w:rPr>
                <w:color w:val="000000"/>
                <w:sz w:val="20"/>
                <w:szCs w:val="20"/>
              </w:rPr>
            </w:pPr>
            <w:r>
              <w:rPr>
                <w:color w:val="000000"/>
                <w:sz w:val="20"/>
                <w:szCs w:val="20"/>
              </w:rPr>
              <w:t>2,79E-01</w:t>
            </w:r>
          </w:p>
        </w:tc>
        <w:tc>
          <w:tcPr>
            <w:tcW w:w="672" w:type="dxa"/>
            <w:tcBorders>
              <w:top w:val="nil"/>
              <w:left w:val="nil"/>
              <w:bottom w:val="single" w:sz="8" w:space="0" w:color="DDDDDD"/>
              <w:right w:val="single" w:sz="8" w:space="0" w:color="DDDDDD"/>
            </w:tcBorders>
            <w:shd w:val="clear" w:color="auto" w:fill="auto"/>
            <w:vAlign w:val="center"/>
          </w:tcPr>
          <w:p w14:paraId="0E0367D7"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55A278D5"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0457C96C" w14:textId="77777777" w:rsidR="00097466" w:rsidRDefault="00000000" w:rsidP="009271F4">
            <w:pPr>
              <w:spacing w:before="0" w:after="0" w:line="240" w:lineRule="auto"/>
              <w:jc w:val="left"/>
              <w:rPr>
                <w:color w:val="000000"/>
                <w:sz w:val="20"/>
                <w:szCs w:val="20"/>
              </w:rPr>
            </w:pPr>
            <w:r>
              <w:rPr>
                <w:color w:val="000000"/>
                <w:sz w:val="20"/>
                <w:szCs w:val="20"/>
              </w:rPr>
              <w:t>IL-8 (pg/</w:t>
            </w:r>
            <w:proofErr w:type="spellStart"/>
            <w:r>
              <w:rPr>
                <w:color w:val="000000"/>
                <w:sz w:val="20"/>
                <w:szCs w:val="20"/>
              </w:rPr>
              <w:t>mL</w:t>
            </w:r>
            <w:proofErr w:type="spellEnd"/>
            <w:r>
              <w:rPr>
                <w:color w:val="000000"/>
                <w:sz w:val="20"/>
                <w:szCs w:val="20"/>
              </w:rPr>
              <w:t>)</w:t>
            </w:r>
          </w:p>
        </w:tc>
        <w:tc>
          <w:tcPr>
            <w:tcW w:w="680" w:type="dxa"/>
            <w:tcBorders>
              <w:top w:val="nil"/>
              <w:left w:val="nil"/>
              <w:bottom w:val="single" w:sz="8" w:space="0" w:color="DDDDDD"/>
              <w:right w:val="single" w:sz="8" w:space="0" w:color="DDDDDD"/>
            </w:tcBorders>
            <w:shd w:val="clear" w:color="auto" w:fill="auto"/>
            <w:vAlign w:val="center"/>
          </w:tcPr>
          <w:p w14:paraId="36D6EA8F" w14:textId="77777777" w:rsidR="00097466" w:rsidRDefault="00000000">
            <w:pPr>
              <w:spacing w:before="0" w:after="0" w:line="240" w:lineRule="auto"/>
              <w:ind w:firstLine="200"/>
              <w:jc w:val="left"/>
              <w:rPr>
                <w:color w:val="000000"/>
                <w:sz w:val="20"/>
                <w:szCs w:val="20"/>
              </w:rPr>
            </w:pPr>
            <w:r>
              <w:rPr>
                <w:color w:val="000000"/>
                <w:sz w:val="20"/>
                <w:szCs w:val="20"/>
              </w:rPr>
              <w:t>178</w:t>
            </w:r>
          </w:p>
        </w:tc>
        <w:tc>
          <w:tcPr>
            <w:tcW w:w="1410" w:type="dxa"/>
            <w:tcBorders>
              <w:top w:val="nil"/>
              <w:left w:val="nil"/>
              <w:bottom w:val="single" w:sz="8" w:space="0" w:color="DDDDDD"/>
              <w:right w:val="single" w:sz="8" w:space="0" w:color="DDDDDD"/>
            </w:tcBorders>
            <w:shd w:val="clear" w:color="auto" w:fill="auto"/>
            <w:vAlign w:val="center"/>
          </w:tcPr>
          <w:p w14:paraId="6DF13DDF" w14:textId="77777777" w:rsidR="00097466" w:rsidRDefault="00000000">
            <w:pPr>
              <w:spacing w:before="0" w:after="0" w:line="240" w:lineRule="auto"/>
              <w:ind w:firstLine="200"/>
              <w:jc w:val="left"/>
              <w:rPr>
                <w:color w:val="000000"/>
                <w:sz w:val="20"/>
                <w:szCs w:val="20"/>
              </w:rPr>
            </w:pPr>
            <w:r>
              <w:rPr>
                <w:color w:val="000000"/>
                <w:sz w:val="20"/>
                <w:szCs w:val="20"/>
              </w:rPr>
              <w:t>0,057</w:t>
            </w:r>
          </w:p>
        </w:tc>
        <w:tc>
          <w:tcPr>
            <w:tcW w:w="1115" w:type="dxa"/>
            <w:tcBorders>
              <w:top w:val="nil"/>
              <w:left w:val="nil"/>
              <w:bottom w:val="single" w:sz="8" w:space="0" w:color="DDDDDD"/>
              <w:right w:val="single" w:sz="8" w:space="0" w:color="DDDDDD"/>
            </w:tcBorders>
            <w:shd w:val="clear" w:color="auto" w:fill="auto"/>
            <w:vAlign w:val="center"/>
          </w:tcPr>
          <w:p w14:paraId="5ADF909E" w14:textId="77777777" w:rsidR="00097466" w:rsidRDefault="00000000">
            <w:pPr>
              <w:spacing w:before="0" w:after="0" w:line="240" w:lineRule="auto"/>
              <w:ind w:firstLine="200"/>
              <w:jc w:val="left"/>
              <w:rPr>
                <w:color w:val="000000"/>
                <w:sz w:val="20"/>
                <w:szCs w:val="20"/>
              </w:rPr>
            </w:pPr>
            <w:r>
              <w:rPr>
                <w:color w:val="000000"/>
                <w:sz w:val="20"/>
                <w:szCs w:val="20"/>
              </w:rPr>
              <w:t>4,53E-01</w:t>
            </w:r>
          </w:p>
        </w:tc>
        <w:tc>
          <w:tcPr>
            <w:tcW w:w="1341" w:type="dxa"/>
            <w:tcBorders>
              <w:top w:val="nil"/>
              <w:left w:val="nil"/>
              <w:bottom w:val="single" w:sz="8" w:space="0" w:color="DDDDDD"/>
              <w:right w:val="single" w:sz="8" w:space="0" w:color="DDDDDD"/>
            </w:tcBorders>
            <w:shd w:val="clear" w:color="auto" w:fill="auto"/>
            <w:vAlign w:val="center"/>
          </w:tcPr>
          <w:p w14:paraId="4DBBD9EF" w14:textId="77777777" w:rsidR="00097466" w:rsidRDefault="00000000">
            <w:pPr>
              <w:spacing w:before="0" w:after="0" w:line="240" w:lineRule="auto"/>
              <w:ind w:firstLine="200"/>
              <w:jc w:val="left"/>
              <w:rPr>
                <w:color w:val="000000"/>
                <w:sz w:val="20"/>
                <w:szCs w:val="20"/>
              </w:rPr>
            </w:pPr>
            <w:r>
              <w:rPr>
                <w:color w:val="000000"/>
                <w:sz w:val="20"/>
                <w:szCs w:val="20"/>
              </w:rPr>
              <w:t>6,40E-01</w:t>
            </w:r>
          </w:p>
        </w:tc>
        <w:tc>
          <w:tcPr>
            <w:tcW w:w="672" w:type="dxa"/>
            <w:tcBorders>
              <w:top w:val="nil"/>
              <w:left w:val="nil"/>
              <w:bottom w:val="single" w:sz="8" w:space="0" w:color="DDDDDD"/>
              <w:right w:val="single" w:sz="8" w:space="0" w:color="DDDDDD"/>
            </w:tcBorders>
            <w:shd w:val="clear" w:color="auto" w:fill="auto"/>
            <w:vAlign w:val="center"/>
          </w:tcPr>
          <w:p w14:paraId="3AA48C2D" w14:textId="77777777" w:rsidR="00097466" w:rsidRDefault="00000000">
            <w:pPr>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r w:rsidR="00097466" w14:paraId="77EA6693" w14:textId="77777777">
        <w:trPr>
          <w:trHeight w:val="397"/>
        </w:trPr>
        <w:tc>
          <w:tcPr>
            <w:tcW w:w="3267" w:type="dxa"/>
            <w:tcBorders>
              <w:top w:val="nil"/>
              <w:left w:val="single" w:sz="8" w:space="0" w:color="DDDDDD"/>
              <w:bottom w:val="single" w:sz="8" w:space="0" w:color="DDDDDD"/>
              <w:right w:val="single" w:sz="8" w:space="0" w:color="DDDDDD"/>
            </w:tcBorders>
            <w:shd w:val="clear" w:color="auto" w:fill="auto"/>
            <w:vAlign w:val="center"/>
          </w:tcPr>
          <w:p w14:paraId="55025F17" w14:textId="77777777" w:rsidR="00097466" w:rsidRDefault="00000000" w:rsidP="009271F4">
            <w:pPr>
              <w:spacing w:before="0" w:after="0" w:line="240" w:lineRule="auto"/>
              <w:jc w:val="left"/>
              <w:rPr>
                <w:color w:val="000000"/>
                <w:sz w:val="20"/>
                <w:szCs w:val="20"/>
              </w:rPr>
            </w:pPr>
            <w:r>
              <w:rPr>
                <w:color w:val="000000"/>
                <w:sz w:val="20"/>
                <w:szCs w:val="20"/>
              </w:rPr>
              <w:t>BAFF (pg/</w:t>
            </w:r>
            <w:proofErr w:type="spellStart"/>
            <w:r>
              <w:rPr>
                <w:color w:val="000000"/>
                <w:sz w:val="20"/>
                <w:szCs w:val="20"/>
              </w:rPr>
              <w:t>mL</w:t>
            </w:r>
            <w:proofErr w:type="spellEnd"/>
            <w:r>
              <w:rPr>
                <w:color w:val="000000"/>
                <w:sz w:val="20"/>
                <w:szCs w:val="20"/>
              </w:rPr>
              <w:t>) †</w:t>
            </w:r>
          </w:p>
        </w:tc>
        <w:tc>
          <w:tcPr>
            <w:tcW w:w="680" w:type="dxa"/>
            <w:tcBorders>
              <w:top w:val="nil"/>
              <w:left w:val="nil"/>
              <w:bottom w:val="single" w:sz="8" w:space="0" w:color="DDDDDD"/>
              <w:right w:val="single" w:sz="8" w:space="0" w:color="DDDDDD"/>
            </w:tcBorders>
            <w:shd w:val="clear" w:color="auto" w:fill="auto"/>
            <w:vAlign w:val="center"/>
          </w:tcPr>
          <w:p w14:paraId="5706DBC8" w14:textId="77777777" w:rsidR="00097466" w:rsidRDefault="00000000">
            <w:pPr>
              <w:spacing w:before="0" w:after="0" w:line="240" w:lineRule="auto"/>
              <w:ind w:firstLine="200"/>
              <w:jc w:val="left"/>
              <w:rPr>
                <w:color w:val="000000"/>
                <w:sz w:val="20"/>
                <w:szCs w:val="20"/>
              </w:rPr>
            </w:pPr>
            <w:r>
              <w:rPr>
                <w:color w:val="000000"/>
                <w:sz w:val="20"/>
                <w:szCs w:val="20"/>
              </w:rPr>
              <w:t>81</w:t>
            </w:r>
          </w:p>
        </w:tc>
        <w:tc>
          <w:tcPr>
            <w:tcW w:w="1410" w:type="dxa"/>
            <w:tcBorders>
              <w:top w:val="nil"/>
              <w:left w:val="nil"/>
              <w:bottom w:val="single" w:sz="8" w:space="0" w:color="DDDDDD"/>
              <w:right w:val="single" w:sz="8" w:space="0" w:color="DDDDDD"/>
            </w:tcBorders>
            <w:shd w:val="clear" w:color="auto" w:fill="auto"/>
            <w:vAlign w:val="center"/>
          </w:tcPr>
          <w:p w14:paraId="3D2A6D1C" w14:textId="77777777" w:rsidR="00097466" w:rsidRDefault="00000000">
            <w:pPr>
              <w:spacing w:before="0" w:after="0" w:line="240" w:lineRule="auto"/>
              <w:ind w:firstLine="200"/>
              <w:jc w:val="left"/>
              <w:rPr>
                <w:color w:val="000000"/>
                <w:sz w:val="20"/>
                <w:szCs w:val="20"/>
              </w:rPr>
            </w:pPr>
            <w:r>
              <w:rPr>
                <w:color w:val="000000"/>
                <w:sz w:val="20"/>
                <w:szCs w:val="20"/>
              </w:rPr>
              <w:t>0,221</w:t>
            </w:r>
          </w:p>
        </w:tc>
        <w:tc>
          <w:tcPr>
            <w:tcW w:w="1115" w:type="dxa"/>
            <w:tcBorders>
              <w:top w:val="nil"/>
              <w:left w:val="nil"/>
              <w:bottom w:val="single" w:sz="8" w:space="0" w:color="DDDDDD"/>
              <w:right w:val="single" w:sz="8" w:space="0" w:color="DDDDDD"/>
            </w:tcBorders>
            <w:shd w:val="clear" w:color="auto" w:fill="auto"/>
            <w:vAlign w:val="center"/>
          </w:tcPr>
          <w:p w14:paraId="1FA8A2C4" w14:textId="77777777" w:rsidR="00097466" w:rsidRDefault="00000000">
            <w:pPr>
              <w:spacing w:before="0" w:after="0" w:line="240" w:lineRule="auto"/>
              <w:ind w:firstLine="200"/>
              <w:jc w:val="left"/>
              <w:rPr>
                <w:color w:val="000000"/>
                <w:sz w:val="20"/>
                <w:szCs w:val="20"/>
              </w:rPr>
            </w:pPr>
            <w:r>
              <w:rPr>
                <w:color w:val="000000"/>
                <w:sz w:val="20"/>
                <w:szCs w:val="20"/>
              </w:rPr>
              <w:t>4,70E-02</w:t>
            </w:r>
          </w:p>
        </w:tc>
        <w:tc>
          <w:tcPr>
            <w:tcW w:w="1341" w:type="dxa"/>
            <w:tcBorders>
              <w:top w:val="nil"/>
              <w:left w:val="nil"/>
              <w:bottom w:val="single" w:sz="8" w:space="0" w:color="DDDDDD"/>
              <w:right w:val="single" w:sz="8" w:space="0" w:color="DDDDDD"/>
            </w:tcBorders>
            <w:shd w:val="clear" w:color="auto" w:fill="auto"/>
            <w:vAlign w:val="center"/>
          </w:tcPr>
          <w:p w14:paraId="2378F9A5" w14:textId="77777777" w:rsidR="00097466" w:rsidRDefault="00000000">
            <w:pPr>
              <w:spacing w:before="0" w:after="0" w:line="240" w:lineRule="auto"/>
              <w:ind w:firstLine="200"/>
              <w:jc w:val="left"/>
              <w:rPr>
                <w:color w:val="000000"/>
                <w:sz w:val="20"/>
                <w:szCs w:val="20"/>
              </w:rPr>
            </w:pPr>
            <w:r>
              <w:rPr>
                <w:color w:val="000000"/>
                <w:sz w:val="20"/>
                <w:szCs w:val="20"/>
              </w:rPr>
              <w:t>1,36E-01</w:t>
            </w:r>
          </w:p>
        </w:tc>
        <w:tc>
          <w:tcPr>
            <w:tcW w:w="672" w:type="dxa"/>
            <w:tcBorders>
              <w:top w:val="nil"/>
              <w:left w:val="nil"/>
              <w:bottom w:val="single" w:sz="8" w:space="0" w:color="DDDDDD"/>
              <w:right w:val="single" w:sz="8" w:space="0" w:color="DDDDDD"/>
            </w:tcBorders>
            <w:shd w:val="clear" w:color="auto" w:fill="auto"/>
            <w:vAlign w:val="center"/>
          </w:tcPr>
          <w:p w14:paraId="730DEA82" w14:textId="77777777" w:rsidR="00097466" w:rsidRDefault="00000000" w:rsidP="00031665">
            <w:pPr>
              <w:keepNext/>
              <w:spacing w:before="0" w:after="0" w:line="240" w:lineRule="auto"/>
              <w:ind w:firstLine="240"/>
              <w:jc w:val="left"/>
              <w:rPr>
                <w:rFonts w:ascii="Arial" w:eastAsia="Arial" w:hAnsi="Arial" w:cs="Arial"/>
                <w:color w:val="000000"/>
                <w:sz w:val="24"/>
                <w:szCs w:val="24"/>
              </w:rPr>
            </w:pPr>
            <w:r>
              <w:rPr>
                <w:rFonts w:ascii="Arial" w:eastAsia="Arial" w:hAnsi="Arial" w:cs="Arial"/>
                <w:color w:val="000000"/>
                <w:sz w:val="24"/>
                <w:szCs w:val="24"/>
              </w:rPr>
              <w:t> </w:t>
            </w:r>
          </w:p>
        </w:tc>
      </w:tr>
    </w:tbl>
    <w:p w14:paraId="7DE8DC9F" w14:textId="28E23703" w:rsidR="00031665" w:rsidRDefault="00031665" w:rsidP="00C67F76">
      <w:pPr>
        <w:pStyle w:val="Descripcin"/>
      </w:pPr>
      <w:bookmarkStart w:id="145" w:name="_Toc230792257"/>
      <w:r>
        <w:t xml:space="preserve">Tabla </w:t>
      </w:r>
      <w:fldSimple w:instr=" SEQ Tabla \* ARABIC ">
        <w:r w:rsidR="00716AEA">
          <w:rPr>
            <w:noProof/>
          </w:rPr>
          <w:t>25</w:t>
        </w:r>
      </w:fldSimple>
      <w:r>
        <w:t xml:space="preserve">. </w:t>
      </w:r>
      <w:r w:rsidRPr="00CE44FB">
        <w:t>Correlaciones de Spearman entre el IFN-score de 72 ISGs y las variables continuas clínicas, bioquímicas y proteómicas con significación estadística (p-</w:t>
      </w:r>
      <w:proofErr w:type="spellStart"/>
      <w:r w:rsidRPr="00CE44FB">
        <w:t>adj</w:t>
      </w:r>
      <w:proofErr w:type="spellEnd"/>
      <w:r w:rsidRPr="00CE44FB">
        <w:t xml:space="preserve"> &lt; 0,05). Sig.: * p-</w:t>
      </w:r>
      <w:proofErr w:type="spellStart"/>
      <w:r w:rsidRPr="00CE44FB">
        <w:t>adj</w:t>
      </w:r>
      <w:proofErr w:type="spellEnd"/>
      <w:r w:rsidRPr="00CE44FB">
        <w:t xml:space="preserve"> &lt; 0,05; ** p-</w:t>
      </w:r>
      <w:proofErr w:type="spellStart"/>
      <w:r w:rsidRPr="00CE44FB">
        <w:t>adj</w:t>
      </w:r>
      <w:proofErr w:type="spellEnd"/>
      <w:r w:rsidRPr="00CE44FB">
        <w:t xml:space="preserve"> &lt; 0,01; *** p-</w:t>
      </w:r>
      <w:proofErr w:type="spellStart"/>
      <w:r w:rsidRPr="00CE44FB">
        <w:t>adj</w:t>
      </w:r>
      <w:proofErr w:type="spellEnd"/>
      <w:r w:rsidRPr="00CE44FB">
        <w:t xml:space="preserve"> &lt; 0,001. † Variables con </w:t>
      </w:r>
      <w:r>
        <w:rPr>
          <w:color w:val="000000"/>
          <w:szCs w:val="20"/>
        </w:rPr>
        <w:t>porcentaje elevado de datos</w:t>
      </w:r>
      <w:bookmarkEnd w:id="145"/>
    </w:p>
    <w:p w14:paraId="74BED567" w14:textId="67BAB9A6" w:rsidR="00097466" w:rsidRDefault="009271F4">
      <w:r>
        <w:t>Los hallazgos de mayor magnitud fueron las correlaciones positivas y significativas entre el IFN-score y los niveles séricos de IFN-α (ρ = 0,856; p-</w:t>
      </w:r>
      <w:proofErr w:type="spellStart"/>
      <w:r>
        <w:t>adj</w:t>
      </w:r>
      <w:proofErr w:type="spellEnd"/>
      <w:r>
        <w:t xml:space="preserve"> = 1,52e-69), el SLEDAI-2K (ρ = 0,182; p-</w:t>
      </w:r>
      <w:proofErr w:type="spellStart"/>
      <w:r>
        <w:t>adj</w:t>
      </w:r>
      <w:proofErr w:type="spellEnd"/>
      <w:r>
        <w:t xml:space="preserve"> = 0,016) y el SLE-DAS (ρ = 0,196; p-</w:t>
      </w:r>
      <w:proofErr w:type="spellStart"/>
      <w:r>
        <w:t>adj</w:t>
      </w:r>
      <w:proofErr w:type="spellEnd"/>
      <w:r>
        <w:t xml:space="preserve"> = 0,008) indicando que una mayor activación de la vía IFN tipo I se asocia a una mayor actividad clínica de la enfermedad. Las correlaciones negativas con la edad actual (ρ = −0,274) y la edad al diagnóstico (ρ = −0,233) refuerzan la asociación entre firma IFN elevada y debut precoz de la enfermedad, en consonancia con los resultados del apartado 4.1.1. La asociación inversa con HDL (ρ = −0,229) y Apo A-I (ρ = −0,213) apunta a un perfil lipídico más aterogénico en los pacientes con mayor activación de la vía IFN tipo I.</w:t>
      </w:r>
    </w:p>
    <w:p w14:paraId="46BBC241" w14:textId="77777777" w:rsidR="00031665" w:rsidRDefault="00000000" w:rsidP="00031665">
      <w:pPr>
        <w:keepNext/>
        <w:jc w:val="center"/>
      </w:pPr>
      <w:r>
        <w:rPr>
          <w:noProof/>
        </w:rPr>
        <w:lastRenderedPageBreak/>
        <w:drawing>
          <wp:inline distT="0" distB="0" distL="0" distR="0" wp14:anchorId="16AE6FB5" wp14:editId="3D00378A">
            <wp:extent cx="4712251" cy="3141501"/>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7"/>
                    <a:srcRect/>
                    <a:stretch>
                      <a:fillRect/>
                    </a:stretch>
                  </pic:blipFill>
                  <pic:spPr>
                    <a:xfrm>
                      <a:off x="0" y="0"/>
                      <a:ext cx="4712251" cy="3141501"/>
                    </a:xfrm>
                    <a:prstGeom prst="rect">
                      <a:avLst/>
                    </a:prstGeom>
                    <a:ln/>
                  </pic:spPr>
                </pic:pic>
              </a:graphicData>
            </a:graphic>
          </wp:inline>
        </w:drawing>
      </w:r>
    </w:p>
    <w:p w14:paraId="580DC4A1" w14:textId="6932FB21" w:rsidR="00097466" w:rsidRDefault="00031665" w:rsidP="00C67F76">
      <w:pPr>
        <w:pStyle w:val="Descripcin"/>
      </w:pPr>
      <w:bookmarkStart w:id="146" w:name="_Toc230792286"/>
      <w:r>
        <w:t xml:space="preserve">Ilustración </w:t>
      </w:r>
      <w:fldSimple w:instr=" SEQ Ilustración \* ARABIC ">
        <w:r w:rsidR="00E76F9C">
          <w:rPr>
            <w:noProof/>
          </w:rPr>
          <w:t>14</w:t>
        </w:r>
      </w:fldSimple>
      <w:r>
        <w:t xml:space="preserve">. </w:t>
      </w:r>
      <w:r w:rsidRPr="00AD31BE">
        <w:t>Correlaciones significativas entre el IFN-score y el resto de variables clínicas y de laboratorio</w:t>
      </w:r>
      <w:bookmarkEnd w:id="146"/>
    </w:p>
    <w:p w14:paraId="01546E15" w14:textId="77777777" w:rsidR="00097466" w:rsidRDefault="00000000">
      <w:pPr>
        <w:pStyle w:val="Ttulo3"/>
        <w:numPr>
          <w:ilvl w:val="2"/>
          <w:numId w:val="17"/>
        </w:numPr>
      </w:pPr>
      <w:r>
        <w:t>Predictores independientes de la clasificación IFN-</w:t>
      </w:r>
      <w:proofErr w:type="spellStart"/>
      <w:r>
        <w:t>high</w:t>
      </w:r>
      <w:proofErr w:type="spellEnd"/>
      <w:r>
        <w:t xml:space="preserve">: regresión logística </w:t>
      </w:r>
      <w:proofErr w:type="spellStart"/>
      <w:r>
        <w:t>uni</w:t>
      </w:r>
      <w:proofErr w:type="spellEnd"/>
      <w:r>
        <w:t>- y multivariable</w:t>
      </w:r>
    </w:p>
    <w:p w14:paraId="6675DCB8" w14:textId="68797C29" w:rsidR="00097466" w:rsidRDefault="00000000">
      <w:r>
        <w:t>Con el objetivo de identificar los determinantes independientes de la activación de la firma de interferón tipo I, se ajustaron modelos de regresión logística binaria tomando como variable respuesta la clasificación IFN-</w:t>
      </w:r>
      <w:proofErr w:type="spellStart"/>
      <w:r>
        <w:t>high</w:t>
      </w:r>
      <w:proofErr w:type="spellEnd"/>
      <w:r>
        <w:t xml:space="preserve"> (= 1) vs. IFN-low (= 0). El análisis se realizó en dos etapas: en primer lugar, un modelo univariable para cada variable candidata seleccionada a partir de los resultados significativos del Bloque 1 y 2; en segundo lugar, un modelo multivariable que incluyó conjuntamente las variables con p-</w:t>
      </w:r>
      <w:proofErr w:type="spellStart"/>
      <w:r>
        <w:t>adj</w:t>
      </w:r>
      <w:proofErr w:type="spellEnd"/>
      <w:r>
        <w:t xml:space="preserve"> &lt; 0,05 en el análisis univariable. Los resultados se expresaron como </w:t>
      </w:r>
      <w:proofErr w:type="spellStart"/>
      <w:r>
        <w:t>odds</w:t>
      </w:r>
      <w:proofErr w:type="spellEnd"/>
      <w:r>
        <w:t xml:space="preserve"> ratio (OR) con intervalo de confianza al 95% (IC 95%) obtenido por perfil de verosimilitud</w:t>
      </w:r>
      <w:r w:rsidR="009271F4">
        <w:t xml:space="preserve">. </w:t>
      </w:r>
    </w:p>
    <w:p w14:paraId="6E9F2E19" w14:textId="2B0DD000" w:rsidR="00097466" w:rsidRDefault="00000000">
      <w:r>
        <w:t xml:space="preserve">Tras la aplicación del procedimiento de selección </w:t>
      </w:r>
      <w:proofErr w:type="spellStart"/>
      <w:r>
        <w:t>backward</w:t>
      </w:r>
      <w:proofErr w:type="spellEnd"/>
      <w:r>
        <w:t xml:space="preserve"> </w:t>
      </w:r>
      <w:proofErr w:type="spellStart"/>
      <w:r>
        <w:t>stepwise</w:t>
      </w:r>
      <w:proofErr w:type="spellEnd"/>
      <w:r>
        <w:t xml:space="preserve"> basado en el AIC, el modelo final retuvo cinco predictores: SLEDAI-2K, SLE-DAS, HDL, IFN-α e IL-2. El modelo explicó el 31,3% de la variabilidad del IFN-score (R² ajustado = 0,313; </w:t>
      </w:r>
      <w:proofErr w:type="gramStart"/>
      <w:r>
        <w:t>F(</w:t>
      </w:r>
      <w:proofErr w:type="gramEnd"/>
      <w:r>
        <w:t>5, 166) = 16,6; p = 2,80e-13), lo que indica que estos parámetros clínicos y proteómicos capturan una proporción relevante de la variabilidad de la firma transcriptómica de interferón en la cohorte</w:t>
      </w:r>
      <w:r w:rsidR="00796537">
        <w:t>.</w:t>
      </w:r>
    </w:p>
    <w:tbl>
      <w:tblPr>
        <w:tblStyle w:val="afc"/>
        <w:tblW w:w="8484" w:type="dxa"/>
        <w:tblInd w:w="0" w:type="dxa"/>
        <w:tblLayout w:type="fixed"/>
        <w:tblLook w:val="0400" w:firstRow="0" w:lastRow="0" w:firstColumn="0" w:lastColumn="0" w:noHBand="0" w:noVBand="1"/>
      </w:tblPr>
      <w:tblGrid>
        <w:gridCol w:w="1414"/>
        <w:gridCol w:w="1414"/>
        <w:gridCol w:w="1414"/>
        <w:gridCol w:w="1414"/>
        <w:gridCol w:w="1414"/>
        <w:gridCol w:w="1414"/>
      </w:tblGrid>
      <w:tr w:rsidR="00097466" w14:paraId="6668E744" w14:textId="77777777">
        <w:trPr>
          <w:trHeight w:val="397"/>
        </w:trPr>
        <w:tc>
          <w:tcPr>
            <w:tcW w:w="1415"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6BB87595" w14:textId="77777777" w:rsidR="00097466" w:rsidRDefault="00000000">
            <w:pPr>
              <w:spacing w:before="0" w:after="0" w:line="240" w:lineRule="auto"/>
              <w:jc w:val="left"/>
              <w:rPr>
                <w:b/>
                <w:bCs/>
                <w:color w:val="000000"/>
                <w:sz w:val="20"/>
                <w:szCs w:val="20"/>
              </w:rPr>
            </w:pPr>
            <w:r>
              <w:rPr>
                <w:b/>
                <w:bCs/>
                <w:color w:val="000000"/>
                <w:sz w:val="20"/>
                <w:szCs w:val="20"/>
              </w:rPr>
              <w:t>Predictor</w:t>
            </w:r>
          </w:p>
        </w:tc>
        <w:tc>
          <w:tcPr>
            <w:tcW w:w="1414" w:type="dxa"/>
            <w:tcBorders>
              <w:top w:val="single" w:sz="8" w:space="0" w:color="DDDDDD"/>
              <w:left w:val="nil"/>
              <w:bottom w:val="single" w:sz="8" w:space="0" w:color="DDDDDD"/>
              <w:right w:val="single" w:sz="8" w:space="0" w:color="DDDDDD"/>
            </w:tcBorders>
            <w:shd w:val="clear" w:color="auto" w:fill="F2F2F2"/>
            <w:vAlign w:val="center"/>
          </w:tcPr>
          <w:p w14:paraId="1E83C2C0" w14:textId="77777777" w:rsidR="00097466" w:rsidRDefault="00000000" w:rsidP="00796537">
            <w:pPr>
              <w:spacing w:before="0" w:after="0" w:line="240" w:lineRule="auto"/>
              <w:jc w:val="center"/>
              <w:rPr>
                <w:b/>
                <w:bCs/>
                <w:color w:val="000000"/>
                <w:sz w:val="20"/>
                <w:szCs w:val="20"/>
              </w:rPr>
            </w:pPr>
            <w:r>
              <w:rPr>
                <w:b/>
                <w:bCs/>
                <w:color w:val="000000"/>
                <w:sz w:val="20"/>
                <w:szCs w:val="20"/>
              </w:rPr>
              <w:t>β</w:t>
            </w:r>
          </w:p>
        </w:tc>
        <w:tc>
          <w:tcPr>
            <w:tcW w:w="1414" w:type="dxa"/>
            <w:tcBorders>
              <w:top w:val="single" w:sz="8" w:space="0" w:color="DDDDDD"/>
              <w:left w:val="nil"/>
              <w:bottom w:val="single" w:sz="8" w:space="0" w:color="DDDDDD"/>
              <w:right w:val="single" w:sz="8" w:space="0" w:color="DDDDDD"/>
            </w:tcBorders>
            <w:shd w:val="clear" w:color="auto" w:fill="F2F2F2"/>
            <w:vAlign w:val="center"/>
          </w:tcPr>
          <w:p w14:paraId="3FD30FB3" w14:textId="77777777" w:rsidR="00097466" w:rsidRDefault="00000000" w:rsidP="00796537">
            <w:pPr>
              <w:spacing w:before="0" w:after="0" w:line="240" w:lineRule="auto"/>
              <w:jc w:val="center"/>
              <w:rPr>
                <w:b/>
                <w:bCs/>
                <w:color w:val="000000"/>
                <w:sz w:val="20"/>
                <w:szCs w:val="20"/>
              </w:rPr>
            </w:pPr>
            <w:r>
              <w:rPr>
                <w:b/>
                <w:bCs/>
                <w:color w:val="000000"/>
                <w:sz w:val="20"/>
                <w:szCs w:val="20"/>
              </w:rPr>
              <w:t>Error estándar</w:t>
            </w:r>
          </w:p>
        </w:tc>
        <w:tc>
          <w:tcPr>
            <w:tcW w:w="1414" w:type="dxa"/>
            <w:tcBorders>
              <w:top w:val="single" w:sz="8" w:space="0" w:color="DDDDDD"/>
              <w:left w:val="nil"/>
              <w:bottom w:val="single" w:sz="8" w:space="0" w:color="DDDDDD"/>
              <w:right w:val="single" w:sz="8" w:space="0" w:color="DDDDDD"/>
            </w:tcBorders>
            <w:shd w:val="clear" w:color="auto" w:fill="F2F2F2"/>
            <w:vAlign w:val="center"/>
          </w:tcPr>
          <w:p w14:paraId="1F0E189A" w14:textId="77777777" w:rsidR="00097466" w:rsidRDefault="00000000" w:rsidP="00796537">
            <w:pPr>
              <w:spacing w:before="0" w:after="0" w:line="240" w:lineRule="auto"/>
              <w:jc w:val="center"/>
              <w:rPr>
                <w:b/>
                <w:bCs/>
                <w:color w:val="000000"/>
                <w:sz w:val="20"/>
                <w:szCs w:val="20"/>
              </w:rPr>
            </w:pPr>
            <w:r>
              <w:rPr>
                <w:b/>
                <w:bCs/>
                <w:color w:val="000000"/>
                <w:sz w:val="20"/>
                <w:szCs w:val="20"/>
              </w:rPr>
              <w:t>t</w:t>
            </w:r>
          </w:p>
        </w:tc>
        <w:tc>
          <w:tcPr>
            <w:tcW w:w="1414" w:type="dxa"/>
            <w:tcBorders>
              <w:top w:val="single" w:sz="8" w:space="0" w:color="DDDDDD"/>
              <w:left w:val="nil"/>
              <w:bottom w:val="single" w:sz="8" w:space="0" w:color="DDDDDD"/>
              <w:right w:val="single" w:sz="8" w:space="0" w:color="DDDDDD"/>
            </w:tcBorders>
            <w:shd w:val="clear" w:color="auto" w:fill="F2F2F2"/>
            <w:vAlign w:val="center"/>
          </w:tcPr>
          <w:p w14:paraId="7AD285DD" w14:textId="77777777" w:rsidR="00097466" w:rsidRDefault="00000000" w:rsidP="00796537">
            <w:pPr>
              <w:spacing w:before="0" w:after="0" w:line="240" w:lineRule="auto"/>
              <w:jc w:val="center"/>
              <w:rPr>
                <w:b/>
                <w:bCs/>
                <w:color w:val="000000"/>
                <w:sz w:val="20"/>
                <w:szCs w:val="20"/>
              </w:rPr>
            </w:pPr>
            <w:r>
              <w:rPr>
                <w:b/>
                <w:bCs/>
                <w:color w:val="000000"/>
                <w:sz w:val="20"/>
                <w:szCs w:val="20"/>
              </w:rPr>
              <w:t>p-valor</w:t>
            </w:r>
          </w:p>
        </w:tc>
        <w:tc>
          <w:tcPr>
            <w:tcW w:w="1414" w:type="dxa"/>
            <w:tcBorders>
              <w:top w:val="single" w:sz="8" w:space="0" w:color="DDDDDD"/>
              <w:left w:val="nil"/>
              <w:bottom w:val="single" w:sz="8" w:space="0" w:color="DDDDDD"/>
              <w:right w:val="single" w:sz="8" w:space="0" w:color="DDDDDD"/>
            </w:tcBorders>
            <w:shd w:val="clear" w:color="auto" w:fill="F2F2F2"/>
            <w:vAlign w:val="center"/>
          </w:tcPr>
          <w:p w14:paraId="796658C8" w14:textId="77777777" w:rsidR="00097466" w:rsidRDefault="00000000" w:rsidP="00796537">
            <w:pPr>
              <w:spacing w:before="0" w:after="0" w:line="240" w:lineRule="auto"/>
              <w:jc w:val="center"/>
              <w:rPr>
                <w:b/>
                <w:bCs/>
                <w:color w:val="000000"/>
                <w:sz w:val="20"/>
                <w:szCs w:val="20"/>
              </w:rPr>
            </w:pPr>
            <w:r>
              <w:rPr>
                <w:b/>
                <w:bCs/>
                <w:color w:val="000000"/>
                <w:sz w:val="20"/>
                <w:szCs w:val="20"/>
              </w:rPr>
              <w:t>Sig.</w:t>
            </w:r>
          </w:p>
        </w:tc>
      </w:tr>
      <w:tr w:rsidR="00097466" w14:paraId="401E1D73" w14:textId="77777777">
        <w:trPr>
          <w:trHeight w:val="397"/>
        </w:trPr>
        <w:tc>
          <w:tcPr>
            <w:tcW w:w="1415" w:type="dxa"/>
            <w:tcBorders>
              <w:top w:val="nil"/>
              <w:left w:val="single" w:sz="8" w:space="0" w:color="DDDDDD"/>
              <w:bottom w:val="single" w:sz="8" w:space="0" w:color="DDDDDD"/>
              <w:right w:val="single" w:sz="8" w:space="0" w:color="DDDDDD"/>
            </w:tcBorders>
            <w:shd w:val="clear" w:color="auto" w:fill="auto"/>
            <w:vAlign w:val="center"/>
          </w:tcPr>
          <w:p w14:paraId="617D0A38" w14:textId="77777777" w:rsidR="00097466" w:rsidRDefault="00000000">
            <w:pPr>
              <w:spacing w:before="0" w:after="0" w:line="240" w:lineRule="auto"/>
              <w:jc w:val="left"/>
              <w:rPr>
                <w:color w:val="000000"/>
                <w:sz w:val="20"/>
                <w:szCs w:val="20"/>
              </w:rPr>
            </w:pPr>
            <w:r>
              <w:rPr>
                <w:color w:val="000000"/>
                <w:sz w:val="20"/>
                <w:szCs w:val="20"/>
              </w:rPr>
              <w:t>(</w:t>
            </w:r>
            <w:proofErr w:type="spellStart"/>
            <w:r>
              <w:rPr>
                <w:color w:val="000000"/>
                <w:sz w:val="20"/>
                <w:szCs w:val="20"/>
              </w:rPr>
              <w:t>Intercept</w:t>
            </w:r>
            <w:proofErr w:type="spellEnd"/>
            <w:r>
              <w:rPr>
                <w:color w:val="000000"/>
                <w:sz w:val="20"/>
                <w:szCs w:val="20"/>
              </w:rPr>
              <w:t>)</w:t>
            </w:r>
          </w:p>
        </w:tc>
        <w:tc>
          <w:tcPr>
            <w:tcW w:w="1414" w:type="dxa"/>
            <w:tcBorders>
              <w:top w:val="nil"/>
              <w:left w:val="nil"/>
              <w:bottom w:val="single" w:sz="8" w:space="0" w:color="DDDDDD"/>
              <w:right w:val="single" w:sz="8" w:space="0" w:color="DDDDDD"/>
            </w:tcBorders>
            <w:shd w:val="clear" w:color="auto" w:fill="auto"/>
            <w:vAlign w:val="center"/>
          </w:tcPr>
          <w:p w14:paraId="14FE037A" w14:textId="77777777" w:rsidR="00097466" w:rsidRDefault="00000000" w:rsidP="00796537">
            <w:pPr>
              <w:spacing w:before="0" w:after="0" w:line="240" w:lineRule="auto"/>
              <w:jc w:val="center"/>
              <w:rPr>
                <w:color w:val="000000"/>
                <w:sz w:val="20"/>
                <w:szCs w:val="20"/>
              </w:rPr>
            </w:pPr>
            <w:r>
              <w:rPr>
                <w:color w:val="000000"/>
                <w:sz w:val="20"/>
                <w:szCs w:val="20"/>
              </w:rPr>
              <w:t>0,94</w:t>
            </w:r>
          </w:p>
        </w:tc>
        <w:tc>
          <w:tcPr>
            <w:tcW w:w="1414" w:type="dxa"/>
            <w:tcBorders>
              <w:top w:val="nil"/>
              <w:left w:val="nil"/>
              <w:bottom w:val="single" w:sz="8" w:space="0" w:color="DDDDDD"/>
              <w:right w:val="single" w:sz="8" w:space="0" w:color="DDDDDD"/>
            </w:tcBorders>
            <w:shd w:val="clear" w:color="auto" w:fill="auto"/>
            <w:vAlign w:val="center"/>
          </w:tcPr>
          <w:p w14:paraId="6FD81FD5" w14:textId="77777777" w:rsidR="00097466" w:rsidRDefault="00000000" w:rsidP="00796537">
            <w:pPr>
              <w:spacing w:before="0" w:after="0" w:line="240" w:lineRule="auto"/>
              <w:jc w:val="center"/>
              <w:rPr>
                <w:color w:val="000000"/>
                <w:sz w:val="20"/>
                <w:szCs w:val="20"/>
              </w:rPr>
            </w:pPr>
            <w:r>
              <w:rPr>
                <w:color w:val="000000"/>
                <w:sz w:val="20"/>
                <w:szCs w:val="20"/>
              </w:rPr>
              <w:t>0,235</w:t>
            </w:r>
          </w:p>
        </w:tc>
        <w:tc>
          <w:tcPr>
            <w:tcW w:w="1414" w:type="dxa"/>
            <w:tcBorders>
              <w:top w:val="nil"/>
              <w:left w:val="nil"/>
              <w:bottom w:val="single" w:sz="8" w:space="0" w:color="DDDDDD"/>
              <w:right w:val="single" w:sz="8" w:space="0" w:color="DDDDDD"/>
            </w:tcBorders>
            <w:shd w:val="clear" w:color="auto" w:fill="auto"/>
            <w:vAlign w:val="center"/>
          </w:tcPr>
          <w:p w14:paraId="514A1747" w14:textId="77777777" w:rsidR="00097466" w:rsidRDefault="00000000" w:rsidP="00796537">
            <w:pPr>
              <w:spacing w:before="0" w:after="0" w:line="240" w:lineRule="auto"/>
              <w:jc w:val="center"/>
              <w:rPr>
                <w:color w:val="000000"/>
                <w:sz w:val="20"/>
                <w:szCs w:val="20"/>
              </w:rPr>
            </w:pPr>
            <w:r>
              <w:rPr>
                <w:color w:val="000000"/>
                <w:sz w:val="20"/>
                <w:szCs w:val="20"/>
              </w:rPr>
              <w:t>4,006</w:t>
            </w:r>
          </w:p>
        </w:tc>
        <w:tc>
          <w:tcPr>
            <w:tcW w:w="1414" w:type="dxa"/>
            <w:tcBorders>
              <w:top w:val="nil"/>
              <w:left w:val="nil"/>
              <w:bottom w:val="single" w:sz="8" w:space="0" w:color="DDDDDD"/>
              <w:right w:val="single" w:sz="8" w:space="0" w:color="DDDDDD"/>
            </w:tcBorders>
            <w:shd w:val="clear" w:color="auto" w:fill="auto"/>
            <w:vAlign w:val="center"/>
          </w:tcPr>
          <w:p w14:paraId="226BE406" w14:textId="77777777" w:rsidR="00097466" w:rsidRDefault="00000000" w:rsidP="00796537">
            <w:pPr>
              <w:spacing w:before="0" w:after="0" w:line="240" w:lineRule="auto"/>
              <w:jc w:val="center"/>
              <w:rPr>
                <w:color w:val="000000"/>
                <w:sz w:val="20"/>
                <w:szCs w:val="20"/>
              </w:rPr>
            </w:pPr>
            <w:r>
              <w:rPr>
                <w:color w:val="000000"/>
                <w:sz w:val="20"/>
                <w:szCs w:val="20"/>
              </w:rPr>
              <w:t>9,29E-05</w:t>
            </w:r>
          </w:p>
        </w:tc>
        <w:tc>
          <w:tcPr>
            <w:tcW w:w="1414" w:type="dxa"/>
            <w:tcBorders>
              <w:top w:val="nil"/>
              <w:left w:val="nil"/>
              <w:bottom w:val="single" w:sz="8" w:space="0" w:color="DDDDDD"/>
              <w:right w:val="single" w:sz="8" w:space="0" w:color="DDDDDD"/>
            </w:tcBorders>
            <w:shd w:val="clear" w:color="auto" w:fill="auto"/>
            <w:vAlign w:val="center"/>
          </w:tcPr>
          <w:p w14:paraId="20177CDE" w14:textId="77777777" w:rsidR="00097466" w:rsidRDefault="00000000" w:rsidP="00796537">
            <w:pPr>
              <w:spacing w:before="0" w:after="0" w:line="240" w:lineRule="auto"/>
              <w:jc w:val="center"/>
              <w:rPr>
                <w:b/>
                <w:bCs/>
                <w:color w:val="000000"/>
                <w:sz w:val="20"/>
                <w:szCs w:val="20"/>
              </w:rPr>
            </w:pPr>
            <w:r>
              <w:rPr>
                <w:b/>
                <w:bCs/>
                <w:color w:val="000000"/>
                <w:sz w:val="20"/>
                <w:szCs w:val="20"/>
              </w:rPr>
              <w:t>*</w:t>
            </w:r>
          </w:p>
        </w:tc>
      </w:tr>
      <w:tr w:rsidR="00097466" w14:paraId="2A5EB40B" w14:textId="77777777">
        <w:trPr>
          <w:trHeight w:val="397"/>
        </w:trPr>
        <w:tc>
          <w:tcPr>
            <w:tcW w:w="1415" w:type="dxa"/>
            <w:tcBorders>
              <w:top w:val="nil"/>
              <w:left w:val="single" w:sz="8" w:space="0" w:color="DDDDDD"/>
              <w:bottom w:val="single" w:sz="8" w:space="0" w:color="DDDDDD"/>
              <w:right w:val="single" w:sz="8" w:space="0" w:color="DDDDDD"/>
            </w:tcBorders>
            <w:shd w:val="clear" w:color="auto" w:fill="auto"/>
            <w:vAlign w:val="center"/>
          </w:tcPr>
          <w:p w14:paraId="5E5CA595" w14:textId="77777777" w:rsidR="00097466" w:rsidRDefault="00000000">
            <w:pPr>
              <w:spacing w:before="0" w:after="0" w:line="240" w:lineRule="auto"/>
              <w:jc w:val="left"/>
              <w:rPr>
                <w:color w:val="000000"/>
                <w:sz w:val="20"/>
                <w:szCs w:val="20"/>
              </w:rPr>
            </w:pPr>
            <w:r>
              <w:rPr>
                <w:color w:val="000000"/>
                <w:sz w:val="20"/>
                <w:szCs w:val="20"/>
              </w:rPr>
              <w:t>SLEDAI-2K</w:t>
            </w:r>
          </w:p>
        </w:tc>
        <w:tc>
          <w:tcPr>
            <w:tcW w:w="1414" w:type="dxa"/>
            <w:tcBorders>
              <w:top w:val="nil"/>
              <w:left w:val="nil"/>
              <w:bottom w:val="single" w:sz="8" w:space="0" w:color="DDDDDD"/>
              <w:right w:val="single" w:sz="8" w:space="0" w:color="DDDDDD"/>
            </w:tcBorders>
            <w:shd w:val="clear" w:color="auto" w:fill="auto"/>
            <w:vAlign w:val="center"/>
          </w:tcPr>
          <w:p w14:paraId="2349390C" w14:textId="77777777" w:rsidR="00097466" w:rsidRDefault="00000000" w:rsidP="00796537">
            <w:pPr>
              <w:spacing w:before="0" w:after="0" w:line="240" w:lineRule="auto"/>
              <w:jc w:val="center"/>
              <w:rPr>
                <w:color w:val="000000"/>
                <w:sz w:val="20"/>
                <w:szCs w:val="20"/>
              </w:rPr>
            </w:pPr>
            <w:r>
              <w:rPr>
                <w:color w:val="000000"/>
                <w:sz w:val="20"/>
                <w:szCs w:val="20"/>
              </w:rPr>
              <w:t>0,079</w:t>
            </w:r>
          </w:p>
        </w:tc>
        <w:tc>
          <w:tcPr>
            <w:tcW w:w="1414" w:type="dxa"/>
            <w:tcBorders>
              <w:top w:val="nil"/>
              <w:left w:val="nil"/>
              <w:bottom w:val="single" w:sz="8" w:space="0" w:color="DDDDDD"/>
              <w:right w:val="single" w:sz="8" w:space="0" w:color="DDDDDD"/>
            </w:tcBorders>
            <w:shd w:val="clear" w:color="auto" w:fill="auto"/>
            <w:vAlign w:val="center"/>
          </w:tcPr>
          <w:p w14:paraId="4B1E34C3" w14:textId="77777777" w:rsidR="00097466" w:rsidRDefault="00000000" w:rsidP="00796537">
            <w:pPr>
              <w:spacing w:before="0" w:after="0" w:line="240" w:lineRule="auto"/>
              <w:jc w:val="center"/>
              <w:rPr>
                <w:color w:val="000000"/>
                <w:sz w:val="20"/>
                <w:szCs w:val="20"/>
              </w:rPr>
            </w:pPr>
            <w:r>
              <w:rPr>
                <w:color w:val="000000"/>
                <w:sz w:val="20"/>
                <w:szCs w:val="20"/>
              </w:rPr>
              <w:t>0,036</w:t>
            </w:r>
          </w:p>
        </w:tc>
        <w:tc>
          <w:tcPr>
            <w:tcW w:w="1414" w:type="dxa"/>
            <w:tcBorders>
              <w:top w:val="nil"/>
              <w:left w:val="nil"/>
              <w:bottom w:val="single" w:sz="8" w:space="0" w:color="DDDDDD"/>
              <w:right w:val="single" w:sz="8" w:space="0" w:color="DDDDDD"/>
            </w:tcBorders>
            <w:shd w:val="clear" w:color="auto" w:fill="auto"/>
            <w:vAlign w:val="center"/>
          </w:tcPr>
          <w:p w14:paraId="60DAE78B" w14:textId="77777777" w:rsidR="00097466" w:rsidRDefault="00000000" w:rsidP="00796537">
            <w:pPr>
              <w:spacing w:before="0" w:after="0" w:line="240" w:lineRule="auto"/>
              <w:jc w:val="center"/>
              <w:rPr>
                <w:color w:val="000000"/>
                <w:sz w:val="20"/>
                <w:szCs w:val="20"/>
              </w:rPr>
            </w:pPr>
            <w:r>
              <w:rPr>
                <w:color w:val="000000"/>
                <w:sz w:val="20"/>
                <w:szCs w:val="20"/>
              </w:rPr>
              <w:t>2,16</w:t>
            </w:r>
          </w:p>
        </w:tc>
        <w:tc>
          <w:tcPr>
            <w:tcW w:w="1414" w:type="dxa"/>
            <w:tcBorders>
              <w:top w:val="nil"/>
              <w:left w:val="nil"/>
              <w:bottom w:val="single" w:sz="8" w:space="0" w:color="DDDDDD"/>
              <w:right w:val="single" w:sz="8" w:space="0" w:color="DDDDDD"/>
            </w:tcBorders>
            <w:shd w:val="clear" w:color="auto" w:fill="auto"/>
            <w:vAlign w:val="center"/>
          </w:tcPr>
          <w:p w14:paraId="48F19D02" w14:textId="77777777" w:rsidR="00097466" w:rsidRDefault="00000000" w:rsidP="00796537">
            <w:pPr>
              <w:spacing w:before="0" w:after="0" w:line="240" w:lineRule="auto"/>
              <w:jc w:val="center"/>
              <w:rPr>
                <w:color w:val="000000"/>
                <w:sz w:val="20"/>
                <w:szCs w:val="20"/>
              </w:rPr>
            </w:pPr>
            <w:r>
              <w:rPr>
                <w:color w:val="000000"/>
                <w:sz w:val="20"/>
                <w:szCs w:val="20"/>
              </w:rPr>
              <w:t>0,032</w:t>
            </w:r>
          </w:p>
        </w:tc>
        <w:tc>
          <w:tcPr>
            <w:tcW w:w="1414" w:type="dxa"/>
            <w:tcBorders>
              <w:top w:val="nil"/>
              <w:left w:val="nil"/>
              <w:bottom w:val="single" w:sz="8" w:space="0" w:color="DDDDDD"/>
              <w:right w:val="single" w:sz="8" w:space="0" w:color="DDDDDD"/>
            </w:tcBorders>
            <w:shd w:val="clear" w:color="auto" w:fill="auto"/>
            <w:vAlign w:val="center"/>
          </w:tcPr>
          <w:p w14:paraId="78212393" w14:textId="77777777" w:rsidR="00097466" w:rsidRDefault="00000000" w:rsidP="00796537">
            <w:pPr>
              <w:spacing w:before="0" w:after="0" w:line="240" w:lineRule="auto"/>
              <w:jc w:val="center"/>
              <w:rPr>
                <w:color w:val="000000"/>
                <w:sz w:val="20"/>
                <w:szCs w:val="20"/>
              </w:rPr>
            </w:pPr>
            <w:r>
              <w:rPr>
                <w:color w:val="000000"/>
                <w:sz w:val="20"/>
                <w:szCs w:val="20"/>
              </w:rPr>
              <w:t>*</w:t>
            </w:r>
          </w:p>
        </w:tc>
      </w:tr>
      <w:tr w:rsidR="00097466" w14:paraId="4F8EE745" w14:textId="77777777">
        <w:trPr>
          <w:trHeight w:val="397"/>
        </w:trPr>
        <w:tc>
          <w:tcPr>
            <w:tcW w:w="1415" w:type="dxa"/>
            <w:tcBorders>
              <w:top w:val="nil"/>
              <w:left w:val="single" w:sz="8" w:space="0" w:color="DDDDDD"/>
              <w:bottom w:val="single" w:sz="8" w:space="0" w:color="DDDDDD"/>
              <w:right w:val="single" w:sz="8" w:space="0" w:color="DDDDDD"/>
            </w:tcBorders>
            <w:shd w:val="clear" w:color="auto" w:fill="auto"/>
            <w:vAlign w:val="center"/>
          </w:tcPr>
          <w:p w14:paraId="0E2DC45E" w14:textId="77777777" w:rsidR="00097466" w:rsidRDefault="00000000">
            <w:pPr>
              <w:spacing w:before="0" w:after="0" w:line="240" w:lineRule="auto"/>
              <w:jc w:val="left"/>
              <w:rPr>
                <w:color w:val="000000"/>
                <w:sz w:val="20"/>
                <w:szCs w:val="20"/>
              </w:rPr>
            </w:pPr>
            <w:r>
              <w:rPr>
                <w:color w:val="000000"/>
                <w:sz w:val="20"/>
                <w:szCs w:val="20"/>
              </w:rPr>
              <w:t>SLE-DAS</w:t>
            </w:r>
          </w:p>
        </w:tc>
        <w:tc>
          <w:tcPr>
            <w:tcW w:w="1414" w:type="dxa"/>
            <w:tcBorders>
              <w:top w:val="nil"/>
              <w:left w:val="nil"/>
              <w:bottom w:val="single" w:sz="8" w:space="0" w:color="DDDDDD"/>
              <w:right w:val="single" w:sz="8" w:space="0" w:color="DDDDDD"/>
            </w:tcBorders>
            <w:shd w:val="clear" w:color="auto" w:fill="auto"/>
            <w:vAlign w:val="center"/>
          </w:tcPr>
          <w:p w14:paraId="0CD310BC" w14:textId="77777777" w:rsidR="00097466" w:rsidRDefault="00000000" w:rsidP="00796537">
            <w:pPr>
              <w:spacing w:before="0" w:after="0" w:line="240" w:lineRule="auto"/>
              <w:jc w:val="center"/>
              <w:rPr>
                <w:color w:val="000000"/>
                <w:sz w:val="20"/>
                <w:szCs w:val="20"/>
              </w:rPr>
            </w:pPr>
            <w:r>
              <w:rPr>
                <w:color w:val="000000"/>
                <w:sz w:val="20"/>
                <w:szCs w:val="20"/>
              </w:rPr>
              <w:t>−0,084</w:t>
            </w:r>
          </w:p>
        </w:tc>
        <w:tc>
          <w:tcPr>
            <w:tcW w:w="1414" w:type="dxa"/>
            <w:tcBorders>
              <w:top w:val="nil"/>
              <w:left w:val="nil"/>
              <w:bottom w:val="single" w:sz="8" w:space="0" w:color="DDDDDD"/>
              <w:right w:val="single" w:sz="8" w:space="0" w:color="DDDDDD"/>
            </w:tcBorders>
            <w:shd w:val="clear" w:color="auto" w:fill="auto"/>
            <w:vAlign w:val="center"/>
          </w:tcPr>
          <w:p w14:paraId="1835B3D2" w14:textId="77777777" w:rsidR="00097466" w:rsidRDefault="00000000" w:rsidP="00796537">
            <w:pPr>
              <w:spacing w:before="0" w:after="0" w:line="240" w:lineRule="auto"/>
              <w:jc w:val="center"/>
              <w:rPr>
                <w:color w:val="000000"/>
                <w:sz w:val="20"/>
                <w:szCs w:val="20"/>
              </w:rPr>
            </w:pPr>
            <w:r>
              <w:rPr>
                <w:color w:val="000000"/>
                <w:sz w:val="20"/>
                <w:szCs w:val="20"/>
              </w:rPr>
              <w:t>0,033</w:t>
            </w:r>
          </w:p>
        </w:tc>
        <w:tc>
          <w:tcPr>
            <w:tcW w:w="1414" w:type="dxa"/>
            <w:tcBorders>
              <w:top w:val="nil"/>
              <w:left w:val="nil"/>
              <w:bottom w:val="single" w:sz="8" w:space="0" w:color="DDDDDD"/>
              <w:right w:val="single" w:sz="8" w:space="0" w:color="DDDDDD"/>
            </w:tcBorders>
            <w:shd w:val="clear" w:color="auto" w:fill="auto"/>
            <w:vAlign w:val="center"/>
          </w:tcPr>
          <w:p w14:paraId="5F40499E" w14:textId="77777777" w:rsidR="00097466" w:rsidRDefault="00000000" w:rsidP="00796537">
            <w:pPr>
              <w:spacing w:before="0" w:after="0" w:line="240" w:lineRule="auto"/>
              <w:jc w:val="center"/>
              <w:rPr>
                <w:color w:val="000000"/>
                <w:sz w:val="20"/>
                <w:szCs w:val="20"/>
              </w:rPr>
            </w:pPr>
            <w:r>
              <w:rPr>
                <w:color w:val="000000"/>
                <w:sz w:val="20"/>
                <w:szCs w:val="20"/>
              </w:rPr>
              <w:t>−2,534</w:t>
            </w:r>
          </w:p>
        </w:tc>
        <w:tc>
          <w:tcPr>
            <w:tcW w:w="1414" w:type="dxa"/>
            <w:tcBorders>
              <w:top w:val="nil"/>
              <w:left w:val="nil"/>
              <w:bottom w:val="single" w:sz="8" w:space="0" w:color="DDDDDD"/>
              <w:right w:val="single" w:sz="8" w:space="0" w:color="DDDDDD"/>
            </w:tcBorders>
            <w:shd w:val="clear" w:color="auto" w:fill="auto"/>
            <w:vAlign w:val="center"/>
          </w:tcPr>
          <w:p w14:paraId="4055136E" w14:textId="77777777" w:rsidR="00097466" w:rsidRDefault="00000000" w:rsidP="00796537">
            <w:pPr>
              <w:spacing w:before="0" w:after="0" w:line="240" w:lineRule="auto"/>
              <w:jc w:val="center"/>
              <w:rPr>
                <w:color w:val="000000"/>
                <w:sz w:val="20"/>
                <w:szCs w:val="20"/>
              </w:rPr>
            </w:pPr>
            <w:r>
              <w:rPr>
                <w:color w:val="000000"/>
                <w:sz w:val="20"/>
                <w:szCs w:val="20"/>
              </w:rPr>
              <w:t>0,012</w:t>
            </w:r>
          </w:p>
        </w:tc>
        <w:tc>
          <w:tcPr>
            <w:tcW w:w="1414" w:type="dxa"/>
            <w:tcBorders>
              <w:top w:val="nil"/>
              <w:left w:val="nil"/>
              <w:bottom w:val="single" w:sz="8" w:space="0" w:color="DDDDDD"/>
              <w:right w:val="single" w:sz="8" w:space="0" w:color="DDDDDD"/>
            </w:tcBorders>
            <w:shd w:val="clear" w:color="auto" w:fill="auto"/>
            <w:vAlign w:val="center"/>
          </w:tcPr>
          <w:p w14:paraId="1AD7456B" w14:textId="77777777" w:rsidR="00097466" w:rsidRDefault="00000000" w:rsidP="00796537">
            <w:pPr>
              <w:spacing w:before="0" w:after="0" w:line="240" w:lineRule="auto"/>
              <w:jc w:val="center"/>
              <w:rPr>
                <w:color w:val="000000"/>
                <w:sz w:val="20"/>
                <w:szCs w:val="20"/>
              </w:rPr>
            </w:pPr>
            <w:r>
              <w:rPr>
                <w:color w:val="000000"/>
                <w:sz w:val="20"/>
                <w:szCs w:val="20"/>
              </w:rPr>
              <w:t>*</w:t>
            </w:r>
          </w:p>
        </w:tc>
      </w:tr>
      <w:tr w:rsidR="00097466" w14:paraId="52B53419" w14:textId="77777777">
        <w:trPr>
          <w:trHeight w:val="397"/>
        </w:trPr>
        <w:tc>
          <w:tcPr>
            <w:tcW w:w="1415" w:type="dxa"/>
            <w:tcBorders>
              <w:top w:val="nil"/>
              <w:left w:val="single" w:sz="8" w:space="0" w:color="DDDDDD"/>
              <w:bottom w:val="single" w:sz="8" w:space="0" w:color="DDDDDD"/>
              <w:right w:val="single" w:sz="8" w:space="0" w:color="DDDDDD"/>
            </w:tcBorders>
            <w:shd w:val="clear" w:color="auto" w:fill="auto"/>
            <w:vAlign w:val="center"/>
          </w:tcPr>
          <w:p w14:paraId="384B3442" w14:textId="77777777" w:rsidR="00097466" w:rsidRDefault="00000000">
            <w:pPr>
              <w:spacing w:before="0" w:after="0" w:line="240" w:lineRule="auto"/>
              <w:jc w:val="left"/>
              <w:rPr>
                <w:color w:val="000000"/>
                <w:sz w:val="20"/>
                <w:szCs w:val="20"/>
              </w:rPr>
            </w:pPr>
            <w:r>
              <w:rPr>
                <w:color w:val="000000"/>
                <w:sz w:val="20"/>
                <w:szCs w:val="20"/>
              </w:rPr>
              <w:t>HDL (mg/</w:t>
            </w:r>
            <w:proofErr w:type="spellStart"/>
            <w:r>
              <w:rPr>
                <w:color w:val="000000"/>
                <w:sz w:val="20"/>
                <w:szCs w:val="20"/>
              </w:rPr>
              <w:t>dL</w:t>
            </w:r>
            <w:proofErr w:type="spellEnd"/>
            <w:r>
              <w:rPr>
                <w:color w:val="000000"/>
                <w:sz w:val="20"/>
                <w:szCs w:val="20"/>
              </w:rPr>
              <w:t>)</w:t>
            </w:r>
          </w:p>
        </w:tc>
        <w:tc>
          <w:tcPr>
            <w:tcW w:w="1414" w:type="dxa"/>
            <w:tcBorders>
              <w:top w:val="nil"/>
              <w:left w:val="nil"/>
              <w:bottom w:val="single" w:sz="8" w:space="0" w:color="DDDDDD"/>
              <w:right w:val="single" w:sz="8" w:space="0" w:color="DDDDDD"/>
            </w:tcBorders>
            <w:shd w:val="clear" w:color="auto" w:fill="auto"/>
            <w:vAlign w:val="center"/>
          </w:tcPr>
          <w:p w14:paraId="38209AEC" w14:textId="77777777" w:rsidR="00097466" w:rsidRDefault="00000000" w:rsidP="00796537">
            <w:pPr>
              <w:spacing w:before="0" w:after="0" w:line="240" w:lineRule="auto"/>
              <w:jc w:val="center"/>
              <w:rPr>
                <w:color w:val="000000"/>
                <w:sz w:val="20"/>
                <w:szCs w:val="20"/>
              </w:rPr>
            </w:pPr>
            <w:r>
              <w:rPr>
                <w:color w:val="000000"/>
                <w:sz w:val="20"/>
                <w:szCs w:val="20"/>
              </w:rPr>
              <w:t>−0,011</w:t>
            </w:r>
          </w:p>
        </w:tc>
        <w:tc>
          <w:tcPr>
            <w:tcW w:w="1414" w:type="dxa"/>
            <w:tcBorders>
              <w:top w:val="nil"/>
              <w:left w:val="nil"/>
              <w:bottom w:val="single" w:sz="8" w:space="0" w:color="DDDDDD"/>
              <w:right w:val="single" w:sz="8" w:space="0" w:color="DDDDDD"/>
            </w:tcBorders>
            <w:shd w:val="clear" w:color="auto" w:fill="auto"/>
            <w:vAlign w:val="center"/>
          </w:tcPr>
          <w:p w14:paraId="55E42C7F" w14:textId="77777777" w:rsidR="00097466" w:rsidRDefault="00000000" w:rsidP="00796537">
            <w:pPr>
              <w:spacing w:before="0" w:after="0" w:line="240" w:lineRule="auto"/>
              <w:jc w:val="center"/>
              <w:rPr>
                <w:color w:val="000000"/>
                <w:sz w:val="20"/>
                <w:szCs w:val="20"/>
              </w:rPr>
            </w:pPr>
            <w:r>
              <w:rPr>
                <w:color w:val="000000"/>
                <w:sz w:val="20"/>
                <w:szCs w:val="20"/>
              </w:rPr>
              <w:t>0,004</w:t>
            </w:r>
          </w:p>
        </w:tc>
        <w:tc>
          <w:tcPr>
            <w:tcW w:w="1414" w:type="dxa"/>
            <w:tcBorders>
              <w:top w:val="nil"/>
              <w:left w:val="nil"/>
              <w:bottom w:val="single" w:sz="8" w:space="0" w:color="DDDDDD"/>
              <w:right w:val="single" w:sz="8" w:space="0" w:color="DDDDDD"/>
            </w:tcBorders>
            <w:shd w:val="clear" w:color="auto" w:fill="auto"/>
            <w:vAlign w:val="center"/>
          </w:tcPr>
          <w:p w14:paraId="2D8BD908" w14:textId="77777777" w:rsidR="00097466" w:rsidRDefault="00000000" w:rsidP="00796537">
            <w:pPr>
              <w:spacing w:before="0" w:after="0" w:line="240" w:lineRule="auto"/>
              <w:jc w:val="center"/>
              <w:rPr>
                <w:color w:val="000000"/>
                <w:sz w:val="20"/>
                <w:szCs w:val="20"/>
              </w:rPr>
            </w:pPr>
            <w:r>
              <w:rPr>
                <w:color w:val="000000"/>
                <w:sz w:val="20"/>
                <w:szCs w:val="20"/>
              </w:rPr>
              <w:t>−3,019</w:t>
            </w:r>
          </w:p>
        </w:tc>
        <w:tc>
          <w:tcPr>
            <w:tcW w:w="1414" w:type="dxa"/>
            <w:tcBorders>
              <w:top w:val="nil"/>
              <w:left w:val="nil"/>
              <w:bottom w:val="single" w:sz="8" w:space="0" w:color="DDDDDD"/>
              <w:right w:val="single" w:sz="8" w:space="0" w:color="DDDDDD"/>
            </w:tcBorders>
            <w:shd w:val="clear" w:color="auto" w:fill="auto"/>
            <w:vAlign w:val="center"/>
          </w:tcPr>
          <w:p w14:paraId="6911DA07" w14:textId="77777777" w:rsidR="00097466" w:rsidRDefault="00000000" w:rsidP="00796537">
            <w:pPr>
              <w:spacing w:before="0" w:after="0" w:line="240" w:lineRule="auto"/>
              <w:jc w:val="center"/>
              <w:rPr>
                <w:color w:val="000000"/>
                <w:sz w:val="20"/>
                <w:szCs w:val="20"/>
              </w:rPr>
            </w:pPr>
            <w:r>
              <w:rPr>
                <w:color w:val="000000"/>
                <w:sz w:val="20"/>
                <w:szCs w:val="20"/>
              </w:rPr>
              <w:t>0,003</w:t>
            </w:r>
          </w:p>
        </w:tc>
        <w:tc>
          <w:tcPr>
            <w:tcW w:w="1414" w:type="dxa"/>
            <w:tcBorders>
              <w:top w:val="nil"/>
              <w:left w:val="nil"/>
              <w:bottom w:val="single" w:sz="8" w:space="0" w:color="DDDDDD"/>
              <w:right w:val="single" w:sz="8" w:space="0" w:color="DDDDDD"/>
            </w:tcBorders>
            <w:shd w:val="clear" w:color="auto" w:fill="auto"/>
            <w:vAlign w:val="center"/>
          </w:tcPr>
          <w:p w14:paraId="6CE61B60" w14:textId="77777777" w:rsidR="00097466" w:rsidRDefault="00000000" w:rsidP="00796537">
            <w:pPr>
              <w:spacing w:before="0" w:after="0" w:line="240" w:lineRule="auto"/>
              <w:jc w:val="center"/>
              <w:rPr>
                <w:color w:val="000000"/>
                <w:sz w:val="20"/>
                <w:szCs w:val="20"/>
              </w:rPr>
            </w:pPr>
            <w:r>
              <w:rPr>
                <w:color w:val="000000"/>
                <w:sz w:val="20"/>
                <w:szCs w:val="20"/>
              </w:rPr>
              <w:t>**</w:t>
            </w:r>
          </w:p>
        </w:tc>
      </w:tr>
      <w:tr w:rsidR="00097466" w14:paraId="1DA7CC3F" w14:textId="77777777">
        <w:trPr>
          <w:trHeight w:val="397"/>
        </w:trPr>
        <w:tc>
          <w:tcPr>
            <w:tcW w:w="1415" w:type="dxa"/>
            <w:tcBorders>
              <w:top w:val="nil"/>
              <w:left w:val="single" w:sz="8" w:space="0" w:color="DDDDDD"/>
              <w:bottom w:val="single" w:sz="8" w:space="0" w:color="DDDDDD"/>
              <w:right w:val="single" w:sz="8" w:space="0" w:color="DDDDDD"/>
            </w:tcBorders>
            <w:shd w:val="clear" w:color="auto" w:fill="auto"/>
            <w:vAlign w:val="center"/>
          </w:tcPr>
          <w:p w14:paraId="0C9C9799" w14:textId="77777777" w:rsidR="00097466" w:rsidRDefault="00000000">
            <w:pPr>
              <w:spacing w:before="0" w:after="0" w:line="240" w:lineRule="auto"/>
              <w:jc w:val="left"/>
              <w:rPr>
                <w:color w:val="000000"/>
                <w:sz w:val="20"/>
                <w:szCs w:val="20"/>
              </w:rPr>
            </w:pPr>
            <w:r>
              <w:rPr>
                <w:color w:val="000000"/>
                <w:sz w:val="20"/>
                <w:szCs w:val="20"/>
              </w:rPr>
              <w:lastRenderedPageBreak/>
              <w:t>IFN-α (pg/</w:t>
            </w:r>
            <w:proofErr w:type="spellStart"/>
            <w:r>
              <w:rPr>
                <w:color w:val="000000"/>
                <w:sz w:val="20"/>
                <w:szCs w:val="20"/>
              </w:rPr>
              <w:t>mL</w:t>
            </w:r>
            <w:proofErr w:type="spellEnd"/>
            <w:r>
              <w:rPr>
                <w:color w:val="000000"/>
                <w:sz w:val="20"/>
                <w:szCs w:val="20"/>
              </w:rPr>
              <w:t>)</w:t>
            </w:r>
          </w:p>
        </w:tc>
        <w:tc>
          <w:tcPr>
            <w:tcW w:w="1414" w:type="dxa"/>
            <w:tcBorders>
              <w:top w:val="nil"/>
              <w:left w:val="nil"/>
              <w:bottom w:val="single" w:sz="8" w:space="0" w:color="DDDDDD"/>
              <w:right w:val="single" w:sz="8" w:space="0" w:color="DDDDDD"/>
            </w:tcBorders>
            <w:shd w:val="clear" w:color="auto" w:fill="auto"/>
            <w:vAlign w:val="center"/>
          </w:tcPr>
          <w:p w14:paraId="6E708D5D" w14:textId="77777777" w:rsidR="00097466" w:rsidRDefault="00000000" w:rsidP="00796537">
            <w:pPr>
              <w:spacing w:before="0" w:after="0" w:line="240" w:lineRule="auto"/>
              <w:jc w:val="center"/>
              <w:rPr>
                <w:color w:val="000000"/>
                <w:sz w:val="20"/>
                <w:szCs w:val="20"/>
              </w:rPr>
            </w:pPr>
            <w:r>
              <w:rPr>
                <w:color w:val="000000"/>
                <w:sz w:val="20"/>
                <w:szCs w:val="20"/>
              </w:rPr>
              <w:t>0,044</w:t>
            </w:r>
          </w:p>
        </w:tc>
        <w:tc>
          <w:tcPr>
            <w:tcW w:w="1414" w:type="dxa"/>
            <w:tcBorders>
              <w:top w:val="nil"/>
              <w:left w:val="nil"/>
              <w:bottom w:val="single" w:sz="8" w:space="0" w:color="DDDDDD"/>
              <w:right w:val="single" w:sz="8" w:space="0" w:color="DDDDDD"/>
            </w:tcBorders>
            <w:shd w:val="clear" w:color="auto" w:fill="auto"/>
            <w:vAlign w:val="center"/>
          </w:tcPr>
          <w:p w14:paraId="6EEC1F3F" w14:textId="77777777" w:rsidR="00097466" w:rsidRDefault="00000000" w:rsidP="00796537">
            <w:pPr>
              <w:spacing w:before="0" w:after="0" w:line="240" w:lineRule="auto"/>
              <w:jc w:val="center"/>
              <w:rPr>
                <w:color w:val="000000"/>
                <w:sz w:val="20"/>
                <w:szCs w:val="20"/>
              </w:rPr>
            </w:pPr>
            <w:r>
              <w:rPr>
                <w:color w:val="000000"/>
                <w:sz w:val="20"/>
                <w:szCs w:val="20"/>
              </w:rPr>
              <w:t>0,008</w:t>
            </w:r>
          </w:p>
        </w:tc>
        <w:tc>
          <w:tcPr>
            <w:tcW w:w="1414" w:type="dxa"/>
            <w:tcBorders>
              <w:top w:val="nil"/>
              <w:left w:val="nil"/>
              <w:bottom w:val="single" w:sz="8" w:space="0" w:color="DDDDDD"/>
              <w:right w:val="single" w:sz="8" w:space="0" w:color="DDDDDD"/>
            </w:tcBorders>
            <w:shd w:val="clear" w:color="auto" w:fill="auto"/>
            <w:vAlign w:val="center"/>
          </w:tcPr>
          <w:p w14:paraId="73779477" w14:textId="77777777" w:rsidR="00097466" w:rsidRDefault="00000000" w:rsidP="00796537">
            <w:pPr>
              <w:spacing w:before="0" w:after="0" w:line="240" w:lineRule="auto"/>
              <w:jc w:val="center"/>
              <w:rPr>
                <w:color w:val="000000"/>
                <w:sz w:val="20"/>
                <w:szCs w:val="20"/>
              </w:rPr>
            </w:pPr>
            <w:r>
              <w:rPr>
                <w:color w:val="000000"/>
                <w:sz w:val="20"/>
                <w:szCs w:val="20"/>
              </w:rPr>
              <w:t>5,667</w:t>
            </w:r>
          </w:p>
        </w:tc>
        <w:tc>
          <w:tcPr>
            <w:tcW w:w="1414" w:type="dxa"/>
            <w:tcBorders>
              <w:top w:val="nil"/>
              <w:left w:val="nil"/>
              <w:bottom w:val="single" w:sz="8" w:space="0" w:color="DDDDDD"/>
              <w:right w:val="single" w:sz="8" w:space="0" w:color="DDDDDD"/>
            </w:tcBorders>
            <w:shd w:val="clear" w:color="auto" w:fill="auto"/>
            <w:vAlign w:val="center"/>
          </w:tcPr>
          <w:p w14:paraId="4D879EAD" w14:textId="77777777" w:rsidR="00097466" w:rsidRDefault="00000000" w:rsidP="00796537">
            <w:pPr>
              <w:spacing w:before="0" w:after="0" w:line="240" w:lineRule="auto"/>
              <w:jc w:val="center"/>
              <w:rPr>
                <w:color w:val="000000"/>
                <w:sz w:val="20"/>
                <w:szCs w:val="20"/>
              </w:rPr>
            </w:pPr>
            <w:r>
              <w:rPr>
                <w:color w:val="000000"/>
                <w:sz w:val="20"/>
                <w:szCs w:val="20"/>
              </w:rPr>
              <w:t>6,30E-08</w:t>
            </w:r>
          </w:p>
        </w:tc>
        <w:tc>
          <w:tcPr>
            <w:tcW w:w="1414" w:type="dxa"/>
            <w:tcBorders>
              <w:top w:val="nil"/>
              <w:left w:val="nil"/>
              <w:bottom w:val="single" w:sz="8" w:space="0" w:color="DDDDDD"/>
              <w:right w:val="single" w:sz="8" w:space="0" w:color="DDDDDD"/>
            </w:tcBorders>
            <w:shd w:val="clear" w:color="auto" w:fill="auto"/>
            <w:vAlign w:val="center"/>
          </w:tcPr>
          <w:p w14:paraId="66DF4004" w14:textId="77777777" w:rsidR="00097466" w:rsidRDefault="00000000" w:rsidP="00796537">
            <w:pPr>
              <w:spacing w:before="0" w:after="0" w:line="240" w:lineRule="auto"/>
              <w:jc w:val="center"/>
              <w:rPr>
                <w:b/>
                <w:bCs/>
                <w:color w:val="000000"/>
                <w:sz w:val="20"/>
                <w:szCs w:val="20"/>
              </w:rPr>
            </w:pPr>
            <w:r>
              <w:rPr>
                <w:b/>
                <w:bCs/>
                <w:color w:val="000000"/>
                <w:sz w:val="20"/>
                <w:szCs w:val="20"/>
              </w:rPr>
              <w:t>*</w:t>
            </w:r>
          </w:p>
        </w:tc>
      </w:tr>
      <w:tr w:rsidR="00097466" w14:paraId="54E9F6F3" w14:textId="77777777">
        <w:trPr>
          <w:trHeight w:val="397"/>
        </w:trPr>
        <w:tc>
          <w:tcPr>
            <w:tcW w:w="1415" w:type="dxa"/>
            <w:tcBorders>
              <w:top w:val="nil"/>
              <w:left w:val="single" w:sz="8" w:space="0" w:color="DDDDDD"/>
              <w:bottom w:val="single" w:sz="8" w:space="0" w:color="DDDDDD"/>
              <w:right w:val="single" w:sz="8" w:space="0" w:color="DDDDDD"/>
            </w:tcBorders>
            <w:shd w:val="clear" w:color="auto" w:fill="auto"/>
            <w:vAlign w:val="center"/>
          </w:tcPr>
          <w:p w14:paraId="49534ADA" w14:textId="77777777" w:rsidR="00097466" w:rsidRDefault="00000000">
            <w:pPr>
              <w:spacing w:before="0" w:after="0" w:line="240" w:lineRule="auto"/>
              <w:jc w:val="left"/>
              <w:rPr>
                <w:color w:val="000000"/>
                <w:sz w:val="20"/>
                <w:szCs w:val="20"/>
              </w:rPr>
            </w:pPr>
            <w:r>
              <w:rPr>
                <w:color w:val="000000"/>
                <w:sz w:val="20"/>
                <w:szCs w:val="20"/>
              </w:rPr>
              <w:t>IL-2 (pg/</w:t>
            </w:r>
            <w:proofErr w:type="spellStart"/>
            <w:r>
              <w:rPr>
                <w:color w:val="000000"/>
                <w:sz w:val="20"/>
                <w:szCs w:val="20"/>
              </w:rPr>
              <w:t>mL</w:t>
            </w:r>
            <w:proofErr w:type="spellEnd"/>
            <w:r>
              <w:rPr>
                <w:color w:val="000000"/>
                <w:sz w:val="20"/>
                <w:szCs w:val="20"/>
              </w:rPr>
              <w:t>)</w:t>
            </w:r>
          </w:p>
        </w:tc>
        <w:tc>
          <w:tcPr>
            <w:tcW w:w="1414" w:type="dxa"/>
            <w:tcBorders>
              <w:top w:val="nil"/>
              <w:left w:val="nil"/>
              <w:bottom w:val="single" w:sz="8" w:space="0" w:color="DDDDDD"/>
              <w:right w:val="single" w:sz="8" w:space="0" w:color="DDDDDD"/>
            </w:tcBorders>
            <w:shd w:val="clear" w:color="auto" w:fill="auto"/>
            <w:vAlign w:val="center"/>
          </w:tcPr>
          <w:p w14:paraId="1B6B6F5B" w14:textId="77777777" w:rsidR="00097466" w:rsidRDefault="00000000" w:rsidP="00796537">
            <w:pPr>
              <w:spacing w:before="0" w:after="0" w:line="240" w:lineRule="auto"/>
              <w:jc w:val="center"/>
              <w:rPr>
                <w:color w:val="000000"/>
                <w:sz w:val="20"/>
                <w:szCs w:val="20"/>
              </w:rPr>
            </w:pPr>
            <w:r>
              <w:rPr>
                <w:color w:val="000000"/>
                <w:sz w:val="20"/>
                <w:szCs w:val="20"/>
              </w:rPr>
              <w:t>2,463</w:t>
            </w:r>
          </w:p>
        </w:tc>
        <w:tc>
          <w:tcPr>
            <w:tcW w:w="1414" w:type="dxa"/>
            <w:tcBorders>
              <w:top w:val="nil"/>
              <w:left w:val="nil"/>
              <w:bottom w:val="single" w:sz="8" w:space="0" w:color="DDDDDD"/>
              <w:right w:val="single" w:sz="8" w:space="0" w:color="DDDDDD"/>
            </w:tcBorders>
            <w:shd w:val="clear" w:color="auto" w:fill="auto"/>
            <w:vAlign w:val="center"/>
          </w:tcPr>
          <w:p w14:paraId="039BA797" w14:textId="77777777" w:rsidR="00097466" w:rsidRDefault="00000000" w:rsidP="00796537">
            <w:pPr>
              <w:spacing w:before="0" w:after="0" w:line="240" w:lineRule="auto"/>
              <w:jc w:val="center"/>
              <w:rPr>
                <w:color w:val="000000"/>
                <w:sz w:val="20"/>
                <w:szCs w:val="20"/>
              </w:rPr>
            </w:pPr>
            <w:r>
              <w:rPr>
                <w:color w:val="000000"/>
                <w:sz w:val="20"/>
                <w:szCs w:val="20"/>
              </w:rPr>
              <w:t>0,662</w:t>
            </w:r>
          </w:p>
        </w:tc>
        <w:tc>
          <w:tcPr>
            <w:tcW w:w="1414" w:type="dxa"/>
            <w:tcBorders>
              <w:top w:val="nil"/>
              <w:left w:val="nil"/>
              <w:bottom w:val="single" w:sz="8" w:space="0" w:color="DDDDDD"/>
              <w:right w:val="single" w:sz="8" w:space="0" w:color="DDDDDD"/>
            </w:tcBorders>
            <w:shd w:val="clear" w:color="auto" w:fill="auto"/>
            <w:vAlign w:val="center"/>
          </w:tcPr>
          <w:p w14:paraId="057901CF" w14:textId="77777777" w:rsidR="00097466" w:rsidRDefault="00000000" w:rsidP="00796537">
            <w:pPr>
              <w:spacing w:before="0" w:after="0" w:line="240" w:lineRule="auto"/>
              <w:jc w:val="center"/>
              <w:rPr>
                <w:color w:val="000000"/>
                <w:sz w:val="20"/>
                <w:szCs w:val="20"/>
              </w:rPr>
            </w:pPr>
            <w:r>
              <w:rPr>
                <w:color w:val="000000"/>
                <w:sz w:val="20"/>
                <w:szCs w:val="20"/>
              </w:rPr>
              <w:t>3,72</w:t>
            </w:r>
          </w:p>
        </w:tc>
        <w:tc>
          <w:tcPr>
            <w:tcW w:w="1414" w:type="dxa"/>
            <w:tcBorders>
              <w:top w:val="nil"/>
              <w:left w:val="nil"/>
              <w:bottom w:val="single" w:sz="8" w:space="0" w:color="DDDDDD"/>
              <w:right w:val="single" w:sz="8" w:space="0" w:color="DDDDDD"/>
            </w:tcBorders>
            <w:shd w:val="clear" w:color="auto" w:fill="auto"/>
            <w:vAlign w:val="center"/>
          </w:tcPr>
          <w:p w14:paraId="0E470D49" w14:textId="77777777" w:rsidR="00097466" w:rsidRDefault="00000000" w:rsidP="00796537">
            <w:pPr>
              <w:spacing w:before="0" w:after="0" w:line="240" w:lineRule="auto"/>
              <w:jc w:val="center"/>
              <w:rPr>
                <w:color w:val="000000"/>
                <w:sz w:val="20"/>
                <w:szCs w:val="20"/>
              </w:rPr>
            </w:pPr>
            <w:r>
              <w:rPr>
                <w:color w:val="000000"/>
                <w:sz w:val="20"/>
                <w:szCs w:val="20"/>
              </w:rPr>
              <w:t>2,72E-04</w:t>
            </w:r>
          </w:p>
        </w:tc>
        <w:tc>
          <w:tcPr>
            <w:tcW w:w="1414" w:type="dxa"/>
            <w:tcBorders>
              <w:top w:val="nil"/>
              <w:left w:val="nil"/>
              <w:bottom w:val="single" w:sz="8" w:space="0" w:color="DDDDDD"/>
              <w:right w:val="single" w:sz="8" w:space="0" w:color="DDDDDD"/>
            </w:tcBorders>
            <w:shd w:val="clear" w:color="auto" w:fill="auto"/>
            <w:vAlign w:val="center"/>
          </w:tcPr>
          <w:p w14:paraId="56D56E01" w14:textId="77777777" w:rsidR="00097466" w:rsidRDefault="00000000" w:rsidP="00796537">
            <w:pPr>
              <w:keepNext/>
              <w:spacing w:before="0" w:after="0" w:line="240" w:lineRule="auto"/>
              <w:jc w:val="center"/>
              <w:rPr>
                <w:b/>
                <w:bCs/>
                <w:color w:val="000000"/>
                <w:sz w:val="20"/>
                <w:szCs w:val="20"/>
              </w:rPr>
            </w:pPr>
            <w:r>
              <w:rPr>
                <w:b/>
                <w:bCs/>
                <w:color w:val="000000"/>
                <w:sz w:val="20"/>
                <w:szCs w:val="20"/>
              </w:rPr>
              <w:t>*</w:t>
            </w:r>
          </w:p>
        </w:tc>
      </w:tr>
    </w:tbl>
    <w:p w14:paraId="44F4F668" w14:textId="2C68D683" w:rsidR="00031665" w:rsidRDefault="00031665" w:rsidP="00C67F76">
      <w:pPr>
        <w:pStyle w:val="Descripcin"/>
      </w:pPr>
      <w:bookmarkStart w:id="147" w:name="_Toc230792258"/>
      <w:r>
        <w:t xml:space="preserve">Tabla </w:t>
      </w:r>
      <w:fldSimple w:instr=" SEQ Tabla \* ARABIC ">
        <w:r w:rsidR="00716AEA">
          <w:rPr>
            <w:noProof/>
          </w:rPr>
          <w:t>28</w:t>
        </w:r>
      </w:fldSimple>
      <w:r>
        <w:t xml:space="preserve">. </w:t>
      </w:r>
      <w:r w:rsidRPr="007D79B8">
        <w:t xml:space="preserve">Modelo de regresión lineal múltiple del IFN-score de 72 ISGs (modelo final tras </w:t>
      </w:r>
      <w:proofErr w:type="spellStart"/>
      <w:r w:rsidRPr="007D79B8">
        <w:t>backward</w:t>
      </w:r>
      <w:proofErr w:type="spellEnd"/>
      <w:r w:rsidRPr="007D79B8">
        <w:t xml:space="preserve"> </w:t>
      </w:r>
      <w:proofErr w:type="spellStart"/>
      <w:r w:rsidRPr="007D79B8">
        <w:t>stepwise</w:t>
      </w:r>
      <w:proofErr w:type="spellEnd"/>
      <w:r w:rsidRPr="007D79B8">
        <w:t xml:space="preserve">). Variable dependiente: IFN-score de 72 ISGs (log₂ normalizado). R² = 0,333; R² ajustado = 0,313. Error estándar residual = 0,669 (166 </w:t>
      </w:r>
      <w:proofErr w:type="spellStart"/>
      <w:r w:rsidRPr="007D79B8">
        <w:t>gl</w:t>
      </w:r>
      <w:proofErr w:type="spellEnd"/>
      <w:r w:rsidRPr="007D79B8">
        <w:t>). N = 172. Sig.:</w:t>
      </w:r>
      <w:r w:rsidRPr="00031665">
        <w:rPr>
          <w:color w:val="000000"/>
          <w:szCs w:val="20"/>
        </w:rPr>
        <w:t xml:space="preserve"> </w:t>
      </w:r>
      <w:r>
        <w:rPr>
          <w:color w:val="000000"/>
          <w:szCs w:val="20"/>
        </w:rPr>
        <w:t>* p &lt; 0,05; ** p &lt; 0,01; *** p &lt; 0,001.</w:t>
      </w:r>
      <w:bookmarkEnd w:id="147"/>
    </w:p>
    <w:p w14:paraId="3FD7629C" w14:textId="77777777" w:rsidR="00097466" w:rsidRDefault="00000000">
      <w:r>
        <w:t>IFN-α e IL-2 son los predictores de mayor magnitud positiva, lo que confirma que los biomarcadores séricos directamente relacionados con la activación de la vía JAK-STAT son los principales determinantes del nivel del IFN-score. El coeficiente negativo de HDL (β = −0,011) indica que los pacientes con niveles más elevados de esta lipoproteína antiinflamatoria presentan una firma IFN de menor intensidad, en línea con la función protectora del HDL sobre la inflamación sistémica. La presencia de SLEDAI-2K con coeficiente positivo (β = 0,079) y SLE-DAS con coeficiente negativo (β = −0,084) refleja la composición diferencial de ambos índices y su contribución opuesta al modelo lineal, sugiriendo que capturan dimensiones complementarias de la actividad clínica.</w:t>
      </w:r>
    </w:p>
    <w:p w14:paraId="44EECCA5" w14:textId="77777777" w:rsidR="00097466" w:rsidRDefault="00000000">
      <w:pPr>
        <w:pStyle w:val="Ttulo3"/>
        <w:numPr>
          <w:ilvl w:val="2"/>
          <w:numId w:val="17"/>
        </w:numPr>
      </w:pPr>
      <w:r>
        <w:t xml:space="preserve">Rendimiento diagnóstico: curvas ROC y comparación </w:t>
      </w:r>
      <w:proofErr w:type="spellStart"/>
      <w:r>
        <w:t>DeLong</w:t>
      </w:r>
      <w:proofErr w:type="spellEnd"/>
    </w:p>
    <w:p w14:paraId="182DA4D8" w14:textId="77777777" w:rsidR="00097466" w:rsidRDefault="00000000">
      <w:r>
        <w:t>La capacidad discriminativa de los biomarcadores séricos para identificar a los pacientes IFN-</w:t>
      </w:r>
      <w:proofErr w:type="spellStart"/>
      <w:r>
        <w:t>high</w:t>
      </w:r>
      <w:proofErr w:type="spellEnd"/>
      <w:r>
        <w:t xml:space="preserve"> se evaluó mediante curvas ROC, tomando como variable respuesta la clasificación binaria IFN-</w:t>
      </w:r>
      <w:proofErr w:type="spellStart"/>
      <w:r>
        <w:t>high</w:t>
      </w:r>
      <w:proofErr w:type="spellEnd"/>
      <w:r>
        <w:t xml:space="preserve">/IFN-low. El IFN-score continuo no se incluyó como predictor en este análisis para evitar circularidad, dado que la variable respuesta se derivó de él. Se evaluaron cuatro comparadores de relevancia clínica: IFN-α sérico, SLEDAI-2K, C3 y C4, sobre los pacientes con datos completos (N = 238). Las AUC se estimaron por el método no paramétrico de </w:t>
      </w:r>
      <w:proofErr w:type="spellStart"/>
      <w:r>
        <w:t>DeLong</w:t>
      </w:r>
      <w:proofErr w:type="spellEnd"/>
      <w:r>
        <w:t xml:space="preserve"> con IC al 95%; las diferencias entre AUC se evaluaron mediante el test de </w:t>
      </w:r>
      <w:proofErr w:type="spellStart"/>
      <w:r>
        <w:t>DeLong</w:t>
      </w:r>
      <w:proofErr w:type="spellEnd"/>
      <w:r>
        <w:t xml:space="preserve"> para curvas dependientes (función </w:t>
      </w:r>
      <w:proofErr w:type="spellStart"/>
      <w:r>
        <w:t>roc.</w:t>
      </w:r>
      <w:proofErr w:type="gramStart"/>
      <w:r>
        <w:t>test</w:t>
      </w:r>
      <w:proofErr w:type="spellEnd"/>
      <w:r>
        <w:t>(</w:t>
      </w:r>
      <w:proofErr w:type="gramEnd"/>
      <w:r>
        <w:t xml:space="preserve">) del paquete </w:t>
      </w:r>
      <w:proofErr w:type="spellStart"/>
      <w:r>
        <w:t>pROC</w:t>
      </w:r>
      <w:proofErr w:type="spellEnd"/>
      <w:r>
        <w:t>).</w:t>
      </w:r>
    </w:p>
    <w:tbl>
      <w:tblPr>
        <w:tblStyle w:val="afd"/>
        <w:tblW w:w="8485" w:type="dxa"/>
        <w:tblInd w:w="0" w:type="dxa"/>
        <w:tblLayout w:type="fixed"/>
        <w:tblLook w:val="0400" w:firstRow="0" w:lastRow="0" w:firstColumn="0" w:lastColumn="0" w:noHBand="0" w:noVBand="1"/>
      </w:tblPr>
      <w:tblGrid>
        <w:gridCol w:w="3026"/>
        <w:gridCol w:w="1203"/>
        <w:gridCol w:w="4256"/>
      </w:tblGrid>
      <w:tr w:rsidR="00097466" w14:paraId="149F751C" w14:textId="77777777">
        <w:trPr>
          <w:trHeight w:val="397"/>
        </w:trPr>
        <w:tc>
          <w:tcPr>
            <w:tcW w:w="3026"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2A19B036" w14:textId="77777777" w:rsidR="00097466" w:rsidRDefault="00000000">
            <w:pPr>
              <w:spacing w:before="0" w:after="0" w:line="240" w:lineRule="auto"/>
              <w:ind w:firstLine="204"/>
              <w:jc w:val="left"/>
              <w:rPr>
                <w:b/>
                <w:bCs/>
                <w:color w:val="000000"/>
                <w:sz w:val="20"/>
                <w:szCs w:val="20"/>
              </w:rPr>
            </w:pPr>
            <w:r>
              <w:rPr>
                <w:b/>
                <w:bCs/>
                <w:color w:val="000000"/>
                <w:sz w:val="20"/>
                <w:szCs w:val="20"/>
              </w:rPr>
              <w:t>Biomarcador</w:t>
            </w:r>
          </w:p>
        </w:tc>
        <w:tc>
          <w:tcPr>
            <w:tcW w:w="1203" w:type="dxa"/>
            <w:tcBorders>
              <w:top w:val="single" w:sz="8" w:space="0" w:color="DDDDDD"/>
              <w:left w:val="nil"/>
              <w:bottom w:val="single" w:sz="8" w:space="0" w:color="DDDDDD"/>
              <w:right w:val="single" w:sz="8" w:space="0" w:color="DDDDDD"/>
            </w:tcBorders>
            <w:shd w:val="clear" w:color="auto" w:fill="F2F2F2"/>
            <w:vAlign w:val="center"/>
          </w:tcPr>
          <w:p w14:paraId="3689D4DF" w14:textId="77777777" w:rsidR="00097466" w:rsidRDefault="00000000">
            <w:pPr>
              <w:spacing w:before="0" w:after="0" w:line="240" w:lineRule="auto"/>
              <w:ind w:firstLine="204"/>
              <w:jc w:val="left"/>
              <w:rPr>
                <w:b/>
                <w:bCs/>
                <w:color w:val="000000"/>
                <w:sz w:val="20"/>
                <w:szCs w:val="20"/>
              </w:rPr>
            </w:pPr>
            <w:r>
              <w:rPr>
                <w:b/>
                <w:bCs/>
                <w:color w:val="000000"/>
                <w:sz w:val="20"/>
                <w:szCs w:val="20"/>
              </w:rPr>
              <w:t>AUC</w:t>
            </w:r>
          </w:p>
        </w:tc>
        <w:tc>
          <w:tcPr>
            <w:tcW w:w="4256" w:type="dxa"/>
            <w:tcBorders>
              <w:top w:val="single" w:sz="8" w:space="0" w:color="DDDDDD"/>
              <w:left w:val="nil"/>
              <w:bottom w:val="single" w:sz="8" w:space="0" w:color="DDDDDD"/>
              <w:right w:val="single" w:sz="8" w:space="0" w:color="DDDDDD"/>
            </w:tcBorders>
            <w:shd w:val="clear" w:color="auto" w:fill="F2F2F2"/>
            <w:vAlign w:val="center"/>
          </w:tcPr>
          <w:p w14:paraId="60B82CE7" w14:textId="77777777" w:rsidR="00097466" w:rsidRDefault="00000000">
            <w:pPr>
              <w:spacing w:before="0" w:after="0" w:line="240" w:lineRule="auto"/>
              <w:ind w:firstLine="204"/>
              <w:jc w:val="left"/>
              <w:rPr>
                <w:b/>
                <w:bCs/>
                <w:color w:val="000000"/>
                <w:sz w:val="20"/>
                <w:szCs w:val="20"/>
              </w:rPr>
            </w:pPr>
            <w:r>
              <w:rPr>
                <w:b/>
                <w:bCs/>
                <w:color w:val="000000"/>
                <w:sz w:val="20"/>
                <w:szCs w:val="20"/>
              </w:rPr>
              <w:t>Interpretación</w:t>
            </w:r>
          </w:p>
        </w:tc>
      </w:tr>
      <w:tr w:rsidR="00097466" w14:paraId="1EA402BA" w14:textId="77777777">
        <w:trPr>
          <w:trHeight w:val="397"/>
        </w:trPr>
        <w:tc>
          <w:tcPr>
            <w:tcW w:w="3026" w:type="dxa"/>
            <w:tcBorders>
              <w:top w:val="nil"/>
              <w:left w:val="single" w:sz="8" w:space="0" w:color="DDDDDD"/>
              <w:bottom w:val="single" w:sz="8" w:space="0" w:color="DDDDDD"/>
              <w:right w:val="single" w:sz="8" w:space="0" w:color="DDDDDD"/>
            </w:tcBorders>
            <w:shd w:val="clear" w:color="auto" w:fill="auto"/>
            <w:vAlign w:val="center"/>
          </w:tcPr>
          <w:p w14:paraId="445C68D2" w14:textId="77777777" w:rsidR="00097466" w:rsidRDefault="00000000">
            <w:pPr>
              <w:spacing w:before="0" w:after="0" w:line="240" w:lineRule="auto"/>
              <w:ind w:firstLine="200"/>
              <w:jc w:val="left"/>
              <w:rPr>
                <w:color w:val="000000"/>
                <w:sz w:val="20"/>
                <w:szCs w:val="20"/>
              </w:rPr>
            </w:pPr>
            <w:r>
              <w:rPr>
                <w:color w:val="000000"/>
                <w:sz w:val="20"/>
                <w:szCs w:val="20"/>
              </w:rPr>
              <w:t>IFN-α sérico (pg/</w:t>
            </w:r>
            <w:proofErr w:type="spellStart"/>
            <w:r>
              <w:rPr>
                <w:color w:val="000000"/>
                <w:sz w:val="20"/>
                <w:szCs w:val="20"/>
              </w:rPr>
              <w:t>mL</w:t>
            </w:r>
            <w:proofErr w:type="spellEnd"/>
            <w:r>
              <w:rPr>
                <w:color w:val="000000"/>
                <w:sz w:val="20"/>
                <w:szCs w:val="20"/>
              </w:rPr>
              <w:t>)</w:t>
            </w:r>
          </w:p>
        </w:tc>
        <w:tc>
          <w:tcPr>
            <w:tcW w:w="1203" w:type="dxa"/>
            <w:tcBorders>
              <w:top w:val="nil"/>
              <w:left w:val="nil"/>
              <w:bottom w:val="single" w:sz="8" w:space="0" w:color="DDDDDD"/>
              <w:right w:val="single" w:sz="8" w:space="0" w:color="DDDDDD"/>
            </w:tcBorders>
            <w:shd w:val="clear" w:color="auto" w:fill="auto"/>
            <w:vAlign w:val="center"/>
          </w:tcPr>
          <w:p w14:paraId="282E1C3A" w14:textId="77777777" w:rsidR="00097466" w:rsidRDefault="00000000">
            <w:pPr>
              <w:spacing w:before="0" w:after="0" w:line="240" w:lineRule="auto"/>
              <w:ind w:firstLine="200"/>
              <w:jc w:val="left"/>
              <w:rPr>
                <w:color w:val="000000"/>
                <w:sz w:val="20"/>
                <w:szCs w:val="20"/>
              </w:rPr>
            </w:pPr>
            <w:r>
              <w:rPr>
                <w:color w:val="000000"/>
                <w:sz w:val="20"/>
                <w:szCs w:val="20"/>
              </w:rPr>
              <w:t>0,944</w:t>
            </w:r>
          </w:p>
        </w:tc>
        <w:tc>
          <w:tcPr>
            <w:tcW w:w="4256" w:type="dxa"/>
            <w:tcBorders>
              <w:top w:val="nil"/>
              <w:left w:val="nil"/>
              <w:bottom w:val="single" w:sz="8" w:space="0" w:color="DDDDDD"/>
              <w:right w:val="single" w:sz="8" w:space="0" w:color="DDDDDD"/>
            </w:tcBorders>
            <w:shd w:val="clear" w:color="auto" w:fill="auto"/>
            <w:vAlign w:val="center"/>
          </w:tcPr>
          <w:p w14:paraId="0BFDB20B" w14:textId="77777777" w:rsidR="00097466" w:rsidRDefault="00000000">
            <w:pPr>
              <w:spacing w:before="0" w:after="0" w:line="240" w:lineRule="auto"/>
              <w:ind w:firstLine="200"/>
              <w:jc w:val="left"/>
              <w:rPr>
                <w:color w:val="000000"/>
                <w:sz w:val="20"/>
                <w:szCs w:val="20"/>
              </w:rPr>
            </w:pPr>
            <w:r>
              <w:rPr>
                <w:color w:val="000000"/>
                <w:sz w:val="20"/>
                <w:szCs w:val="20"/>
              </w:rPr>
              <w:t>Excelente (AUC ≥ 0,90)</w:t>
            </w:r>
          </w:p>
        </w:tc>
      </w:tr>
      <w:tr w:rsidR="00097466" w14:paraId="62F869CB" w14:textId="77777777">
        <w:trPr>
          <w:trHeight w:val="397"/>
        </w:trPr>
        <w:tc>
          <w:tcPr>
            <w:tcW w:w="3026" w:type="dxa"/>
            <w:tcBorders>
              <w:top w:val="nil"/>
              <w:left w:val="single" w:sz="8" w:space="0" w:color="DDDDDD"/>
              <w:bottom w:val="single" w:sz="8" w:space="0" w:color="DDDDDD"/>
              <w:right w:val="single" w:sz="8" w:space="0" w:color="DDDDDD"/>
            </w:tcBorders>
            <w:shd w:val="clear" w:color="auto" w:fill="auto"/>
            <w:vAlign w:val="center"/>
          </w:tcPr>
          <w:p w14:paraId="15094BED" w14:textId="77777777" w:rsidR="00097466" w:rsidRDefault="00000000">
            <w:pPr>
              <w:spacing w:before="0" w:after="0" w:line="240" w:lineRule="auto"/>
              <w:ind w:firstLine="200"/>
              <w:jc w:val="left"/>
              <w:rPr>
                <w:color w:val="000000"/>
                <w:sz w:val="20"/>
                <w:szCs w:val="20"/>
              </w:rPr>
            </w:pPr>
            <w:r>
              <w:rPr>
                <w:color w:val="000000"/>
                <w:sz w:val="20"/>
                <w:szCs w:val="20"/>
              </w:rPr>
              <w:t>SLEDAI-2K</w:t>
            </w:r>
          </w:p>
        </w:tc>
        <w:tc>
          <w:tcPr>
            <w:tcW w:w="1203" w:type="dxa"/>
            <w:tcBorders>
              <w:top w:val="nil"/>
              <w:left w:val="nil"/>
              <w:bottom w:val="single" w:sz="8" w:space="0" w:color="DDDDDD"/>
              <w:right w:val="single" w:sz="8" w:space="0" w:color="DDDDDD"/>
            </w:tcBorders>
            <w:shd w:val="clear" w:color="auto" w:fill="auto"/>
            <w:vAlign w:val="center"/>
          </w:tcPr>
          <w:p w14:paraId="20B278F9" w14:textId="77777777" w:rsidR="00097466" w:rsidRDefault="00000000">
            <w:pPr>
              <w:spacing w:before="0" w:after="0" w:line="240" w:lineRule="auto"/>
              <w:ind w:firstLine="200"/>
              <w:jc w:val="left"/>
              <w:rPr>
                <w:color w:val="000000"/>
                <w:sz w:val="20"/>
                <w:szCs w:val="20"/>
              </w:rPr>
            </w:pPr>
            <w:r>
              <w:rPr>
                <w:color w:val="000000"/>
                <w:sz w:val="20"/>
                <w:szCs w:val="20"/>
              </w:rPr>
              <w:t>0,591</w:t>
            </w:r>
          </w:p>
        </w:tc>
        <w:tc>
          <w:tcPr>
            <w:tcW w:w="4256" w:type="dxa"/>
            <w:tcBorders>
              <w:top w:val="nil"/>
              <w:left w:val="nil"/>
              <w:bottom w:val="single" w:sz="8" w:space="0" w:color="DDDDDD"/>
              <w:right w:val="single" w:sz="8" w:space="0" w:color="DDDDDD"/>
            </w:tcBorders>
            <w:shd w:val="clear" w:color="auto" w:fill="auto"/>
            <w:vAlign w:val="center"/>
          </w:tcPr>
          <w:p w14:paraId="79D7B2EF" w14:textId="77777777" w:rsidR="00097466" w:rsidRDefault="00000000">
            <w:pPr>
              <w:spacing w:before="0" w:after="0" w:line="240" w:lineRule="auto"/>
              <w:ind w:firstLine="200"/>
              <w:jc w:val="left"/>
              <w:rPr>
                <w:color w:val="000000"/>
                <w:sz w:val="20"/>
                <w:szCs w:val="20"/>
              </w:rPr>
            </w:pPr>
            <w:r>
              <w:rPr>
                <w:color w:val="000000"/>
                <w:sz w:val="20"/>
                <w:szCs w:val="20"/>
              </w:rPr>
              <w:t>Moderada (0,50 &lt; AUC &lt; 0,70)</w:t>
            </w:r>
          </w:p>
        </w:tc>
      </w:tr>
      <w:tr w:rsidR="00097466" w14:paraId="01DB61C0" w14:textId="77777777">
        <w:trPr>
          <w:trHeight w:val="397"/>
        </w:trPr>
        <w:tc>
          <w:tcPr>
            <w:tcW w:w="3026" w:type="dxa"/>
            <w:tcBorders>
              <w:top w:val="nil"/>
              <w:left w:val="single" w:sz="8" w:space="0" w:color="DDDDDD"/>
              <w:bottom w:val="single" w:sz="8" w:space="0" w:color="DDDDDD"/>
              <w:right w:val="single" w:sz="8" w:space="0" w:color="DDDDDD"/>
            </w:tcBorders>
            <w:shd w:val="clear" w:color="auto" w:fill="auto"/>
            <w:vAlign w:val="center"/>
          </w:tcPr>
          <w:p w14:paraId="6EFF6B08" w14:textId="77777777" w:rsidR="00097466" w:rsidRDefault="00000000">
            <w:pPr>
              <w:spacing w:before="0" w:after="0" w:line="240" w:lineRule="auto"/>
              <w:ind w:firstLine="200"/>
              <w:jc w:val="left"/>
              <w:rPr>
                <w:color w:val="000000"/>
                <w:sz w:val="20"/>
                <w:szCs w:val="20"/>
              </w:rPr>
            </w:pPr>
            <w:r>
              <w:rPr>
                <w:color w:val="000000"/>
                <w:sz w:val="20"/>
                <w:szCs w:val="20"/>
              </w:rPr>
              <w:t>C3 sérico (mg/</w:t>
            </w:r>
            <w:proofErr w:type="spellStart"/>
            <w:r>
              <w:rPr>
                <w:color w:val="000000"/>
                <w:sz w:val="20"/>
                <w:szCs w:val="20"/>
              </w:rPr>
              <w:t>dL</w:t>
            </w:r>
            <w:proofErr w:type="spellEnd"/>
            <w:r>
              <w:rPr>
                <w:color w:val="000000"/>
                <w:sz w:val="20"/>
                <w:szCs w:val="20"/>
              </w:rPr>
              <w:t>)</w:t>
            </w:r>
          </w:p>
        </w:tc>
        <w:tc>
          <w:tcPr>
            <w:tcW w:w="1203" w:type="dxa"/>
            <w:tcBorders>
              <w:top w:val="nil"/>
              <w:left w:val="nil"/>
              <w:bottom w:val="single" w:sz="8" w:space="0" w:color="DDDDDD"/>
              <w:right w:val="single" w:sz="8" w:space="0" w:color="DDDDDD"/>
            </w:tcBorders>
            <w:shd w:val="clear" w:color="auto" w:fill="auto"/>
            <w:vAlign w:val="center"/>
          </w:tcPr>
          <w:p w14:paraId="57BA0D63" w14:textId="77777777" w:rsidR="00097466" w:rsidRDefault="00000000">
            <w:pPr>
              <w:spacing w:before="0" w:after="0" w:line="240" w:lineRule="auto"/>
              <w:ind w:firstLine="200"/>
              <w:jc w:val="left"/>
              <w:rPr>
                <w:color w:val="000000"/>
                <w:sz w:val="20"/>
                <w:szCs w:val="20"/>
              </w:rPr>
            </w:pPr>
            <w:r>
              <w:rPr>
                <w:color w:val="000000"/>
                <w:sz w:val="20"/>
                <w:szCs w:val="20"/>
              </w:rPr>
              <w:t>0,538</w:t>
            </w:r>
          </w:p>
        </w:tc>
        <w:tc>
          <w:tcPr>
            <w:tcW w:w="4256" w:type="dxa"/>
            <w:tcBorders>
              <w:top w:val="nil"/>
              <w:left w:val="nil"/>
              <w:bottom w:val="single" w:sz="8" w:space="0" w:color="DDDDDD"/>
              <w:right w:val="single" w:sz="8" w:space="0" w:color="DDDDDD"/>
            </w:tcBorders>
            <w:shd w:val="clear" w:color="auto" w:fill="auto"/>
            <w:vAlign w:val="center"/>
          </w:tcPr>
          <w:p w14:paraId="17A075FE" w14:textId="77777777" w:rsidR="00097466" w:rsidRDefault="00000000">
            <w:pPr>
              <w:spacing w:before="0" w:after="0" w:line="240" w:lineRule="auto"/>
              <w:ind w:firstLine="200"/>
              <w:jc w:val="left"/>
              <w:rPr>
                <w:color w:val="000000"/>
                <w:sz w:val="20"/>
                <w:szCs w:val="20"/>
              </w:rPr>
            </w:pPr>
            <w:r>
              <w:rPr>
                <w:color w:val="000000"/>
                <w:sz w:val="20"/>
                <w:szCs w:val="20"/>
              </w:rPr>
              <w:t>No discriminativa (AUC ≈ 0,50)</w:t>
            </w:r>
          </w:p>
        </w:tc>
      </w:tr>
      <w:tr w:rsidR="00097466" w14:paraId="5D98BBB2" w14:textId="77777777">
        <w:trPr>
          <w:trHeight w:val="397"/>
        </w:trPr>
        <w:tc>
          <w:tcPr>
            <w:tcW w:w="3026" w:type="dxa"/>
            <w:tcBorders>
              <w:top w:val="nil"/>
              <w:left w:val="single" w:sz="8" w:space="0" w:color="DDDDDD"/>
              <w:bottom w:val="single" w:sz="8" w:space="0" w:color="DDDDDD"/>
              <w:right w:val="single" w:sz="8" w:space="0" w:color="DDDDDD"/>
            </w:tcBorders>
            <w:shd w:val="clear" w:color="auto" w:fill="auto"/>
            <w:vAlign w:val="center"/>
          </w:tcPr>
          <w:p w14:paraId="5841B95F" w14:textId="77777777" w:rsidR="00097466" w:rsidRDefault="00000000">
            <w:pPr>
              <w:spacing w:before="0" w:after="0" w:line="240" w:lineRule="auto"/>
              <w:ind w:firstLine="200"/>
              <w:jc w:val="left"/>
              <w:rPr>
                <w:color w:val="000000"/>
                <w:sz w:val="20"/>
                <w:szCs w:val="20"/>
              </w:rPr>
            </w:pPr>
            <w:r>
              <w:rPr>
                <w:color w:val="000000"/>
                <w:sz w:val="20"/>
                <w:szCs w:val="20"/>
              </w:rPr>
              <w:t>C4 sérico (mg/</w:t>
            </w:r>
            <w:proofErr w:type="spellStart"/>
            <w:r>
              <w:rPr>
                <w:color w:val="000000"/>
                <w:sz w:val="20"/>
                <w:szCs w:val="20"/>
              </w:rPr>
              <w:t>dL</w:t>
            </w:r>
            <w:proofErr w:type="spellEnd"/>
            <w:r>
              <w:rPr>
                <w:color w:val="000000"/>
                <w:sz w:val="20"/>
                <w:szCs w:val="20"/>
              </w:rPr>
              <w:t>)</w:t>
            </w:r>
          </w:p>
        </w:tc>
        <w:tc>
          <w:tcPr>
            <w:tcW w:w="1203" w:type="dxa"/>
            <w:tcBorders>
              <w:top w:val="nil"/>
              <w:left w:val="nil"/>
              <w:bottom w:val="single" w:sz="8" w:space="0" w:color="DDDDDD"/>
              <w:right w:val="single" w:sz="8" w:space="0" w:color="DDDDDD"/>
            </w:tcBorders>
            <w:shd w:val="clear" w:color="auto" w:fill="auto"/>
            <w:vAlign w:val="center"/>
          </w:tcPr>
          <w:p w14:paraId="6C715B4F" w14:textId="77777777" w:rsidR="00097466" w:rsidRDefault="00000000">
            <w:pPr>
              <w:spacing w:before="0" w:after="0" w:line="240" w:lineRule="auto"/>
              <w:ind w:firstLine="200"/>
              <w:jc w:val="left"/>
              <w:rPr>
                <w:color w:val="000000"/>
                <w:sz w:val="20"/>
                <w:szCs w:val="20"/>
              </w:rPr>
            </w:pPr>
            <w:r>
              <w:rPr>
                <w:color w:val="000000"/>
                <w:sz w:val="20"/>
                <w:szCs w:val="20"/>
              </w:rPr>
              <w:t>0,529</w:t>
            </w:r>
          </w:p>
        </w:tc>
        <w:tc>
          <w:tcPr>
            <w:tcW w:w="4256" w:type="dxa"/>
            <w:tcBorders>
              <w:top w:val="nil"/>
              <w:left w:val="nil"/>
              <w:bottom w:val="single" w:sz="8" w:space="0" w:color="DDDDDD"/>
              <w:right w:val="single" w:sz="8" w:space="0" w:color="DDDDDD"/>
            </w:tcBorders>
            <w:shd w:val="clear" w:color="auto" w:fill="auto"/>
            <w:vAlign w:val="center"/>
          </w:tcPr>
          <w:p w14:paraId="53C8E8D3" w14:textId="77777777" w:rsidR="00097466" w:rsidRDefault="00000000" w:rsidP="00031665">
            <w:pPr>
              <w:keepNext/>
              <w:spacing w:before="0" w:after="0" w:line="240" w:lineRule="auto"/>
              <w:ind w:firstLine="200"/>
              <w:jc w:val="left"/>
              <w:rPr>
                <w:color w:val="000000"/>
                <w:sz w:val="20"/>
                <w:szCs w:val="20"/>
              </w:rPr>
            </w:pPr>
            <w:r>
              <w:rPr>
                <w:color w:val="000000"/>
                <w:sz w:val="20"/>
                <w:szCs w:val="20"/>
              </w:rPr>
              <w:t>No discriminativa (AUC ≈ 0,50)</w:t>
            </w:r>
          </w:p>
        </w:tc>
      </w:tr>
    </w:tbl>
    <w:p w14:paraId="3F4AA438" w14:textId="5E7FC4FA" w:rsidR="00031665" w:rsidRDefault="00031665" w:rsidP="00C67F76">
      <w:pPr>
        <w:pStyle w:val="Descripcin"/>
      </w:pPr>
      <w:bookmarkStart w:id="148" w:name="_Toc230792259"/>
      <w:r>
        <w:t xml:space="preserve">Tabla </w:t>
      </w:r>
      <w:fldSimple w:instr=" SEQ Tabla \* ARABIC ">
        <w:r w:rsidR="00716AEA">
          <w:rPr>
            <w:noProof/>
          </w:rPr>
          <w:t>29</w:t>
        </w:r>
      </w:fldSimple>
      <w:r>
        <w:t xml:space="preserve">. </w:t>
      </w:r>
      <w:r w:rsidRPr="007F54D4">
        <w:t>AUC de las curvas ROC para la clasificación IFN-</w:t>
      </w:r>
      <w:proofErr w:type="spellStart"/>
      <w:r w:rsidRPr="007F54D4">
        <w:t>high</w:t>
      </w:r>
      <w:proofErr w:type="spellEnd"/>
      <w:r w:rsidRPr="007F54D4">
        <w:t xml:space="preserve"> vs. IFN-low. N = 238.</w:t>
      </w:r>
      <w:bookmarkEnd w:id="148"/>
    </w:p>
    <w:p w14:paraId="2AFCABA4" w14:textId="77777777" w:rsidR="00031665" w:rsidRDefault="00000000" w:rsidP="00031665">
      <w:pPr>
        <w:keepNext/>
        <w:jc w:val="center"/>
      </w:pPr>
      <w:r>
        <w:rPr>
          <w:noProof/>
        </w:rPr>
        <w:lastRenderedPageBreak/>
        <w:drawing>
          <wp:inline distT="0" distB="0" distL="0" distR="0" wp14:anchorId="4C5F793B" wp14:editId="05BAACF2">
            <wp:extent cx="3117626" cy="3226862"/>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38"/>
                    <a:srcRect/>
                    <a:stretch>
                      <a:fillRect/>
                    </a:stretch>
                  </pic:blipFill>
                  <pic:spPr>
                    <a:xfrm>
                      <a:off x="0" y="0"/>
                      <a:ext cx="3117626" cy="3226862"/>
                    </a:xfrm>
                    <a:prstGeom prst="rect">
                      <a:avLst/>
                    </a:prstGeom>
                    <a:ln/>
                  </pic:spPr>
                </pic:pic>
              </a:graphicData>
            </a:graphic>
          </wp:inline>
        </w:drawing>
      </w:r>
    </w:p>
    <w:p w14:paraId="1B483CCE" w14:textId="60A33E9B" w:rsidR="00097466" w:rsidRDefault="00031665" w:rsidP="00C67F76">
      <w:pPr>
        <w:pStyle w:val="Descripcin"/>
      </w:pPr>
      <w:bookmarkStart w:id="149" w:name="_Toc230792287"/>
      <w:r>
        <w:t xml:space="preserve">Ilustración </w:t>
      </w:r>
      <w:fldSimple w:instr=" SEQ Ilustración \* ARABIC ">
        <w:r w:rsidR="00E76F9C">
          <w:rPr>
            <w:noProof/>
          </w:rPr>
          <w:t>15</w:t>
        </w:r>
      </w:fldSimple>
      <w:r>
        <w:t xml:space="preserve">. </w:t>
      </w:r>
      <w:r w:rsidRPr="00E7405D">
        <w:t>curvas ROC superpuestas (IFN-α en rojo, SLEDAI-2K en gris oscuro, C3 y C4 en grises claros)</w:t>
      </w:r>
      <w:bookmarkEnd w:id="149"/>
    </w:p>
    <w:p w14:paraId="76064FF2" w14:textId="77777777" w:rsidR="00097466" w:rsidRDefault="00000000">
      <w:r>
        <w:t xml:space="preserve">En conjunto, los análisis de asociación presentados en este apartado demuestran que la firma transcriptómica de interferón tipo I definida en el apartado 4.3 no constituye un mero marcador molecular aislado, sino que se integra coherentemente con el perfil clínico, analítico y proteómico de la cohorte. La activación de la vía IFN tipo I se asocia de forma independiente con una mayor actividad de la enfermedad (SLEDAI-2K, SLE-DAS), un mayor daño orgánico acumulado (SLICC-DI), un perfil lipídico más aterogénico (↓HDL, ↓Apo A-I) y niveles séricos elevados de IFN-α, IFN-γ e IL-2. Estos hallazgos fundamentan la relevancia biológica del IFN-score como variable integradora en el análisis </w:t>
      </w:r>
      <w:proofErr w:type="spellStart"/>
      <w:r>
        <w:t>multiómica</w:t>
      </w:r>
      <w:proofErr w:type="spellEnd"/>
      <w:r>
        <w:t xml:space="preserve"> posterior, en el que se explorarán sus interacciones con el proteoma plasmático y los módulos de expresión génica mediante la plataforma DIABLO.</w:t>
      </w:r>
    </w:p>
    <w:p w14:paraId="6B35F7A3" w14:textId="77777777" w:rsidR="00A87141" w:rsidRDefault="00A87141" w:rsidP="00A87141">
      <w:pPr>
        <w:pStyle w:val="Ttulo2"/>
        <w:numPr>
          <w:ilvl w:val="1"/>
          <w:numId w:val="17"/>
        </w:numPr>
      </w:pPr>
      <w:bookmarkStart w:id="150" w:name="_Toc229237691"/>
      <w:bookmarkStart w:id="151" w:name="_Toc230792331"/>
      <w:r>
        <w:t>Integración multi</w:t>
      </w:r>
      <w:r>
        <w:rPr>
          <w:rFonts w:ascii="Cambria Math" w:eastAsia="Cambria Math" w:hAnsi="Cambria Math" w:cs="Cambria Math"/>
        </w:rPr>
        <w:t>‑</w:t>
      </w:r>
      <w:proofErr w:type="spellStart"/>
      <w:r>
        <w:t>ómica</w:t>
      </w:r>
      <w:proofErr w:type="spellEnd"/>
      <w:r>
        <w:t xml:space="preserve"> no supervisada mediante MOFA2</w:t>
      </w:r>
      <w:bookmarkEnd w:id="150"/>
      <w:bookmarkEnd w:id="151"/>
    </w:p>
    <w:p w14:paraId="4AD15931" w14:textId="2BFD69D8" w:rsidR="006034FB" w:rsidRDefault="00552B8A" w:rsidP="006034FB">
      <w:pPr>
        <w:pStyle w:val="Ttulo3"/>
        <w:numPr>
          <w:ilvl w:val="2"/>
          <w:numId w:val="17"/>
        </w:numPr>
      </w:pPr>
      <w:r>
        <w:t>Número de factores activos y estructura de varianza</w:t>
      </w:r>
    </w:p>
    <w:p w14:paraId="60E07E8E" w14:textId="77777777" w:rsidR="006034FB" w:rsidRDefault="006034FB" w:rsidP="006034FB">
      <w:r>
        <w:t xml:space="preserve">El modelo MOFA2 entrenado sobre las dos capas </w:t>
      </w:r>
      <w:proofErr w:type="spellStart"/>
      <w:r>
        <w:t>ómicas</w:t>
      </w:r>
      <w:proofErr w:type="spellEnd"/>
      <w:r>
        <w:t xml:space="preserve"> (72 ISGs transcriptómicos y 18 proteínas séricas, N = 251 pacientes con LES) identificó 4 factores latentes activos tras la selección automática por ARD. La tabla siguiente recoge la proporción de varianza explicada (R²) por cada factor en cada bloque.</w:t>
      </w:r>
    </w:p>
    <w:tbl>
      <w:tblPr>
        <w:tblW w:w="5000" w:type="pct"/>
        <w:tblCellMar>
          <w:left w:w="70" w:type="dxa"/>
          <w:right w:w="70" w:type="dxa"/>
        </w:tblCellMar>
        <w:tblLook w:val="04A0" w:firstRow="1" w:lastRow="0" w:firstColumn="1" w:lastColumn="0" w:noHBand="0" w:noVBand="1"/>
      </w:tblPr>
      <w:tblGrid>
        <w:gridCol w:w="2405"/>
        <w:gridCol w:w="3781"/>
        <w:gridCol w:w="2299"/>
      </w:tblGrid>
      <w:tr w:rsidR="006034FB" w:rsidRPr="00D562D2" w14:paraId="2FE4D618" w14:textId="77777777" w:rsidTr="00477532">
        <w:trPr>
          <w:trHeight w:val="397"/>
        </w:trPr>
        <w:tc>
          <w:tcPr>
            <w:tcW w:w="1417" w:type="pct"/>
            <w:tcBorders>
              <w:top w:val="single" w:sz="8" w:space="0" w:color="DDDDDD"/>
              <w:left w:val="single" w:sz="8" w:space="0" w:color="DDDDDD"/>
              <w:bottom w:val="single" w:sz="8" w:space="0" w:color="DDDDDD"/>
              <w:right w:val="single" w:sz="8" w:space="0" w:color="DDDDDD"/>
            </w:tcBorders>
            <w:shd w:val="clear" w:color="000000" w:fill="F2F2F2"/>
            <w:vAlign w:val="center"/>
            <w:hideMark/>
          </w:tcPr>
          <w:p w14:paraId="1F63E674" w14:textId="77777777" w:rsidR="006034FB" w:rsidRPr="00D562D2" w:rsidRDefault="006034FB" w:rsidP="00477532">
            <w:pPr>
              <w:spacing w:before="0" w:after="0" w:line="240" w:lineRule="auto"/>
              <w:jc w:val="left"/>
              <w:rPr>
                <w:rFonts w:eastAsia="Times New Roman"/>
                <w:b/>
                <w:bCs/>
                <w:color w:val="000000"/>
                <w:sz w:val="20"/>
                <w:szCs w:val="20"/>
                <w:lang w:val="es-ES"/>
              </w:rPr>
            </w:pPr>
            <w:r w:rsidRPr="00D562D2">
              <w:rPr>
                <w:rFonts w:eastAsia="Times New Roman"/>
                <w:b/>
                <w:bCs/>
                <w:color w:val="000000"/>
                <w:sz w:val="20"/>
                <w:szCs w:val="20"/>
                <w:lang w:val="es-ES"/>
              </w:rPr>
              <w:t>Factor</w:t>
            </w:r>
          </w:p>
        </w:tc>
        <w:tc>
          <w:tcPr>
            <w:tcW w:w="2228" w:type="pct"/>
            <w:tcBorders>
              <w:top w:val="single" w:sz="8" w:space="0" w:color="DDDDDD"/>
              <w:left w:val="nil"/>
              <w:bottom w:val="single" w:sz="8" w:space="0" w:color="DDDDDD"/>
              <w:right w:val="single" w:sz="8" w:space="0" w:color="DDDDDD"/>
            </w:tcBorders>
            <w:shd w:val="clear" w:color="000000" w:fill="F2F2F2"/>
            <w:vAlign w:val="center"/>
            <w:hideMark/>
          </w:tcPr>
          <w:p w14:paraId="568CB3F3" w14:textId="77777777" w:rsidR="006034FB" w:rsidRPr="00D562D2" w:rsidRDefault="006034FB" w:rsidP="00477532">
            <w:pPr>
              <w:spacing w:before="0" w:after="0" w:line="240" w:lineRule="auto"/>
              <w:jc w:val="left"/>
              <w:rPr>
                <w:rFonts w:eastAsia="Times New Roman"/>
                <w:b/>
                <w:bCs/>
                <w:color w:val="000000"/>
                <w:sz w:val="20"/>
                <w:szCs w:val="20"/>
                <w:lang w:val="es-ES"/>
              </w:rPr>
            </w:pPr>
            <w:r w:rsidRPr="00D562D2">
              <w:rPr>
                <w:rFonts w:eastAsia="Times New Roman"/>
                <w:b/>
                <w:bCs/>
                <w:color w:val="000000"/>
                <w:sz w:val="20"/>
                <w:szCs w:val="20"/>
                <w:lang w:val="es-ES"/>
              </w:rPr>
              <w:t>Bloque</w:t>
            </w:r>
          </w:p>
        </w:tc>
        <w:tc>
          <w:tcPr>
            <w:tcW w:w="1355" w:type="pct"/>
            <w:tcBorders>
              <w:top w:val="single" w:sz="8" w:space="0" w:color="DDDDDD"/>
              <w:left w:val="nil"/>
              <w:bottom w:val="single" w:sz="8" w:space="0" w:color="DDDDDD"/>
              <w:right w:val="single" w:sz="8" w:space="0" w:color="DDDDDD"/>
            </w:tcBorders>
            <w:shd w:val="clear" w:color="000000" w:fill="F2F2F2"/>
            <w:vAlign w:val="center"/>
            <w:hideMark/>
          </w:tcPr>
          <w:p w14:paraId="6EE059E0" w14:textId="77777777" w:rsidR="006034FB" w:rsidRPr="00D562D2" w:rsidRDefault="006034FB" w:rsidP="00477532">
            <w:pPr>
              <w:spacing w:before="0" w:after="0" w:line="240" w:lineRule="auto"/>
              <w:jc w:val="left"/>
              <w:rPr>
                <w:rFonts w:eastAsia="Times New Roman"/>
                <w:b/>
                <w:bCs/>
                <w:color w:val="000000"/>
                <w:sz w:val="20"/>
                <w:szCs w:val="20"/>
                <w:lang w:val="es-ES"/>
              </w:rPr>
            </w:pPr>
            <w:r w:rsidRPr="00D562D2">
              <w:rPr>
                <w:rFonts w:eastAsia="Times New Roman"/>
                <w:b/>
                <w:bCs/>
                <w:color w:val="000000"/>
                <w:sz w:val="20"/>
                <w:szCs w:val="20"/>
                <w:lang w:val="es-ES"/>
              </w:rPr>
              <w:t>R² (%)</w:t>
            </w:r>
          </w:p>
        </w:tc>
      </w:tr>
      <w:tr w:rsidR="006034FB" w:rsidRPr="00D562D2" w14:paraId="2093144B" w14:textId="77777777" w:rsidTr="00477532">
        <w:trPr>
          <w:trHeight w:val="397"/>
        </w:trPr>
        <w:tc>
          <w:tcPr>
            <w:tcW w:w="1417" w:type="pct"/>
            <w:tcBorders>
              <w:top w:val="nil"/>
              <w:left w:val="single" w:sz="8" w:space="0" w:color="DDDDDD"/>
              <w:bottom w:val="single" w:sz="8" w:space="0" w:color="DDDDDD"/>
              <w:right w:val="single" w:sz="8" w:space="0" w:color="DDDDDD"/>
            </w:tcBorders>
            <w:shd w:val="clear" w:color="auto" w:fill="auto"/>
            <w:vAlign w:val="center"/>
            <w:hideMark/>
          </w:tcPr>
          <w:p w14:paraId="78F629F6"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Factor 1</w:t>
            </w:r>
          </w:p>
        </w:tc>
        <w:tc>
          <w:tcPr>
            <w:tcW w:w="2228" w:type="pct"/>
            <w:tcBorders>
              <w:top w:val="nil"/>
              <w:left w:val="nil"/>
              <w:bottom w:val="single" w:sz="8" w:space="0" w:color="DDDDDD"/>
              <w:right w:val="single" w:sz="8" w:space="0" w:color="DDDDDD"/>
            </w:tcBorders>
            <w:shd w:val="clear" w:color="auto" w:fill="auto"/>
            <w:vAlign w:val="center"/>
            <w:hideMark/>
          </w:tcPr>
          <w:p w14:paraId="16B4BB01"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Transcriptómica ISGs</w:t>
            </w:r>
          </w:p>
        </w:tc>
        <w:tc>
          <w:tcPr>
            <w:tcW w:w="1355" w:type="pct"/>
            <w:tcBorders>
              <w:top w:val="nil"/>
              <w:left w:val="nil"/>
              <w:bottom w:val="single" w:sz="8" w:space="0" w:color="DDDDDD"/>
              <w:right w:val="single" w:sz="8" w:space="0" w:color="DDDDDD"/>
            </w:tcBorders>
            <w:shd w:val="clear" w:color="auto" w:fill="auto"/>
            <w:vAlign w:val="center"/>
            <w:hideMark/>
          </w:tcPr>
          <w:p w14:paraId="2E76D9ED" w14:textId="77777777" w:rsidR="006034FB" w:rsidRPr="00D562D2" w:rsidRDefault="006034FB" w:rsidP="00477532">
            <w:pPr>
              <w:spacing w:before="0" w:after="0" w:line="240" w:lineRule="auto"/>
              <w:jc w:val="left"/>
              <w:rPr>
                <w:rFonts w:eastAsia="Times New Roman"/>
                <w:b/>
                <w:bCs/>
                <w:color w:val="000000"/>
                <w:sz w:val="20"/>
                <w:szCs w:val="20"/>
                <w:lang w:val="es-ES"/>
              </w:rPr>
            </w:pPr>
            <w:r w:rsidRPr="00D562D2">
              <w:rPr>
                <w:rFonts w:eastAsia="Times New Roman"/>
                <w:b/>
                <w:bCs/>
                <w:color w:val="000000"/>
                <w:sz w:val="20"/>
                <w:szCs w:val="20"/>
                <w:lang w:val="es-ES"/>
              </w:rPr>
              <w:t>85.06</w:t>
            </w:r>
          </w:p>
        </w:tc>
      </w:tr>
      <w:tr w:rsidR="006034FB" w:rsidRPr="00D562D2" w14:paraId="31075EB8" w14:textId="77777777" w:rsidTr="00477532">
        <w:trPr>
          <w:trHeight w:val="397"/>
        </w:trPr>
        <w:tc>
          <w:tcPr>
            <w:tcW w:w="1417" w:type="pct"/>
            <w:tcBorders>
              <w:top w:val="nil"/>
              <w:left w:val="single" w:sz="8" w:space="0" w:color="DDDDDD"/>
              <w:bottom w:val="single" w:sz="8" w:space="0" w:color="DDDDDD"/>
              <w:right w:val="single" w:sz="8" w:space="0" w:color="DDDDDD"/>
            </w:tcBorders>
            <w:shd w:val="clear" w:color="auto" w:fill="auto"/>
            <w:vAlign w:val="center"/>
            <w:hideMark/>
          </w:tcPr>
          <w:p w14:paraId="457E47C1"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Factor 2</w:t>
            </w:r>
          </w:p>
        </w:tc>
        <w:tc>
          <w:tcPr>
            <w:tcW w:w="2228" w:type="pct"/>
            <w:tcBorders>
              <w:top w:val="nil"/>
              <w:left w:val="nil"/>
              <w:bottom w:val="single" w:sz="8" w:space="0" w:color="DDDDDD"/>
              <w:right w:val="single" w:sz="8" w:space="0" w:color="DDDDDD"/>
            </w:tcBorders>
            <w:shd w:val="clear" w:color="auto" w:fill="auto"/>
            <w:vAlign w:val="center"/>
            <w:hideMark/>
          </w:tcPr>
          <w:p w14:paraId="18938E08"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Transcriptómica ISGs</w:t>
            </w:r>
          </w:p>
        </w:tc>
        <w:tc>
          <w:tcPr>
            <w:tcW w:w="1355" w:type="pct"/>
            <w:tcBorders>
              <w:top w:val="nil"/>
              <w:left w:val="nil"/>
              <w:bottom w:val="single" w:sz="8" w:space="0" w:color="DDDDDD"/>
              <w:right w:val="single" w:sz="8" w:space="0" w:color="DDDDDD"/>
            </w:tcBorders>
            <w:shd w:val="clear" w:color="auto" w:fill="auto"/>
            <w:vAlign w:val="center"/>
            <w:hideMark/>
          </w:tcPr>
          <w:p w14:paraId="6FBC975B"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3.52</w:t>
            </w:r>
          </w:p>
        </w:tc>
      </w:tr>
      <w:tr w:rsidR="006034FB" w:rsidRPr="00D562D2" w14:paraId="7D35E172" w14:textId="77777777" w:rsidTr="00477532">
        <w:trPr>
          <w:trHeight w:val="397"/>
        </w:trPr>
        <w:tc>
          <w:tcPr>
            <w:tcW w:w="1417" w:type="pct"/>
            <w:tcBorders>
              <w:top w:val="nil"/>
              <w:left w:val="single" w:sz="8" w:space="0" w:color="DDDDDD"/>
              <w:bottom w:val="single" w:sz="8" w:space="0" w:color="DDDDDD"/>
              <w:right w:val="single" w:sz="8" w:space="0" w:color="DDDDDD"/>
            </w:tcBorders>
            <w:shd w:val="clear" w:color="auto" w:fill="auto"/>
            <w:vAlign w:val="center"/>
            <w:hideMark/>
          </w:tcPr>
          <w:p w14:paraId="02C9789D"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lastRenderedPageBreak/>
              <w:t>Factor 3</w:t>
            </w:r>
          </w:p>
        </w:tc>
        <w:tc>
          <w:tcPr>
            <w:tcW w:w="2228" w:type="pct"/>
            <w:tcBorders>
              <w:top w:val="nil"/>
              <w:left w:val="nil"/>
              <w:bottom w:val="single" w:sz="8" w:space="0" w:color="DDDDDD"/>
              <w:right w:val="single" w:sz="8" w:space="0" w:color="DDDDDD"/>
            </w:tcBorders>
            <w:shd w:val="clear" w:color="auto" w:fill="auto"/>
            <w:vAlign w:val="center"/>
            <w:hideMark/>
          </w:tcPr>
          <w:p w14:paraId="0624C241"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Transcriptómica ISGs</w:t>
            </w:r>
          </w:p>
        </w:tc>
        <w:tc>
          <w:tcPr>
            <w:tcW w:w="1355" w:type="pct"/>
            <w:tcBorders>
              <w:top w:val="nil"/>
              <w:left w:val="nil"/>
              <w:bottom w:val="single" w:sz="8" w:space="0" w:color="DDDDDD"/>
              <w:right w:val="single" w:sz="8" w:space="0" w:color="DDDDDD"/>
            </w:tcBorders>
            <w:shd w:val="clear" w:color="auto" w:fill="auto"/>
            <w:vAlign w:val="center"/>
            <w:hideMark/>
          </w:tcPr>
          <w:p w14:paraId="4B3CF954"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1.86</w:t>
            </w:r>
          </w:p>
        </w:tc>
      </w:tr>
      <w:tr w:rsidR="006034FB" w:rsidRPr="00D562D2" w14:paraId="1B4C8697" w14:textId="77777777" w:rsidTr="00477532">
        <w:trPr>
          <w:trHeight w:val="397"/>
        </w:trPr>
        <w:tc>
          <w:tcPr>
            <w:tcW w:w="1417" w:type="pct"/>
            <w:tcBorders>
              <w:top w:val="nil"/>
              <w:left w:val="single" w:sz="8" w:space="0" w:color="DDDDDD"/>
              <w:bottom w:val="single" w:sz="8" w:space="0" w:color="DDDDDD"/>
              <w:right w:val="single" w:sz="8" w:space="0" w:color="DDDDDD"/>
            </w:tcBorders>
            <w:shd w:val="clear" w:color="auto" w:fill="auto"/>
            <w:vAlign w:val="center"/>
            <w:hideMark/>
          </w:tcPr>
          <w:p w14:paraId="1716D072"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Factor 4</w:t>
            </w:r>
          </w:p>
        </w:tc>
        <w:tc>
          <w:tcPr>
            <w:tcW w:w="2228" w:type="pct"/>
            <w:tcBorders>
              <w:top w:val="nil"/>
              <w:left w:val="nil"/>
              <w:bottom w:val="single" w:sz="8" w:space="0" w:color="DDDDDD"/>
              <w:right w:val="single" w:sz="8" w:space="0" w:color="DDDDDD"/>
            </w:tcBorders>
            <w:shd w:val="clear" w:color="auto" w:fill="auto"/>
            <w:vAlign w:val="center"/>
            <w:hideMark/>
          </w:tcPr>
          <w:p w14:paraId="61476CF8"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Transcriptómica ISGs</w:t>
            </w:r>
          </w:p>
        </w:tc>
        <w:tc>
          <w:tcPr>
            <w:tcW w:w="1355" w:type="pct"/>
            <w:tcBorders>
              <w:top w:val="nil"/>
              <w:left w:val="nil"/>
              <w:bottom w:val="single" w:sz="8" w:space="0" w:color="DDDDDD"/>
              <w:right w:val="single" w:sz="8" w:space="0" w:color="DDDDDD"/>
            </w:tcBorders>
            <w:shd w:val="clear" w:color="auto" w:fill="auto"/>
            <w:vAlign w:val="center"/>
            <w:hideMark/>
          </w:tcPr>
          <w:p w14:paraId="0C2C51D8"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1.43</w:t>
            </w:r>
          </w:p>
        </w:tc>
      </w:tr>
      <w:tr w:rsidR="006034FB" w:rsidRPr="00D562D2" w14:paraId="5C311FE8" w14:textId="77777777" w:rsidTr="00477532">
        <w:trPr>
          <w:trHeight w:val="397"/>
        </w:trPr>
        <w:tc>
          <w:tcPr>
            <w:tcW w:w="1417" w:type="pct"/>
            <w:tcBorders>
              <w:top w:val="nil"/>
              <w:left w:val="single" w:sz="8" w:space="0" w:color="DDDDDD"/>
              <w:bottom w:val="single" w:sz="8" w:space="0" w:color="DDDDDD"/>
              <w:right w:val="single" w:sz="8" w:space="0" w:color="DDDDDD"/>
            </w:tcBorders>
            <w:shd w:val="clear" w:color="auto" w:fill="auto"/>
            <w:vAlign w:val="center"/>
            <w:hideMark/>
          </w:tcPr>
          <w:p w14:paraId="61D40E65"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Factor 1</w:t>
            </w:r>
          </w:p>
        </w:tc>
        <w:tc>
          <w:tcPr>
            <w:tcW w:w="2228" w:type="pct"/>
            <w:tcBorders>
              <w:top w:val="nil"/>
              <w:left w:val="nil"/>
              <w:bottom w:val="single" w:sz="8" w:space="0" w:color="DDDDDD"/>
              <w:right w:val="single" w:sz="8" w:space="0" w:color="DDDDDD"/>
            </w:tcBorders>
            <w:shd w:val="clear" w:color="auto" w:fill="auto"/>
            <w:vAlign w:val="center"/>
            <w:hideMark/>
          </w:tcPr>
          <w:p w14:paraId="1F3913BB"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Proteómica sérica</w:t>
            </w:r>
          </w:p>
        </w:tc>
        <w:tc>
          <w:tcPr>
            <w:tcW w:w="1355" w:type="pct"/>
            <w:tcBorders>
              <w:top w:val="nil"/>
              <w:left w:val="nil"/>
              <w:bottom w:val="single" w:sz="8" w:space="0" w:color="DDDDDD"/>
              <w:right w:val="single" w:sz="8" w:space="0" w:color="DDDDDD"/>
            </w:tcBorders>
            <w:shd w:val="clear" w:color="auto" w:fill="auto"/>
            <w:vAlign w:val="center"/>
            <w:hideMark/>
          </w:tcPr>
          <w:p w14:paraId="6BB6BB02" w14:textId="77777777" w:rsidR="006034FB" w:rsidRPr="00D562D2" w:rsidRDefault="006034FB" w:rsidP="00477532">
            <w:pPr>
              <w:spacing w:before="0" w:after="0" w:line="240" w:lineRule="auto"/>
              <w:jc w:val="left"/>
              <w:rPr>
                <w:rFonts w:eastAsia="Times New Roman"/>
                <w:b/>
                <w:bCs/>
                <w:color w:val="000000"/>
                <w:sz w:val="20"/>
                <w:szCs w:val="20"/>
                <w:lang w:val="es-ES"/>
              </w:rPr>
            </w:pPr>
            <w:r w:rsidRPr="00D562D2">
              <w:rPr>
                <w:rFonts w:eastAsia="Times New Roman"/>
                <w:b/>
                <w:bCs/>
                <w:color w:val="000000"/>
                <w:sz w:val="20"/>
                <w:szCs w:val="20"/>
                <w:lang w:val="es-ES"/>
              </w:rPr>
              <w:t>7.71</w:t>
            </w:r>
          </w:p>
        </w:tc>
      </w:tr>
      <w:tr w:rsidR="006034FB" w:rsidRPr="00D562D2" w14:paraId="4CB4AA33" w14:textId="77777777" w:rsidTr="00477532">
        <w:trPr>
          <w:trHeight w:val="397"/>
        </w:trPr>
        <w:tc>
          <w:tcPr>
            <w:tcW w:w="1417" w:type="pct"/>
            <w:tcBorders>
              <w:top w:val="nil"/>
              <w:left w:val="single" w:sz="8" w:space="0" w:color="DDDDDD"/>
              <w:bottom w:val="single" w:sz="8" w:space="0" w:color="DDDDDD"/>
              <w:right w:val="single" w:sz="8" w:space="0" w:color="DDDDDD"/>
            </w:tcBorders>
            <w:shd w:val="clear" w:color="auto" w:fill="auto"/>
            <w:vAlign w:val="center"/>
            <w:hideMark/>
          </w:tcPr>
          <w:p w14:paraId="63A1DB93"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Factor 2</w:t>
            </w:r>
          </w:p>
        </w:tc>
        <w:tc>
          <w:tcPr>
            <w:tcW w:w="2228" w:type="pct"/>
            <w:tcBorders>
              <w:top w:val="nil"/>
              <w:left w:val="nil"/>
              <w:bottom w:val="single" w:sz="8" w:space="0" w:color="DDDDDD"/>
              <w:right w:val="single" w:sz="8" w:space="0" w:color="DDDDDD"/>
            </w:tcBorders>
            <w:shd w:val="clear" w:color="auto" w:fill="auto"/>
            <w:vAlign w:val="center"/>
            <w:hideMark/>
          </w:tcPr>
          <w:p w14:paraId="53717D81"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Proteómica sérica</w:t>
            </w:r>
          </w:p>
        </w:tc>
        <w:tc>
          <w:tcPr>
            <w:tcW w:w="1355" w:type="pct"/>
            <w:tcBorders>
              <w:top w:val="nil"/>
              <w:left w:val="nil"/>
              <w:bottom w:val="single" w:sz="8" w:space="0" w:color="DDDDDD"/>
              <w:right w:val="single" w:sz="8" w:space="0" w:color="DDDDDD"/>
            </w:tcBorders>
            <w:shd w:val="clear" w:color="auto" w:fill="auto"/>
            <w:vAlign w:val="center"/>
            <w:hideMark/>
          </w:tcPr>
          <w:p w14:paraId="43E8954E"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0.00</w:t>
            </w:r>
          </w:p>
        </w:tc>
      </w:tr>
      <w:tr w:rsidR="006034FB" w:rsidRPr="00D562D2" w14:paraId="4EA839B7" w14:textId="77777777" w:rsidTr="00477532">
        <w:trPr>
          <w:trHeight w:val="397"/>
        </w:trPr>
        <w:tc>
          <w:tcPr>
            <w:tcW w:w="1417" w:type="pct"/>
            <w:tcBorders>
              <w:top w:val="nil"/>
              <w:left w:val="single" w:sz="8" w:space="0" w:color="DDDDDD"/>
              <w:bottom w:val="single" w:sz="8" w:space="0" w:color="DDDDDD"/>
              <w:right w:val="single" w:sz="8" w:space="0" w:color="DDDDDD"/>
            </w:tcBorders>
            <w:shd w:val="clear" w:color="auto" w:fill="auto"/>
            <w:vAlign w:val="center"/>
            <w:hideMark/>
          </w:tcPr>
          <w:p w14:paraId="49F250B3"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Factor 3</w:t>
            </w:r>
          </w:p>
        </w:tc>
        <w:tc>
          <w:tcPr>
            <w:tcW w:w="2228" w:type="pct"/>
            <w:tcBorders>
              <w:top w:val="nil"/>
              <w:left w:val="nil"/>
              <w:bottom w:val="single" w:sz="8" w:space="0" w:color="DDDDDD"/>
              <w:right w:val="single" w:sz="8" w:space="0" w:color="DDDDDD"/>
            </w:tcBorders>
            <w:shd w:val="clear" w:color="auto" w:fill="auto"/>
            <w:vAlign w:val="center"/>
            <w:hideMark/>
          </w:tcPr>
          <w:p w14:paraId="700ECBA0"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Proteómica sérica</w:t>
            </w:r>
          </w:p>
        </w:tc>
        <w:tc>
          <w:tcPr>
            <w:tcW w:w="1355" w:type="pct"/>
            <w:tcBorders>
              <w:top w:val="nil"/>
              <w:left w:val="nil"/>
              <w:bottom w:val="single" w:sz="8" w:space="0" w:color="DDDDDD"/>
              <w:right w:val="single" w:sz="8" w:space="0" w:color="DDDDDD"/>
            </w:tcBorders>
            <w:shd w:val="clear" w:color="auto" w:fill="auto"/>
            <w:vAlign w:val="center"/>
            <w:hideMark/>
          </w:tcPr>
          <w:p w14:paraId="02A6A8D9"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0.90</w:t>
            </w:r>
          </w:p>
        </w:tc>
      </w:tr>
      <w:tr w:rsidR="006034FB" w:rsidRPr="00D562D2" w14:paraId="1A178C3C" w14:textId="77777777" w:rsidTr="00477532">
        <w:trPr>
          <w:trHeight w:val="397"/>
        </w:trPr>
        <w:tc>
          <w:tcPr>
            <w:tcW w:w="1417" w:type="pct"/>
            <w:tcBorders>
              <w:top w:val="nil"/>
              <w:left w:val="single" w:sz="8" w:space="0" w:color="DDDDDD"/>
              <w:bottom w:val="single" w:sz="8" w:space="0" w:color="DDDDDD"/>
              <w:right w:val="single" w:sz="8" w:space="0" w:color="DDDDDD"/>
            </w:tcBorders>
            <w:shd w:val="clear" w:color="auto" w:fill="auto"/>
            <w:vAlign w:val="center"/>
            <w:hideMark/>
          </w:tcPr>
          <w:p w14:paraId="26BAF3C2"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Factor 4</w:t>
            </w:r>
          </w:p>
        </w:tc>
        <w:tc>
          <w:tcPr>
            <w:tcW w:w="2228" w:type="pct"/>
            <w:tcBorders>
              <w:top w:val="nil"/>
              <w:left w:val="nil"/>
              <w:bottom w:val="single" w:sz="8" w:space="0" w:color="DDDDDD"/>
              <w:right w:val="single" w:sz="8" w:space="0" w:color="DDDDDD"/>
            </w:tcBorders>
            <w:shd w:val="clear" w:color="auto" w:fill="auto"/>
            <w:vAlign w:val="center"/>
            <w:hideMark/>
          </w:tcPr>
          <w:p w14:paraId="6D260E86" w14:textId="77777777" w:rsidR="006034FB" w:rsidRPr="00D562D2" w:rsidRDefault="006034FB" w:rsidP="00477532">
            <w:pPr>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Proteómica sérica</w:t>
            </w:r>
          </w:p>
        </w:tc>
        <w:tc>
          <w:tcPr>
            <w:tcW w:w="1355" w:type="pct"/>
            <w:tcBorders>
              <w:top w:val="nil"/>
              <w:left w:val="nil"/>
              <w:bottom w:val="single" w:sz="8" w:space="0" w:color="DDDDDD"/>
              <w:right w:val="single" w:sz="8" w:space="0" w:color="DDDDDD"/>
            </w:tcBorders>
            <w:shd w:val="clear" w:color="auto" w:fill="auto"/>
            <w:vAlign w:val="center"/>
            <w:hideMark/>
          </w:tcPr>
          <w:p w14:paraId="68081B98" w14:textId="77777777" w:rsidR="006034FB" w:rsidRPr="00D562D2" w:rsidRDefault="006034FB" w:rsidP="005C1EEA">
            <w:pPr>
              <w:keepNext/>
              <w:spacing w:before="0" w:after="0" w:line="240" w:lineRule="auto"/>
              <w:jc w:val="left"/>
              <w:rPr>
                <w:rFonts w:eastAsia="Times New Roman"/>
                <w:color w:val="000000"/>
                <w:sz w:val="20"/>
                <w:szCs w:val="20"/>
                <w:lang w:val="es-ES"/>
              </w:rPr>
            </w:pPr>
            <w:r w:rsidRPr="00D562D2">
              <w:rPr>
                <w:rFonts w:eastAsia="Times New Roman"/>
                <w:color w:val="000000"/>
                <w:sz w:val="20"/>
                <w:szCs w:val="20"/>
                <w:lang w:val="es-ES"/>
              </w:rPr>
              <w:t>0.74</w:t>
            </w:r>
          </w:p>
        </w:tc>
      </w:tr>
    </w:tbl>
    <w:p w14:paraId="0E754BFE" w14:textId="30491AF5" w:rsidR="005C1EEA" w:rsidRDefault="005C1EEA" w:rsidP="00C67F76">
      <w:pPr>
        <w:pStyle w:val="Descripcin"/>
      </w:pPr>
      <w:bookmarkStart w:id="152" w:name="_Toc230792260"/>
      <w:r>
        <w:t xml:space="preserve">Tabla </w:t>
      </w:r>
      <w:fldSimple w:instr=" SEQ Tabla \* ARABIC ">
        <w:r w:rsidR="00716AEA">
          <w:rPr>
            <w:noProof/>
          </w:rPr>
          <w:t>30</w:t>
        </w:r>
      </w:fldSimple>
      <w:r>
        <w:t xml:space="preserve">. </w:t>
      </w:r>
      <w:r w:rsidRPr="00AC5E4F">
        <w:t>Varianza explicada (R²) por factor y bloque en el modelo MOFA2.</w:t>
      </w:r>
      <w:bookmarkEnd w:id="152"/>
    </w:p>
    <w:p w14:paraId="29C45F02" w14:textId="2FBA4339" w:rsidR="00731B2C" w:rsidRPr="00731B2C" w:rsidRDefault="006034FB" w:rsidP="006034FB">
      <w:r>
        <w:t>El Factor 1 emerge como el factor dominante del modelo, explicando el 85.06% de la varianza transcriptómica y el 7.71% de la varianza proteómica, con un patrón de actividad altamente asimétrico entre capas que refleja la preponderancia de la señal de interferón tipo I en el bloque de ISGs. Los Factores 2, 3 y 4 capturan variación residual de menor magnitud.</w:t>
      </w:r>
    </w:p>
    <w:p w14:paraId="06277D9E" w14:textId="34FC9763" w:rsidR="006034FB" w:rsidRPr="006034FB" w:rsidRDefault="006034FB" w:rsidP="006034FB">
      <w:pPr>
        <w:pStyle w:val="Ttulo3"/>
        <w:numPr>
          <w:ilvl w:val="2"/>
          <w:numId w:val="17"/>
        </w:numPr>
      </w:pPr>
      <w:proofErr w:type="spellStart"/>
      <w:r w:rsidRPr="006034FB">
        <w:t>Loadings</w:t>
      </w:r>
      <w:proofErr w:type="spellEnd"/>
      <w:r w:rsidRPr="006034FB">
        <w:t xml:space="preserve"> del Factor 1: identificación del eje IFN-I</w:t>
      </w:r>
    </w:p>
    <w:p w14:paraId="054D532B" w14:textId="42150BC5" w:rsidR="006034FB" w:rsidRDefault="006034FB" w:rsidP="006034FB">
      <w:r>
        <w:t>Los 20 ISGs con mayor peso absoluto (</w:t>
      </w:r>
      <w:proofErr w:type="spellStart"/>
      <w:r>
        <w:t>loading</w:t>
      </w:r>
      <w:proofErr w:type="spellEnd"/>
      <w:r>
        <w:t>) en el Factor 1 del bloque transcriptómico incluyen, en posiciones destacadas, genes canónicos de la vía de interferón tipo I: IFI27, IFI44, IFI44L, IFIT1, IFIT3, IFITM1, RSAD2 (positivamente asociados con el polo IFN-</w:t>
      </w:r>
      <w:proofErr w:type="spellStart"/>
      <w:r>
        <w:t>high</w:t>
      </w:r>
      <w:proofErr w:type="spellEnd"/>
      <w:r>
        <w:t xml:space="preserve">, </w:t>
      </w:r>
      <w:proofErr w:type="spellStart"/>
      <w:r>
        <w:t>loadings</w:t>
      </w:r>
      <w:proofErr w:type="spellEnd"/>
      <w:r>
        <w:t xml:space="preserve"> positivos) y un subconjunto de genes con </w:t>
      </w:r>
      <w:proofErr w:type="spellStart"/>
      <w:r>
        <w:t>loadings</w:t>
      </w:r>
      <w:proofErr w:type="spellEnd"/>
      <w:r>
        <w:t xml:space="preserve"> negativos asociados al polo IFN-low. Esta arquitectura de </w:t>
      </w:r>
      <w:proofErr w:type="spellStart"/>
      <w:r>
        <w:t>loadings</w:t>
      </w:r>
      <w:proofErr w:type="spellEnd"/>
      <w:r>
        <w:t xml:space="preserve"> confirma que el Factor 1 captura, de forma no supervisada, el eje biológico central de la firma de interferón tipo I previamente descrito en la literatura y cuantificado mediante el IFN-score principal. </w:t>
      </w:r>
    </w:p>
    <w:tbl>
      <w:tblPr>
        <w:tblW w:w="5000" w:type="pct"/>
        <w:tblCellMar>
          <w:left w:w="70" w:type="dxa"/>
          <w:right w:w="70" w:type="dxa"/>
        </w:tblCellMar>
        <w:tblLook w:val="04A0" w:firstRow="1" w:lastRow="0" w:firstColumn="1" w:lastColumn="0" w:noHBand="0" w:noVBand="1"/>
      </w:tblPr>
      <w:tblGrid>
        <w:gridCol w:w="2764"/>
        <w:gridCol w:w="2644"/>
        <w:gridCol w:w="3077"/>
      </w:tblGrid>
      <w:tr w:rsidR="00D01AAF" w:rsidRPr="00D01AAF" w14:paraId="48A606D0" w14:textId="77777777" w:rsidTr="00477532">
        <w:trPr>
          <w:trHeight w:val="360"/>
        </w:trPr>
        <w:tc>
          <w:tcPr>
            <w:tcW w:w="1629" w:type="pct"/>
            <w:tcBorders>
              <w:top w:val="single" w:sz="8" w:space="0" w:color="DDDDDD"/>
              <w:left w:val="single" w:sz="8" w:space="0" w:color="DDDDDD"/>
              <w:bottom w:val="single" w:sz="8" w:space="0" w:color="DDDDDD"/>
              <w:right w:val="single" w:sz="8" w:space="0" w:color="DDDDDD"/>
            </w:tcBorders>
            <w:shd w:val="clear" w:color="000000" w:fill="F2F2F2"/>
            <w:vAlign w:val="center"/>
            <w:hideMark/>
          </w:tcPr>
          <w:p w14:paraId="4E59A170" w14:textId="77777777" w:rsidR="00D01AAF" w:rsidRPr="00D01AAF" w:rsidRDefault="00D01AAF" w:rsidP="00477532">
            <w:pPr>
              <w:spacing w:before="0" w:after="0" w:line="240" w:lineRule="auto"/>
              <w:jc w:val="left"/>
              <w:rPr>
                <w:rFonts w:eastAsia="Times New Roman"/>
                <w:b/>
                <w:bCs/>
                <w:color w:val="000000"/>
                <w:sz w:val="20"/>
                <w:szCs w:val="20"/>
                <w:lang w:val="es-ES"/>
              </w:rPr>
            </w:pPr>
            <w:r w:rsidRPr="00D01AAF">
              <w:rPr>
                <w:rFonts w:eastAsia="Times New Roman"/>
                <w:b/>
                <w:bCs/>
                <w:color w:val="000000"/>
                <w:sz w:val="20"/>
                <w:szCs w:val="20"/>
                <w:lang w:val="es-ES"/>
              </w:rPr>
              <w:t>Gen ISG</w:t>
            </w:r>
          </w:p>
        </w:tc>
        <w:tc>
          <w:tcPr>
            <w:tcW w:w="1558" w:type="pct"/>
            <w:tcBorders>
              <w:top w:val="single" w:sz="8" w:space="0" w:color="DDDDDD"/>
              <w:left w:val="nil"/>
              <w:bottom w:val="single" w:sz="8" w:space="0" w:color="DDDDDD"/>
              <w:right w:val="single" w:sz="8" w:space="0" w:color="DDDDDD"/>
            </w:tcBorders>
            <w:shd w:val="clear" w:color="000000" w:fill="F2F2F2"/>
            <w:vAlign w:val="center"/>
            <w:hideMark/>
          </w:tcPr>
          <w:p w14:paraId="5F93266B" w14:textId="77777777" w:rsidR="00D01AAF" w:rsidRPr="00D01AAF" w:rsidRDefault="00D01AAF" w:rsidP="00477532">
            <w:pPr>
              <w:spacing w:before="0" w:after="0" w:line="240" w:lineRule="auto"/>
              <w:jc w:val="left"/>
              <w:rPr>
                <w:rFonts w:eastAsia="Times New Roman"/>
                <w:b/>
                <w:bCs/>
                <w:color w:val="000000"/>
                <w:sz w:val="20"/>
                <w:szCs w:val="20"/>
                <w:lang w:val="es-ES"/>
              </w:rPr>
            </w:pPr>
            <w:proofErr w:type="spellStart"/>
            <w:r w:rsidRPr="00D01AAF">
              <w:rPr>
                <w:rFonts w:eastAsia="Times New Roman"/>
                <w:b/>
                <w:bCs/>
                <w:color w:val="000000"/>
                <w:sz w:val="20"/>
                <w:szCs w:val="20"/>
                <w:lang w:val="es-ES"/>
              </w:rPr>
              <w:t>Loading</w:t>
            </w:r>
            <w:proofErr w:type="spellEnd"/>
          </w:p>
        </w:tc>
        <w:tc>
          <w:tcPr>
            <w:tcW w:w="1813" w:type="pct"/>
            <w:tcBorders>
              <w:top w:val="single" w:sz="8" w:space="0" w:color="DDDDDD"/>
              <w:left w:val="nil"/>
              <w:bottom w:val="single" w:sz="8" w:space="0" w:color="DDDDDD"/>
              <w:right w:val="single" w:sz="8" w:space="0" w:color="DDDDDD"/>
            </w:tcBorders>
            <w:shd w:val="clear" w:color="000000" w:fill="F2F2F2"/>
            <w:vAlign w:val="center"/>
            <w:hideMark/>
          </w:tcPr>
          <w:p w14:paraId="2B35C3D2" w14:textId="77777777" w:rsidR="00D01AAF" w:rsidRPr="00D01AAF" w:rsidRDefault="00D01AAF" w:rsidP="00477532">
            <w:pPr>
              <w:spacing w:before="0" w:after="0" w:line="240" w:lineRule="auto"/>
              <w:jc w:val="left"/>
              <w:rPr>
                <w:rFonts w:eastAsia="Times New Roman"/>
                <w:b/>
                <w:bCs/>
                <w:color w:val="000000"/>
                <w:sz w:val="20"/>
                <w:szCs w:val="20"/>
                <w:lang w:val="es-ES"/>
              </w:rPr>
            </w:pPr>
            <w:r w:rsidRPr="00D01AAF">
              <w:rPr>
                <w:rFonts w:eastAsia="Times New Roman"/>
                <w:b/>
                <w:bCs/>
                <w:color w:val="000000"/>
                <w:sz w:val="20"/>
                <w:szCs w:val="20"/>
                <w:lang w:val="es-ES"/>
              </w:rPr>
              <w:t>Dirección</w:t>
            </w:r>
          </w:p>
        </w:tc>
      </w:tr>
      <w:tr w:rsidR="00D01AAF" w:rsidRPr="00D01AAF" w14:paraId="3B66DAA4"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246023E5"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IFI27</w:t>
            </w:r>
          </w:p>
        </w:tc>
        <w:tc>
          <w:tcPr>
            <w:tcW w:w="1558" w:type="pct"/>
            <w:tcBorders>
              <w:top w:val="nil"/>
              <w:left w:val="nil"/>
              <w:bottom w:val="single" w:sz="8" w:space="0" w:color="DDDDDD"/>
              <w:right w:val="single" w:sz="8" w:space="0" w:color="DDDDDD"/>
            </w:tcBorders>
            <w:shd w:val="clear" w:color="auto" w:fill="auto"/>
            <w:vAlign w:val="center"/>
            <w:hideMark/>
          </w:tcPr>
          <w:p w14:paraId="174DC2DD"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24.402</w:t>
            </w:r>
          </w:p>
        </w:tc>
        <w:tc>
          <w:tcPr>
            <w:tcW w:w="1813" w:type="pct"/>
            <w:tcBorders>
              <w:top w:val="nil"/>
              <w:left w:val="nil"/>
              <w:bottom w:val="single" w:sz="8" w:space="0" w:color="DDDDDD"/>
              <w:right w:val="single" w:sz="8" w:space="0" w:color="DDDDDD"/>
            </w:tcBorders>
            <w:shd w:val="clear" w:color="auto" w:fill="auto"/>
            <w:vAlign w:val="center"/>
            <w:hideMark/>
          </w:tcPr>
          <w:p w14:paraId="1D395461"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06873AA6"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73DE9167"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IFI44L</w:t>
            </w:r>
          </w:p>
        </w:tc>
        <w:tc>
          <w:tcPr>
            <w:tcW w:w="1558" w:type="pct"/>
            <w:tcBorders>
              <w:top w:val="nil"/>
              <w:left w:val="nil"/>
              <w:bottom w:val="single" w:sz="8" w:space="0" w:color="DDDDDD"/>
              <w:right w:val="single" w:sz="8" w:space="0" w:color="DDDDDD"/>
            </w:tcBorders>
            <w:shd w:val="clear" w:color="auto" w:fill="auto"/>
            <w:vAlign w:val="center"/>
            <w:hideMark/>
          </w:tcPr>
          <w:p w14:paraId="3C7D15BA"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21.432</w:t>
            </w:r>
          </w:p>
        </w:tc>
        <w:tc>
          <w:tcPr>
            <w:tcW w:w="1813" w:type="pct"/>
            <w:tcBorders>
              <w:top w:val="nil"/>
              <w:left w:val="nil"/>
              <w:bottom w:val="single" w:sz="8" w:space="0" w:color="DDDDDD"/>
              <w:right w:val="single" w:sz="8" w:space="0" w:color="DDDDDD"/>
            </w:tcBorders>
            <w:shd w:val="clear" w:color="auto" w:fill="auto"/>
            <w:vAlign w:val="center"/>
            <w:hideMark/>
          </w:tcPr>
          <w:p w14:paraId="25B75D69"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5AD83878"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0CE199F2"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RSAD2</w:t>
            </w:r>
          </w:p>
        </w:tc>
        <w:tc>
          <w:tcPr>
            <w:tcW w:w="1558" w:type="pct"/>
            <w:tcBorders>
              <w:top w:val="nil"/>
              <w:left w:val="nil"/>
              <w:bottom w:val="single" w:sz="8" w:space="0" w:color="DDDDDD"/>
              <w:right w:val="single" w:sz="8" w:space="0" w:color="DDDDDD"/>
            </w:tcBorders>
            <w:shd w:val="clear" w:color="auto" w:fill="auto"/>
            <w:vAlign w:val="center"/>
            <w:hideMark/>
          </w:tcPr>
          <w:p w14:paraId="45DB8FC3"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19.640</w:t>
            </w:r>
          </w:p>
        </w:tc>
        <w:tc>
          <w:tcPr>
            <w:tcW w:w="1813" w:type="pct"/>
            <w:tcBorders>
              <w:top w:val="nil"/>
              <w:left w:val="nil"/>
              <w:bottom w:val="single" w:sz="8" w:space="0" w:color="DDDDDD"/>
              <w:right w:val="single" w:sz="8" w:space="0" w:color="DDDDDD"/>
            </w:tcBorders>
            <w:shd w:val="clear" w:color="auto" w:fill="auto"/>
            <w:vAlign w:val="center"/>
            <w:hideMark/>
          </w:tcPr>
          <w:p w14:paraId="1327042F"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22EEC4F7"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33FB32AE"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SIGLEC1</w:t>
            </w:r>
          </w:p>
        </w:tc>
        <w:tc>
          <w:tcPr>
            <w:tcW w:w="1558" w:type="pct"/>
            <w:tcBorders>
              <w:top w:val="nil"/>
              <w:left w:val="nil"/>
              <w:bottom w:val="single" w:sz="8" w:space="0" w:color="DDDDDD"/>
              <w:right w:val="single" w:sz="8" w:space="0" w:color="DDDDDD"/>
            </w:tcBorders>
            <w:shd w:val="clear" w:color="auto" w:fill="auto"/>
            <w:vAlign w:val="center"/>
            <w:hideMark/>
          </w:tcPr>
          <w:p w14:paraId="46D403F1"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18.758</w:t>
            </w:r>
          </w:p>
        </w:tc>
        <w:tc>
          <w:tcPr>
            <w:tcW w:w="1813" w:type="pct"/>
            <w:tcBorders>
              <w:top w:val="nil"/>
              <w:left w:val="nil"/>
              <w:bottom w:val="single" w:sz="8" w:space="0" w:color="DDDDDD"/>
              <w:right w:val="single" w:sz="8" w:space="0" w:color="DDDDDD"/>
            </w:tcBorders>
            <w:shd w:val="clear" w:color="auto" w:fill="auto"/>
            <w:vAlign w:val="center"/>
            <w:hideMark/>
          </w:tcPr>
          <w:p w14:paraId="4EA8205F"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25597121"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3D06F326"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IFIT1</w:t>
            </w:r>
          </w:p>
        </w:tc>
        <w:tc>
          <w:tcPr>
            <w:tcW w:w="1558" w:type="pct"/>
            <w:tcBorders>
              <w:top w:val="nil"/>
              <w:left w:val="nil"/>
              <w:bottom w:val="single" w:sz="8" w:space="0" w:color="DDDDDD"/>
              <w:right w:val="single" w:sz="8" w:space="0" w:color="DDDDDD"/>
            </w:tcBorders>
            <w:shd w:val="clear" w:color="auto" w:fill="auto"/>
            <w:vAlign w:val="center"/>
            <w:hideMark/>
          </w:tcPr>
          <w:p w14:paraId="4EAAD437"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17.820</w:t>
            </w:r>
          </w:p>
        </w:tc>
        <w:tc>
          <w:tcPr>
            <w:tcW w:w="1813" w:type="pct"/>
            <w:tcBorders>
              <w:top w:val="nil"/>
              <w:left w:val="nil"/>
              <w:bottom w:val="single" w:sz="8" w:space="0" w:color="DDDDDD"/>
              <w:right w:val="single" w:sz="8" w:space="0" w:color="DDDDDD"/>
            </w:tcBorders>
            <w:shd w:val="clear" w:color="auto" w:fill="auto"/>
            <w:vAlign w:val="center"/>
            <w:hideMark/>
          </w:tcPr>
          <w:p w14:paraId="0A9C32E7"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2A146D9B"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7355D514"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ISG15</w:t>
            </w:r>
          </w:p>
        </w:tc>
        <w:tc>
          <w:tcPr>
            <w:tcW w:w="1558" w:type="pct"/>
            <w:tcBorders>
              <w:top w:val="nil"/>
              <w:left w:val="nil"/>
              <w:bottom w:val="single" w:sz="8" w:space="0" w:color="DDDDDD"/>
              <w:right w:val="single" w:sz="8" w:space="0" w:color="DDDDDD"/>
            </w:tcBorders>
            <w:shd w:val="clear" w:color="auto" w:fill="auto"/>
            <w:vAlign w:val="center"/>
            <w:hideMark/>
          </w:tcPr>
          <w:p w14:paraId="3EDC5527"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17.376</w:t>
            </w:r>
          </w:p>
        </w:tc>
        <w:tc>
          <w:tcPr>
            <w:tcW w:w="1813" w:type="pct"/>
            <w:tcBorders>
              <w:top w:val="nil"/>
              <w:left w:val="nil"/>
              <w:bottom w:val="single" w:sz="8" w:space="0" w:color="DDDDDD"/>
              <w:right w:val="single" w:sz="8" w:space="0" w:color="DDDDDD"/>
            </w:tcBorders>
            <w:shd w:val="clear" w:color="auto" w:fill="auto"/>
            <w:vAlign w:val="center"/>
            <w:hideMark/>
          </w:tcPr>
          <w:p w14:paraId="25BBA0CC"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02D49CA5"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6CBD8F53"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IFI44</w:t>
            </w:r>
          </w:p>
        </w:tc>
        <w:tc>
          <w:tcPr>
            <w:tcW w:w="1558" w:type="pct"/>
            <w:tcBorders>
              <w:top w:val="nil"/>
              <w:left w:val="nil"/>
              <w:bottom w:val="single" w:sz="8" w:space="0" w:color="DDDDDD"/>
              <w:right w:val="single" w:sz="8" w:space="0" w:color="DDDDDD"/>
            </w:tcBorders>
            <w:shd w:val="clear" w:color="auto" w:fill="auto"/>
            <w:vAlign w:val="center"/>
            <w:hideMark/>
          </w:tcPr>
          <w:p w14:paraId="3F304FF3"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16.719</w:t>
            </w:r>
          </w:p>
        </w:tc>
        <w:tc>
          <w:tcPr>
            <w:tcW w:w="1813" w:type="pct"/>
            <w:tcBorders>
              <w:top w:val="nil"/>
              <w:left w:val="nil"/>
              <w:bottom w:val="single" w:sz="8" w:space="0" w:color="DDDDDD"/>
              <w:right w:val="single" w:sz="8" w:space="0" w:color="DDDDDD"/>
            </w:tcBorders>
            <w:shd w:val="clear" w:color="auto" w:fill="auto"/>
            <w:vAlign w:val="center"/>
            <w:hideMark/>
          </w:tcPr>
          <w:p w14:paraId="3B77ED3A"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4801BC6D"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318A1FDD"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OAS3</w:t>
            </w:r>
          </w:p>
        </w:tc>
        <w:tc>
          <w:tcPr>
            <w:tcW w:w="1558" w:type="pct"/>
            <w:tcBorders>
              <w:top w:val="nil"/>
              <w:left w:val="nil"/>
              <w:bottom w:val="single" w:sz="8" w:space="0" w:color="DDDDDD"/>
              <w:right w:val="single" w:sz="8" w:space="0" w:color="DDDDDD"/>
            </w:tcBorders>
            <w:shd w:val="clear" w:color="auto" w:fill="auto"/>
            <w:vAlign w:val="center"/>
            <w:hideMark/>
          </w:tcPr>
          <w:p w14:paraId="1AF5246D"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16.421</w:t>
            </w:r>
          </w:p>
        </w:tc>
        <w:tc>
          <w:tcPr>
            <w:tcW w:w="1813" w:type="pct"/>
            <w:tcBorders>
              <w:top w:val="nil"/>
              <w:left w:val="nil"/>
              <w:bottom w:val="single" w:sz="8" w:space="0" w:color="DDDDDD"/>
              <w:right w:val="single" w:sz="8" w:space="0" w:color="DDDDDD"/>
            </w:tcBorders>
            <w:shd w:val="clear" w:color="auto" w:fill="auto"/>
            <w:vAlign w:val="center"/>
            <w:hideMark/>
          </w:tcPr>
          <w:p w14:paraId="49832A7C"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6A829BD8"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05A67239"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USP18</w:t>
            </w:r>
          </w:p>
        </w:tc>
        <w:tc>
          <w:tcPr>
            <w:tcW w:w="1558" w:type="pct"/>
            <w:tcBorders>
              <w:top w:val="nil"/>
              <w:left w:val="nil"/>
              <w:bottom w:val="single" w:sz="8" w:space="0" w:color="DDDDDD"/>
              <w:right w:val="single" w:sz="8" w:space="0" w:color="DDDDDD"/>
            </w:tcBorders>
            <w:shd w:val="clear" w:color="auto" w:fill="auto"/>
            <w:vAlign w:val="center"/>
            <w:hideMark/>
          </w:tcPr>
          <w:p w14:paraId="5D78B944"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15.353</w:t>
            </w:r>
          </w:p>
        </w:tc>
        <w:tc>
          <w:tcPr>
            <w:tcW w:w="1813" w:type="pct"/>
            <w:tcBorders>
              <w:top w:val="nil"/>
              <w:left w:val="nil"/>
              <w:bottom w:val="single" w:sz="8" w:space="0" w:color="DDDDDD"/>
              <w:right w:val="single" w:sz="8" w:space="0" w:color="DDDDDD"/>
            </w:tcBorders>
            <w:shd w:val="clear" w:color="auto" w:fill="auto"/>
            <w:vAlign w:val="center"/>
            <w:hideMark/>
          </w:tcPr>
          <w:p w14:paraId="7B684742"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4B741841"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2FA1AAD3"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HERC5</w:t>
            </w:r>
          </w:p>
        </w:tc>
        <w:tc>
          <w:tcPr>
            <w:tcW w:w="1558" w:type="pct"/>
            <w:tcBorders>
              <w:top w:val="nil"/>
              <w:left w:val="nil"/>
              <w:bottom w:val="single" w:sz="8" w:space="0" w:color="DDDDDD"/>
              <w:right w:val="single" w:sz="8" w:space="0" w:color="DDDDDD"/>
            </w:tcBorders>
            <w:shd w:val="clear" w:color="auto" w:fill="auto"/>
            <w:vAlign w:val="center"/>
            <w:hideMark/>
          </w:tcPr>
          <w:p w14:paraId="68233612"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14.598</w:t>
            </w:r>
          </w:p>
        </w:tc>
        <w:tc>
          <w:tcPr>
            <w:tcW w:w="1813" w:type="pct"/>
            <w:tcBorders>
              <w:top w:val="nil"/>
              <w:left w:val="nil"/>
              <w:bottom w:val="single" w:sz="8" w:space="0" w:color="DDDDDD"/>
              <w:right w:val="single" w:sz="8" w:space="0" w:color="DDDDDD"/>
            </w:tcBorders>
            <w:shd w:val="clear" w:color="auto" w:fill="auto"/>
            <w:vAlign w:val="center"/>
            <w:hideMark/>
          </w:tcPr>
          <w:p w14:paraId="29DE2D14"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6477D56F"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3FD35419"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MX1</w:t>
            </w:r>
          </w:p>
        </w:tc>
        <w:tc>
          <w:tcPr>
            <w:tcW w:w="1558" w:type="pct"/>
            <w:tcBorders>
              <w:top w:val="nil"/>
              <w:left w:val="nil"/>
              <w:bottom w:val="single" w:sz="8" w:space="0" w:color="DDDDDD"/>
              <w:right w:val="single" w:sz="8" w:space="0" w:color="DDDDDD"/>
            </w:tcBorders>
            <w:shd w:val="clear" w:color="auto" w:fill="auto"/>
            <w:vAlign w:val="center"/>
            <w:hideMark/>
          </w:tcPr>
          <w:p w14:paraId="294E1ECC"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14.581</w:t>
            </w:r>
          </w:p>
        </w:tc>
        <w:tc>
          <w:tcPr>
            <w:tcW w:w="1813" w:type="pct"/>
            <w:tcBorders>
              <w:top w:val="nil"/>
              <w:left w:val="nil"/>
              <w:bottom w:val="single" w:sz="8" w:space="0" w:color="DDDDDD"/>
              <w:right w:val="single" w:sz="8" w:space="0" w:color="DDDDDD"/>
            </w:tcBorders>
            <w:shd w:val="clear" w:color="auto" w:fill="auto"/>
            <w:vAlign w:val="center"/>
            <w:hideMark/>
          </w:tcPr>
          <w:p w14:paraId="3500382D"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47965F27"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64440147"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LY6E</w:t>
            </w:r>
          </w:p>
        </w:tc>
        <w:tc>
          <w:tcPr>
            <w:tcW w:w="1558" w:type="pct"/>
            <w:tcBorders>
              <w:top w:val="nil"/>
              <w:left w:val="nil"/>
              <w:bottom w:val="single" w:sz="8" w:space="0" w:color="DDDDDD"/>
              <w:right w:val="single" w:sz="8" w:space="0" w:color="DDDDDD"/>
            </w:tcBorders>
            <w:shd w:val="clear" w:color="auto" w:fill="auto"/>
            <w:vAlign w:val="center"/>
            <w:hideMark/>
          </w:tcPr>
          <w:p w14:paraId="1FF1E799"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14.500</w:t>
            </w:r>
          </w:p>
        </w:tc>
        <w:tc>
          <w:tcPr>
            <w:tcW w:w="1813" w:type="pct"/>
            <w:tcBorders>
              <w:top w:val="nil"/>
              <w:left w:val="nil"/>
              <w:bottom w:val="single" w:sz="8" w:space="0" w:color="DDDDDD"/>
              <w:right w:val="single" w:sz="8" w:space="0" w:color="DDDDDD"/>
            </w:tcBorders>
            <w:shd w:val="clear" w:color="auto" w:fill="auto"/>
            <w:vAlign w:val="center"/>
            <w:hideMark/>
          </w:tcPr>
          <w:p w14:paraId="1E4E9427"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2744DCCA"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6ECD43D7"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IFI6</w:t>
            </w:r>
          </w:p>
        </w:tc>
        <w:tc>
          <w:tcPr>
            <w:tcW w:w="1558" w:type="pct"/>
            <w:tcBorders>
              <w:top w:val="nil"/>
              <w:left w:val="nil"/>
              <w:bottom w:val="single" w:sz="8" w:space="0" w:color="DDDDDD"/>
              <w:right w:val="single" w:sz="8" w:space="0" w:color="DDDDDD"/>
            </w:tcBorders>
            <w:shd w:val="clear" w:color="auto" w:fill="auto"/>
            <w:vAlign w:val="center"/>
            <w:hideMark/>
          </w:tcPr>
          <w:p w14:paraId="53B085CA"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13.990</w:t>
            </w:r>
          </w:p>
        </w:tc>
        <w:tc>
          <w:tcPr>
            <w:tcW w:w="1813" w:type="pct"/>
            <w:tcBorders>
              <w:top w:val="nil"/>
              <w:left w:val="nil"/>
              <w:bottom w:val="single" w:sz="8" w:space="0" w:color="DDDDDD"/>
              <w:right w:val="single" w:sz="8" w:space="0" w:color="DDDDDD"/>
            </w:tcBorders>
            <w:shd w:val="clear" w:color="auto" w:fill="auto"/>
            <w:vAlign w:val="center"/>
            <w:hideMark/>
          </w:tcPr>
          <w:p w14:paraId="36098BCC"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2540E359"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17D6F665"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CMPK2</w:t>
            </w:r>
          </w:p>
        </w:tc>
        <w:tc>
          <w:tcPr>
            <w:tcW w:w="1558" w:type="pct"/>
            <w:tcBorders>
              <w:top w:val="nil"/>
              <w:left w:val="nil"/>
              <w:bottom w:val="single" w:sz="8" w:space="0" w:color="DDDDDD"/>
              <w:right w:val="single" w:sz="8" w:space="0" w:color="DDDDDD"/>
            </w:tcBorders>
            <w:shd w:val="clear" w:color="auto" w:fill="auto"/>
            <w:vAlign w:val="center"/>
            <w:hideMark/>
          </w:tcPr>
          <w:p w14:paraId="2CB73F55"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13.971</w:t>
            </w:r>
          </w:p>
        </w:tc>
        <w:tc>
          <w:tcPr>
            <w:tcW w:w="1813" w:type="pct"/>
            <w:tcBorders>
              <w:top w:val="nil"/>
              <w:left w:val="nil"/>
              <w:bottom w:val="single" w:sz="8" w:space="0" w:color="DDDDDD"/>
              <w:right w:val="single" w:sz="8" w:space="0" w:color="DDDDDD"/>
            </w:tcBorders>
            <w:shd w:val="clear" w:color="auto" w:fill="auto"/>
            <w:vAlign w:val="center"/>
            <w:hideMark/>
          </w:tcPr>
          <w:p w14:paraId="0D057407"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6584E775"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455E86A7"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lastRenderedPageBreak/>
              <w:t>EPSTI1</w:t>
            </w:r>
          </w:p>
        </w:tc>
        <w:tc>
          <w:tcPr>
            <w:tcW w:w="1558" w:type="pct"/>
            <w:tcBorders>
              <w:top w:val="nil"/>
              <w:left w:val="nil"/>
              <w:bottom w:val="single" w:sz="8" w:space="0" w:color="DDDDDD"/>
              <w:right w:val="single" w:sz="8" w:space="0" w:color="DDDDDD"/>
            </w:tcBorders>
            <w:shd w:val="clear" w:color="auto" w:fill="auto"/>
            <w:vAlign w:val="center"/>
            <w:hideMark/>
          </w:tcPr>
          <w:p w14:paraId="56608CC8"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13.909</w:t>
            </w:r>
          </w:p>
        </w:tc>
        <w:tc>
          <w:tcPr>
            <w:tcW w:w="1813" w:type="pct"/>
            <w:tcBorders>
              <w:top w:val="nil"/>
              <w:left w:val="nil"/>
              <w:bottom w:val="single" w:sz="8" w:space="0" w:color="DDDDDD"/>
              <w:right w:val="single" w:sz="8" w:space="0" w:color="DDDDDD"/>
            </w:tcBorders>
            <w:shd w:val="clear" w:color="auto" w:fill="auto"/>
            <w:vAlign w:val="center"/>
            <w:hideMark/>
          </w:tcPr>
          <w:p w14:paraId="5105C5DF"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21B74F64"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36B05F7A"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OAS1</w:t>
            </w:r>
          </w:p>
        </w:tc>
        <w:tc>
          <w:tcPr>
            <w:tcW w:w="1558" w:type="pct"/>
            <w:tcBorders>
              <w:top w:val="nil"/>
              <w:left w:val="nil"/>
              <w:bottom w:val="single" w:sz="8" w:space="0" w:color="DDDDDD"/>
              <w:right w:val="single" w:sz="8" w:space="0" w:color="DDDDDD"/>
            </w:tcBorders>
            <w:shd w:val="clear" w:color="auto" w:fill="auto"/>
            <w:vAlign w:val="center"/>
            <w:hideMark/>
          </w:tcPr>
          <w:p w14:paraId="274B9B58"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13.666</w:t>
            </w:r>
          </w:p>
        </w:tc>
        <w:tc>
          <w:tcPr>
            <w:tcW w:w="1813" w:type="pct"/>
            <w:tcBorders>
              <w:top w:val="nil"/>
              <w:left w:val="nil"/>
              <w:bottom w:val="single" w:sz="8" w:space="0" w:color="DDDDDD"/>
              <w:right w:val="single" w:sz="8" w:space="0" w:color="DDDDDD"/>
            </w:tcBorders>
            <w:shd w:val="clear" w:color="auto" w:fill="auto"/>
            <w:vAlign w:val="center"/>
            <w:hideMark/>
          </w:tcPr>
          <w:p w14:paraId="1A935883"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77162503"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106D72D7"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SPATS2L</w:t>
            </w:r>
          </w:p>
        </w:tc>
        <w:tc>
          <w:tcPr>
            <w:tcW w:w="1558" w:type="pct"/>
            <w:tcBorders>
              <w:top w:val="nil"/>
              <w:left w:val="nil"/>
              <w:bottom w:val="single" w:sz="8" w:space="0" w:color="DDDDDD"/>
              <w:right w:val="single" w:sz="8" w:space="0" w:color="DDDDDD"/>
            </w:tcBorders>
            <w:shd w:val="clear" w:color="auto" w:fill="auto"/>
            <w:vAlign w:val="center"/>
            <w:hideMark/>
          </w:tcPr>
          <w:p w14:paraId="51DB6ED5"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13.612</w:t>
            </w:r>
          </w:p>
        </w:tc>
        <w:tc>
          <w:tcPr>
            <w:tcW w:w="1813" w:type="pct"/>
            <w:tcBorders>
              <w:top w:val="nil"/>
              <w:left w:val="nil"/>
              <w:bottom w:val="single" w:sz="8" w:space="0" w:color="DDDDDD"/>
              <w:right w:val="single" w:sz="8" w:space="0" w:color="DDDDDD"/>
            </w:tcBorders>
            <w:shd w:val="clear" w:color="auto" w:fill="auto"/>
            <w:vAlign w:val="center"/>
            <w:hideMark/>
          </w:tcPr>
          <w:p w14:paraId="6A37BB37"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06C7D1BE"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2796E3D8"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IFIT3</w:t>
            </w:r>
          </w:p>
        </w:tc>
        <w:tc>
          <w:tcPr>
            <w:tcW w:w="1558" w:type="pct"/>
            <w:tcBorders>
              <w:top w:val="nil"/>
              <w:left w:val="nil"/>
              <w:bottom w:val="single" w:sz="8" w:space="0" w:color="DDDDDD"/>
              <w:right w:val="single" w:sz="8" w:space="0" w:color="DDDDDD"/>
            </w:tcBorders>
            <w:shd w:val="clear" w:color="auto" w:fill="auto"/>
            <w:vAlign w:val="center"/>
            <w:hideMark/>
          </w:tcPr>
          <w:p w14:paraId="62AFA3C4"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13.536</w:t>
            </w:r>
          </w:p>
        </w:tc>
        <w:tc>
          <w:tcPr>
            <w:tcW w:w="1813" w:type="pct"/>
            <w:tcBorders>
              <w:top w:val="nil"/>
              <w:left w:val="nil"/>
              <w:bottom w:val="single" w:sz="8" w:space="0" w:color="DDDDDD"/>
              <w:right w:val="single" w:sz="8" w:space="0" w:color="DDDDDD"/>
            </w:tcBorders>
            <w:shd w:val="clear" w:color="auto" w:fill="auto"/>
            <w:vAlign w:val="center"/>
            <w:hideMark/>
          </w:tcPr>
          <w:p w14:paraId="072A8F4B"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0AFABF2D"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3AC620EB"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OAS2</w:t>
            </w:r>
          </w:p>
        </w:tc>
        <w:tc>
          <w:tcPr>
            <w:tcW w:w="1558" w:type="pct"/>
            <w:tcBorders>
              <w:top w:val="nil"/>
              <w:left w:val="nil"/>
              <w:bottom w:val="single" w:sz="8" w:space="0" w:color="DDDDDD"/>
              <w:right w:val="single" w:sz="8" w:space="0" w:color="DDDDDD"/>
            </w:tcBorders>
            <w:shd w:val="clear" w:color="auto" w:fill="auto"/>
            <w:vAlign w:val="center"/>
            <w:hideMark/>
          </w:tcPr>
          <w:p w14:paraId="5DE9A85E"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12.047</w:t>
            </w:r>
          </w:p>
        </w:tc>
        <w:tc>
          <w:tcPr>
            <w:tcW w:w="1813" w:type="pct"/>
            <w:tcBorders>
              <w:top w:val="nil"/>
              <w:left w:val="nil"/>
              <w:bottom w:val="single" w:sz="8" w:space="0" w:color="DDDDDD"/>
              <w:right w:val="single" w:sz="8" w:space="0" w:color="DDDDDD"/>
            </w:tcBorders>
            <w:shd w:val="clear" w:color="auto" w:fill="auto"/>
            <w:vAlign w:val="center"/>
            <w:hideMark/>
          </w:tcPr>
          <w:p w14:paraId="67ED058C"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151EA44C" w14:textId="77777777" w:rsidTr="00477532">
        <w:trPr>
          <w:trHeight w:val="360"/>
        </w:trPr>
        <w:tc>
          <w:tcPr>
            <w:tcW w:w="1629" w:type="pct"/>
            <w:tcBorders>
              <w:top w:val="nil"/>
              <w:left w:val="single" w:sz="8" w:space="0" w:color="DDDDDD"/>
              <w:bottom w:val="single" w:sz="8" w:space="0" w:color="DDDDDD"/>
              <w:right w:val="single" w:sz="8" w:space="0" w:color="DDDDDD"/>
            </w:tcBorders>
            <w:shd w:val="clear" w:color="auto" w:fill="auto"/>
            <w:vAlign w:val="center"/>
            <w:hideMark/>
          </w:tcPr>
          <w:p w14:paraId="5084E9BA"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DDX60</w:t>
            </w:r>
          </w:p>
        </w:tc>
        <w:tc>
          <w:tcPr>
            <w:tcW w:w="1558" w:type="pct"/>
            <w:tcBorders>
              <w:top w:val="nil"/>
              <w:left w:val="nil"/>
              <w:bottom w:val="single" w:sz="8" w:space="0" w:color="DDDDDD"/>
              <w:right w:val="single" w:sz="8" w:space="0" w:color="DDDDDD"/>
            </w:tcBorders>
            <w:shd w:val="clear" w:color="auto" w:fill="auto"/>
            <w:vAlign w:val="center"/>
            <w:hideMark/>
          </w:tcPr>
          <w:p w14:paraId="1607703F" w14:textId="77777777" w:rsidR="00D01AAF" w:rsidRPr="00D01AAF" w:rsidRDefault="00D01AAF" w:rsidP="00477532">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11.964</w:t>
            </w:r>
          </w:p>
        </w:tc>
        <w:tc>
          <w:tcPr>
            <w:tcW w:w="1813" w:type="pct"/>
            <w:tcBorders>
              <w:top w:val="nil"/>
              <w:left w:val="nil"/>
              <w:bottom w:val="single" w:sz="8" w:space="0" w:color="DDDDDD"/>
              <w:right w:val="single" w:sz="8" w:space="0" w:color="DDDDDD"/>
            </w:tcBorders>
            <w:shd w:val="clear" w:color="auto" w:fill="auto"/>
            <w:vAlign w:val="center"/>
            <w:hideMark/>
          </w:tcPr>
          <w:p w14:paraId="3669D50A" w14:textId="77777777" w:rsidR="00D01AAF" w:rsidRPr="00D01AAF" w:rsidRDefault="00D01AAF" w:rsidP="00D01AAF">
            <w:pPr>
              <w:keepNext/>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bl>
    <w:p w14:paraId="3C573786" w14:textId="5EB52CEA" w:rsidR="00D01AAF" w:rsidRDefault="00D01AAF" w:rsidP="00C67F76">
      <w:pPr>
        <w:pStyle w:val="Descripcin"/>
      </w:pPr>
      <w:bookmarkStart w:id="153" w:name="_Toc230792261"/>
      <w:r>
        <w:t xml:space="preserve">Tabla </w:t>
      </w:r>
      <w:fldSimple w:instr=" SEQ Tabla \* ARABIC ">
        <w:r w:rsidR="00716AEA">
          <w:rPr>
            <w:noProof/>
          </w:rPr>
          <w:t>31</w:t>
        </w:r>
      </w:fldSimple>
      <w:r>
        <w:t xml:space="preserve">. </w:t>
      </w:r>
      <w:r w:rsidRPr="007E4AA9">
        <w:t>Factor 1 del bloque transcriptómico</w:t>
      </w:r>
      <w:r>
        <w:t>.</w:t>
      </w:r>
      <w:bookmarkEnd w:id="153"/>
      <w:r>
        <w:t xml:space="preserve"> </w:t>
      </w:r>
    </w:p>
    <w:p w14:paraId="61A4AB74" w14:textId="05527DE6" w:rsidR="00D01AAF" w:rsidRDefault="00D01AAF" w:rsidP="00D01AAF">
      <w:r w:rsidRPr="00D01AAF">
        <w:t>En el bloque proteómico, el IFN-α sérico domina con gran diferencia el polo positivo del Factor 1 (</w:t>
      </w:r>
      <w:proofErr w:type="spellStart"/>
      <w:r w:rsidRPr="00D01AAF">
        <w:t>loading</w:t>
      </w:r>
      <w:proofErr w:type="spellEnd"/>
      <w:r w:rsidRPr="00D01AAF">
        <w:t xml:space="preserve"> = 0.749), </w:t>
      </w:r>
      <w:proofErr w:type="spellStart"/>
      <w:r w:rsidRPr="00D01AAF">
        <w:t>co</w:t>
      </w:r>
      <w:proofErr w:type="spellEnd"/>
      <w:r w:rsidRPr="00D01AAF">
        <w:t xml:space="preserve">-proyectándose en la misma dirección que todos los ISGs transcriptómicos. Las proteínas con </w:t>
      </w:r>
      <w:proofErr w:type="spellStart"/>
      <w:r w:rsidRPr="00D01AAF">
        <w:t>loadings</w:t>
      </w:r>
      <w:proofErr w:type="spellEnd"/>
      <w:r w:rsidRPr="00D01AAF">
        <w:t xml:space="preserve"> positivos de menor magnitud son: IFN-γ, BAFF, PCR, IL-2, IL-6, triglicéridos, IL-8 y el cociente Apo B/A-I. Por el contrario, las proteínas con </w:t>
      </w:r>
      <w:proofErr w:type="spellStart"/>
      <w:r w:rsidRPr="00D01AAF">
        <w:t>loadings</w:t>
      </w:r>
      <w:proofErr w:type="spellEnd"/>
      <w:r w:rsidRPr="00D01AAF">
        <w:t xml:space="preserve"> negativos —asociadas al polo IFN-low/remisión— incluyen: HDL</w:t>
      </w:r>
      <w:r>
        <w:t>,</w:t>
      </w:r>
      <w:r w:rsidRPr="00D01AAF">
        <w:t xml:space="preserve"> Apo A-I</w:t>
      </w:r>
      <w:r>
        <w:t xml:space="preserve">, </w:t>
      </w:r>
      <w:r w:rsidRPr="00D01AAF">
        <w:t>lipoproteína(a), C3</w:t>
      </w:r>
      <w:r>
        <w:t>,</w:t>
      </w:r>
      <w:r w:rsidRPr="00D01AAF">
        <w:t xml:space="preserve"> C4, colesterol total</w:t>
      </w:r>
      <w:r>
        <w:t xml:space="preserve">, </w:t>
      </w:r>
      <w:r w:rsidRPr="00D01AAF">
        <w:t>LDL, creatinina y Apo B. Este patrón indica que el Factor 1 captura, de forma simultánea, la activación del eje IFN-I (mayor inflamación, citoquinas elevadas) y la inversión del perfil lipídico-metabólico asociado al lupus activo (reducción de HDL, Apo A-I y lipoproteínas protectoras).</w:t>
      </w:r>
    </w:p>
    <w:tbl>
      <w:tblPr>
        <w:tblW w:w="5000" w:type="pct"/>
        <w:tblCellMar>
          <w:left w:w="70" w:type="dxa"/>
          <w:right w:w="70" w:type="dxa"/>
        </w:tblCellMar>
        <w:tblLook w:val="04A0" w:firstRow="1" w:lastRow="0" w:firstColumn="1" w:lastColumn="0" w:noHBand="0" w:noVBand="1"/>
      </w:tblPr>
      <w:tblGrid>
        <w:gridCol w:w="4033"/>
        <w:gridCol w:w="2070"/>
        <w:gridCol w:w="2387"/>
      </w:tblGrid>
      <w:tr w:rsidR="00D01AAF" w:rsidRPr="00D01AAF" w14:paraId="7F81B4AE"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000000" w:fill="F2F2F2"/>
            <w:vAlign w:val="center"/>
            <w:hideMark/>
          </w:tcPr>
          <w:p w14:paraId="024C58F9" w14:textId="614FC27D" w:rsidR="00D01AAF" w:rsidRPr="00D01AAF" w:rsidRDefault="00D01AAF" w:rsidP="00D01AAF">
            <w:pPr>
              <w:spacing w:before="0" w:after="0" w:line="240" w:lineRule="auto"/>
              <w:jc w:val="left"/>
              <w:rPr>
                <w:rFonts w:eastAsia="Times New Roman"/>
                <w:b/>
                <w:bCs/>
                <w:color w:val="000000"/>
                <w:sz w:val="20"/>
                <w:szCs w:val="20"/>
                <w:lang w:val="es-ES"/>
              </w:rPr>
            </w:pPr>
            <w:r>
              <w:rPr>
                <w:rFonts w:eastAsia="Times New Roman"/>
                <w:b/>
                <w:bCs/>
                <w:color w:val="000000"/>
                <w:sz w:val="20"/>
                <w:szCs w:val="20"/>
                <w:lang w:val="es-ES"/>
              </w:rPr>
              <w:t>Variable</w:t>
            </w:r>
          </w:p>
        </w:tc>
        <w:tc>
          <w:tcPr>
            <w:tcW w:w="1219" w:type="pct"/>
            <w:tcBorders>
              <w:top w:val="single" w:sz="8" w:space="0" w:color="DDDDDD"/>
              <w:left w:val="single" w:sz="4" w:space="0" w:color="D9D9D9" w:themeColor="background1" w:themeShade="D9"/>
              <w:bottom w:val="single" w:sz="8" w:space="0" w:color="DDDDDD"/>
              <w:right w:val="single" w:sz="8" w:space="0" w:color="DDDDDD"/>
            </w:tcBorders>
            <w:shd w:val="clear" w:color="000000" w:fill="F2F2F2"/>
            <w:vAlign w:val="center"/>
            <w:hideMark/>
          </w:tcPr>
          <w:p w14:paraId="45FDF44A" w14:textId="77777777" w:rsidR="00D01AAF" w:rsidRPr="00D01AAF" w:rsidRDefault="00D01AAF" w:rsidP="00D01AAF">
            <w:pPr>
              <w:spacing w:before="0" w:after="0" w:line="240" w:lineRule="auto"/>
              <w:jc w:val="left"/>
              <w:rPr>
                <w:rFonts w:eastAsia="Times New Roman"/>
                <w:b/>
                <w:bCs/>
                <w:color w:val="000000"/>
                <w:sz w:val="20"/>
                <w:szCs w:val="20"/>
                <w:lang w:val="es-ES"/>
              </w:rPr>
            </w:pPr>
            <w:proofErr w:type="spellStart"/>
            <w:r w:rsidRPr="00D01AAF">
              <w:rPr>
                <w:rFonts w:eastAsia="Times New Roman"/>
                <w:b/>
                <w:bCs/>
                <w:color w:val="000000"/>
                <w:sz w:val="20"/>
                <w:szCs w:val="20"/>
                <w:lang w:val="es-ES"/>
              </w:rPr>
              <w:t>Loading</w:t>
            </w:r>
            <w:proofErr w:type="spellEnd"/>
          </w:p>
        </w:tc>
        <w:tc>
          <w:tcPr>
            <w:tcW w:w="1406" w:type="pct"/>
            <w:tcBorders>
              <w:top w:val="single" w:sz="8" w:space="0" w:color="DDDDDD"/>
              <w:left w:val="nil"/>
              <w:bottom w:val="single" w:sz="8" w:space="0" w:color="DDDDDD"/>
              <w:right w:val="single" w:sz="8" w:space="0" w:color="DDDDDD"/>
            </w:tcBorders>
            <w:shd w:val="clear" w:color="000000" w:fill="F2F2F2"/>
            <w:vAlign w:val="center"/>
            <w:hideMark/>
          </w:tcPr>
          <w:p w14:paraId="3A919EB1" w14:textId="77777777" w:rsidR="00D01AAF" w:rsidRPr="00D01AAF" w:rsidRDefault="00D01AAF" w:rsidP="00D01AAF">
            <w:pPr>
              <w:spacing w:before="0" w:after="0" w:line="240" w:lineRule="auto"/>
              <w:jc w:val="left"/>
              <w:rPr>
                <w:rFonts w:eastAsia="Times New Roman"/>
                <w:b/>
                <w:bCs/>
                <w:color w:val="000000"/>
                <w:sz w:val="20"/>
                <w:szCs w:val="20"/>
                <w:lang w:val="es-ES"/>
              </w:rPr>
            </w:pPr>
            <w:r w:rsidRPr="00D01AAF">
              <w:rPr>
                <w:rFonts w:eastAsia="Times New Roman"/>
                <w:b/>
                <w:bCs/>
                <w:color w:val="000000"/>
                <w:sz w:val="20"/>
                <w:szCs w:val="20"/>
                <w:lang w:val="es-ES"/>
              </w:rPr>
              <w:t>Dirección</w:t>
            </w:r>
          </w:p>
        </w:tc>
      </w:tr>
      <w:tr w:rsidR="00D01AAF" w:rsidRPr="00D01AAF" w14:paraId="24B43F56"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6CC752B0"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IFN-α sérico</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35BC1AEE" w14:textId="4BF15F46"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0.7493</w:t>
            </w:r>
          </w:p>
        </w:tc>
        <w:tc>
          <w:tcPr>
            <w:tcW w:w="1406" w:type="pct"/>
            <w:tcBorders>
              <w:top w:val="nil"/>
              <w:left w:val="nil"/>
              <w:bottom w:val="single" w:sz="8" w:space="0" w:color="DDDDDD"/>
              <w:right w:val="single" w:sz="8" w:space="0" w:color="DDDDDD"/>
            </w:tcBorders>
            <w:shd w:val="clear" w:color="auto" w:fill="auto"/>
            <w:vAlign w:val="center"/>
            <w:hideMark/>
          </w:tcPr>
          <w:p w14:paraId="0C61F302" w14:textId="0B9FAF63"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23F29EF9"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28DC6A2F"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IFN-γ sérico</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2AE25A54" w14:textId="05E0E104"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0.1614</w:t>
            </w:r>
          </w:p>
        </w:tc>
        <w:tc>
          <w:tcPr>
            <w:tcW w:w="1406" w:type="pct"/>
            <w:tcBorders>
              <w:top w:val="nil"/>
              <w:left w:val="nil"/>
              <w:bottom w:val="single" w:sz="8" w:space="0" w:color="DDDDDD"/>
              <w:right w:val="single" w:sz="8" w:space="0" w:color="DDDDDD"/>
            </w:tcBorders>
            <w:shd w:val="clear" w:color="auto" w:fill="auto"/>
            <w:vAlign w:val="center"/>
            <w:hideMark/>
          </w:tcPr>
          <w:p w14:paraId="48B00668" w14:textId="08182A9B"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68FB5985"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234523BF"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BAFF</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2E792B5B" w14:textId="1F250F1A"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0.1187</w:t>
            </w:r>
          </w:p>
        </w:tc>
        <w:tc>
          <w:tcPr>
            <w:tcW w:w="1406" w:type="pct"/>
            <w:tcBorders>
              <w:top w:val="nil"/>
              <w:left w:val="nil"/>
              <w:bottom w:val="single" w:sz="8" w:space="0" w:color="DDDDDD"/>
              <w:right w:val="single" w:sz="8" w:space="0" w:color="DDDDDD"/>
            </w:tcBorders>
            <w:shd w:val="clear" w:color="auto" w:fill="auto"/>
            <w:vAlign w:val="center"/>
            <w:hideMark/>
          </w:tcPr>
          <w:p w14:paraId="79811B25" w14:textId="22273448"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67C8202A"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39155511"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PCR</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026D35C9" w14:textId="6BC11835"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0.0792</w:t>
            </w:r>
          </w:p>
        </w:tc>
        <w:tc>
          <w:tcPr>
            <w:tcW w:w="1406" w:type="pct"/>
            <w:tcBorders>
              <w:top w:val="nil"/>
              <w:left w:val="nil"/>
              <w:bottom w:val="single" w:sz="8" w:space="0" w:color="DDDDDD"/>
              <w:right w:val="single" w:sz="8" w:space="0" w:color="DDDDDD"/>
            </w:tcBorders>
            <w:shd w:val="clear" w:color="auto" w:fill="auto"/>
            <w:vAlign w:val="center"/>
            <w:hideMark/>
          </w:tcPr>
          <w:p w14:paraId="32B513DF" w14:textId="550D7BEE"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6E9E26B3"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648EDE64"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IL-2</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57F683A9" w14:textId="69CA9932"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0.0194</w:t>
            </w:r>
          </w:p>
        </w:tc>
        <w:tc>
          <w:tcPr>
            <w:tcW w:w="1406" w:type="pct"/>
            <w:tcBorders>
              <w:top w:val="nil"/>
              <w:left w:val="nil"/>
              <w:bottom w:val="single" w:sz="8" w:space="0" w:color="DDDDDD"/>
              <w:right w:val="single" w:sz="8" w:space="0" w:color="DDDDDD"/>
            </w:tcBorders>
            <w:shd w:val="clear" w:color="auto" w:fill="auto"/>
            <w:vAlign w:val="center"/>
            <w:hideMark/>
          </w:tcPr>
          <w:p w14:paraId="2725C25D" w14:textId="01584822"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6C192E3E"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56391BB4"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IL-6</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67E89F75" w14:textId="1C63FB64"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0.0082</w:t>
            </w:r>
          </w:p>
        </w:tc>
        <w:tc>
          <w:tcPr>
            <w:tcW w:w="1406" w:type="pct"/>
            <w:tcBorders>
              <w:top w:val="nil"/>
              <w:left w:val="nil"/>
              <w:bottom w:val="single" w:sz="8" w:space="0" w:color="DDDDDD"/>
              <w:right w:val="single" w:sz="8" w:space="0" w:color="DDDDDD"/>
            </w:tcBorders>
            <w:shd w:val="clear" w:color="auto" w:fill="auto"/>
            <w:vAlign w:val="center"/>
            <w:hideMark/>
          </w:tcPr>
          <w:p w14:paraId="623A27E4" w14:textId="32D3FEB1"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649E034B"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06275D4B"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Triglicéridos</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2F32ADF6" w14:textId="42AFF834"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0.0065</w:t>
            </w:r>
          </w:p>
        </w:tc>
        <w:tc>
          <w:tcPr>
            <w:tcW w:w="1406" w:type="pct"/>
            <w:tcBorders>
              <w:top w:val="nil"/>
              <w:left w:val="nil"/>
              <w:bottom w:val="single" w:sz="8" w:space="0" w:color="DDDDDD"/>
              <w:right w:val="single" w:sz="8" w:space="0" w:color="DDDDDD"/>
            </w:tcBorders>
            <w:shd w:val="clear" w:color="auto" w:fill="auto"/>
            <w:vAlign w:val="center"/>
            <w:hideMark/>
          </w:tcPr>
          <w:p w14:paraId="4648742F" w14:textId="09DEAAF1"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554F5386"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6C7348CC"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IL-8</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1DBCB8F7" w14:textId="73D1CAAA"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0.0040</w:t>
            </w:r>
          </w:p>
        </w:tc>
        <w:tc>
          <w:tcPr>
            <w:tcW w:w="1406" w:type="pct"/>
            <w:tcBorders>
              <w:top w:val="nil"/>
              <w:left w:val="nil"/>
              <w:bottom w:val="single" w:sz="8" w:space="0" w:color="DDDDDD"/>
              <w:right w:val="single" w:sz="8" w:space="0" w:color="DDDDDD"/>
            </w:tcBorders>
            <w:shd w:val="clear" w:color="auto" w:fill="auto"/>
            <w:vAlign w:val="center"/>
            <w:hideMark/>
          </w:tcPr>
          <w:p w14:paraId="6C10A323" w14:textId="3E5087FA"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33E4BD82"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545BC592" w14:textId="77777777" w:rsidR="00D01AAF" w:rsidRPr="00D01AAF" w:rsidRDefault="00D01AAF" w:rsidP="00D01AAF">
            <w:pPr>
              <w:spacing w:before="0" w:after="0" w:line="240" w:lineRule="auto"/>
              <w:jc w:val="left"/>
              <w:rPr>
                <w:rFonts w:eastAsia="Times New Roman"/>
                <w:color w:val="000000"/>
                <w:sz w:val="20"/>
                <w:szCs w:val="20"/>
                <w:lang w:val="en-US"/>
              </w:rPr>
            </w:pPr>
            <w:r w:rsidRPr="00D01AAF">
              <w:rPr>
                <w:rFonts w:eastAsia="Times New Roman"/>
                <w:color w:val="000000"/>
                <w:sz w:val="20"/>
                <w:szCs w:val="20"/>
                <w:lang w:val="en-US"/>
              </w:rPr>
              <w:t>Apo B/A-I ratio</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5FB7541E" w14:textId="5258CB8D"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0.0017</w:t>
            </w:r>
          </w:p>
        </w:tc>
        <w:tc>
          <w:tcPr>
            <w:tcW w:w="1406" w:type="pct"/>
            <w:tcBorders>
              <w:top w:val="nil"/>
              <w:left w:val="nil"/>
              <w:bottom w:val="single" w:sz="8" w:space="0" w:color="DDDDDD"/>
              <w:right w:val="single" w:sz="8" w:space="0" w:color="DDDDDD"/>
            </w:tcBorders>
            <w:shd w:val="clear" w:color="auto" w:fill="auto"/>
            <w:vAlign w:val="center"/>
            <w:hideMark/>
          </w:tcPr>
          <w:p w14:paraId="1722FA30" w14:textId="327D484B"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Positivo</w:t>
            </w:r>
          </w:p>
        </w:tc>
      </w:tr>
      <w:tr w:rsidR="00D01AAF" w:rsidRPr="00D01AAF" w14:paraId="7EA02367"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623D52FA"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HDL</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65A53003"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−0.0642</w:t>
            </w:r>
          </w:p>
        </w:tc>
        <w:tc>
          <w:tcPr>
            <w:tcW w:w="1406" w:type="pct"/>
            <w:tcBorders>
              <w:top w:val="nil"/>
              <w:left w:val="nil"/>
              <w:bottom w:val="single" w:sz="8" w:space="0" w:color="DDDDDD"/>
              <w:right w:val="single" w:sz="8" w:space="0" w:color="DDDDDD"/>
            </w:tcBorders>
            <w:shd w:val="clear" w:color="auto" w:fill="auto"/>
            <w:vAlign w:val="center"/>
            <w:hideMark/>
          </w:tcPr>
          <w:p w14:paraId="0D2FD236" w14:textId="0B4B258A"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Negativo</w:t>
            </w:r>
          </w:p>
        </w:tc>
      </w:tr>
      <w:tr w:rsidR="00D01AAF" w:rsidRPr="00D01AAF" w14:paraId="1CF5578F"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6C88D5E8"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Apo A-I</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58831BAB"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−0.0387</w:t>
            </w:r>
          </w:p>
        </w:tc>
        <w:tc>
          <w:tcPr>
            <w:tcW w:w="1406" w:type="pct"/>
            <w:tcBorders>
              <w:top w:val="nil"/>
              <w:left w:val="nil"/>
              <w:bottom w:val="single" w:sz="8" w:space="0" w:color="DDDDDD"/>
              <w:right w:val="single" w:sz="8" w:space="0" w:color="DDDDDD"/>
            </w:tcBorders>
            <w:shd w:val="clear" w:color="auto" w:fill="auto"/>
            <w:vAlign w:val="center"/>
            <w:hideMark/>
          </w:tcPr>
          <w:p w14:paraId="38C948A9" w14:textId="5CEBCCC3"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Negativo</w:t>
            </w:r>
          </w:p>
        </w:tc>
      </w:tr>
      <w:tr w:rsidR="00D01AAF" w:rsidRPr="00D01AAF" w14:paraId="463E07A7"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50AC9798"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Lipoproteína(a)</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08407C10"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−0.0352</w:t>
            </w:r>
          </w:p>
        </w:tc>
        <w:tc>
          <w:tcPr>
            <w:tcW w:w="1406" w:type="pct"/>
            <w:tcBorders>
              <w:top w:val="nil"/>
              <w:left w:val="nil"/>
              <w:bottom w:val="single" w:sz="8" w:space="0" w:color="DDDDDD"/>
              <w:right w:val="single" w:sz="8" w:space="0" w:color="DDDDDD"/>
            </w:tcBorders>
            <w:shd w:val="clear" w:color="auto" w:fill="auto"/>
            <w:vAlign w:val="center"/>
            <w:hideMark/>
          </w:tcPr>
          <w:p w14:paraId="2CE41D1F" w14:textId="5D1B466E"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Negativo</w:t>
            </w:r>
          </w:p>
        </w:tc>
      </w:tr>
      <w:tr w:rsidR="00D01AAF" w:rsidRPr="00D01AAF" w14:paraId="5C02FBB6"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40439FF2"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Complemento C3</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7D5BD2E3"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−0.0076</w:t>
            </w:r>
          </w:p>
        </w:tc>
        <w:tc>
          <w:tcPr>
            <w:tcW w:w="1406" w:type="pct"/>
            <w:tcBorders>
              <w:top w:val="nil"/>
              <w:left w:val="nil"/>
              <w:bottom w:val="single" w:sz="8" w:space="0" w:color="DDDDDD"/>
              <w:right w:val="single" w:sz="8" w:space="0" w:color="DDDDDD"/>
            </w:tcBorders>
            <w:shd w:val="clear" w:color="auto" w:fill="auto"/>
            <w:vAlign w:val="center"/>
            <w:hideMark/>
          </w:tcPr>
          <w:p w14:paraId="46B655B6" w14:textId="7A69D1E2"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Negativo</w:t>
            </w:r>
          </w:p>
        </w:tc>
      </w:tr>
      <w:tr w:rsidR="00D01AAF" w:rsidRPr="00D01AAF" w14:paraId="3EADE243"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246F39E5"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Complemento C4</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5A0CBA44"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−0.0042</w:t>
            </w:r>
          </w:p>
        </w:tc>
        <w:tc>
          <w:tcPr>
            <w:tcW w:w="1406" w:type="pct"/>
            <w:tcBorders>
              <w:top w:val="nil"/>
              <w:left w:val="nil"/>
              <w:bottom w:val="single" w:sz="8" w:space="0" w:color="DDDDDD"/>
              <w:right w:val="single" w:sz="8" w:space="0" w:color="DDDDDD"/>
            </w:tcBorders>
            <w:shd w:val="clear" w:color="auto" w:fill="auto"/>
            <w:vAlign w:val="center"/>
            <w:hideMark/>
          </w:tcPr>
          <w:p w14:paraId="3552A5C2" w14:textId="48A5C8D5"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Negativo</w:t>
            </w:r>
          </w:p>
        </w:tc>
      </w:tr>
      <w:tr w:rsidR="00D01AAF" w:rsidRPr="00D01AAF" w14:paraId="3B4494E5"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0B526B42"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Colesterol total</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73E98390"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−0.0015</w:t>
            </w:r>
          </w:p>
        </w:tc>
        <w:tc>
          <w:tcPr>
            <w:tcW w:w="1406" w:type="pct"/>
            <w:tcBorders>
              <w:top w:val="nil"/>
              <w:left w:val="nil"/>
              <w:bottom w:val="single" w:sz="8" w:space="0" w:color="DDDDDD"/>
              <w:right w:val="single" w:sz="8" w:space="0" w:color="DDDDDD"/>
            </w:tcBorders>
            <w:shd w:val="clear" w:color="auto" w:fill="auto"/>
            <w:vAlign w:val="center"/>
            <w:hideMark/>
          </w:tcPr>
          <w:p w14:paraId="60691B2E" w14:textId="1B16656E"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Negativo</w:t>
            </w:r>
          </w:p>
        </w:tc>
      </w:tr>
      <w:tr w:rsidR="00D01AAF" w:rsidRPr="00D01AAF" w14:paraId="4DC2295F"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0F5052DF"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LDL</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1787DB3A"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−0.0012</w:t>
            </w:r>
          </w:p>
        </w:tc>
        <w:tc>
          <w:tcPr>
            <w:tcW w:w="1406" w:type="pct"/>
            <w:tcBorders>
              <w:top w:val="nil"/>
              <w:left w:val="nil"/>
              <w:bottom w:val="single" w:sz="8" w:space="0" w:color="DDDDDD"/>
              <w:right w:val="single" w:sz="8" w:space="0" w:color="DDDDDD"/>
            </w:tcBorders>
            <w:shd w:val="clear" w:color="auto" w:fill="auto"/>
            <w:vAlign w:val="center"/>
            <w:hideMark/>
          </w:tcPr>
          <w:p w14:paraId="51F20BF9" w14:textId="453DDC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Negativo</w:t>
            </w:r>
          </w:p>
        </w:tc>
      </w:tr>
      <w:tr w:rsidR="00D01AAF" w:rsidRPr="00D01AAF" w14:paraId="16812325"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75BE7F6F"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Creatinina</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282BBA4A"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−0.0005</w:t>
            </w:r>
          </w:p>
        </w:tc>
        <w:tc>
          <w:tcPr>
            <w:tcW w:w="1406" w:type="pct"/>
            <w:tcBorders>
              <w:top w:val="nil"/>
              <w:left w:val="nil"/>
              <w:bottom w:val="single" w:sz="8" w:space="0" w:color="DDDDDD"/>
              <w:right w:val="single" w:sz="8" w:space="0" w:color="DDDDDD"/>
            </w:tcBorders>
            <w:shd w:val="clear" w:color="auto" w:fill="auto"/>
            <w:vAlign w:val="center"/>
            <w:hideMark/>
          </w:tcPr>
          <w:p w14:paraId="30967131" w14:textId="713FA136"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Negativo</w:t>
            </w:r>
          </w:p>
        </w:tc>
      </w:tr>
      <w:tr w:rsidR="00D01AAF" w:rsidRPr="00D01AAF" w14:paraId="666E4BF3" w14:textId="77777777" w:rsidTr="00D01AAF">
        <w:trPr>
          <w:trHeight w:val="397"/>
        </w:trPr>
        <w:tc>
          <w:tcPr>
            <w:tcW w:w="2375"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45F801C4"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lastRenderedPageBreak/>
              <w:t>Apo B</w:t>
            </w:r>
          </w:p>
        </w:tc>
        <w:tc>
          <w:tcPr>
            <w:tcW w:w="1219"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56689A89" w14:textId="77777777" w:rsidR="00D01AAF" w:rsidRPr="00D01AAF" w:rsidRDefault="00D01AAF" w:rsidP="00D01AAF">
            <w:pPr>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−0.0001</w:t>
            </w:r>
          </w:p>
        </w:tc>
        <w:tc>
          <w:tcPr>
            <w:tcW w:w="1406" w:type="pct"/>
            <w:tcBorders>
              <w:top w:val="nil"/>
              <w:left w:val="nil"/>
              <w:bottom w:val="single" w:sz="8" w:space="0" w:color="DDDDDD"/>
              <w:right w:val="single" w:sz="8" w:space="0" w:color="DDDDDD"/>
            </w:tcBorders>
            <w:shd w:val="clear" w:color="auto" w:fill="auto"/>
            <w:vAlign w:val="center"/>
            <w:hideMark/>
          </w:tcPr>
          <w:p w14:paraId="05FD6DEA" w14:textId="3118889B" w:rsidR="00D01AAF" w:rsidRPr="00D01AAF" w:rsidRDefault="00D01AAF" w:rsidP="00D01AAF">
            <w:pPr>
              <w:keepNext/>
              <w:spacing w:before="0" w:after="0" w:line="240" w:lineRule="auto"/>
              <w:jc w:val="left"/>
              <w:rPr>
                <w:rFonts w:eastAsia="Times New Roman"/>
                <w:color w:val="000000"/>
                <w:sz w:val="20"/>
                <w:szCs w:val="20"/>
                <w:lang w:val="es-ES"/>
              </w:rPr>
            </w:pPr>
            <w:r w:rsidRPr="00D01AAF">
              <w:rPr>
                <w:rFonts w:eastAsia="Times New Roman"/>
                <w:color w:val="000000"/>
                <w:sz w:val="20"/>
                <w:szCs w:val="20"/>
                <w:lang w:val="es-ES"/>
              </w:rPr>
              <w:t>Negativo</w:t>
            </w:r>
          </w:p>
        </w:tc>
      </w:tr>
    </w:tbl>
    <w:p w14:paraId="15A05C20" w14:textId="2A521F1A" w:rsidR="00731B2C" w:rsidRPr="00731B2C" w:rsidRDefault="00D01AAF" w:rsidP="00C67F76">
      <w:pPr>
        <w:pStyle w:val="Descripcin"/>
      </w:pPr>
      <w:bookmarkStart w:id="154" w:name="_Toc230792262"/>
      <w:r>
        <w:t xml:space="preserve">Tabla </w:t>
      </w:r>
      <w:fldSimple w:instr=" SEQ Tabla \* ARABIC ">
        <w:r w:rsidR="00716AEA">
          <w:rPr>
            <w:noProof/>
          </w:rPr>
          <w:t>32</w:t>
        </w:r>
      </w:fldSimple>
      <w:r>
        <w:t xml:space="preserve">. </w:t>
      </w:r>
      <w:r w:rsidRPr="00F4195F">
        <w:t>Factor 1 del bloque proteómico</w:t>
      </w:r>
      <w:bookmarkEnd w:id="154"/>
    </w:p>
    <w:p w14:paraId="332E905E" w14:textId="77777777" w:rsidR="008F5A8A" w:rsidRDefault="008F5A8A" w:rsidP="008F5A8A">
      <w:pPr>
        <w:pStyle w:val="Ttulo3"/>
        <w:numPr>
          <w:ilvl w:val="2"/>
          <w:numId w:val="17"/>
        </w:numPr>
      </w:pPr>
      <w:r>
        <w:t>Correlaciones Spearman entre factores y covariables clínicas</w:t>
      </w:r>
    </w:p>
    <w:p w14:paraId="78B032A3" w14:textId="6F5EDFDA" w:rsidR="00552B8A" w:rsidRDefault="008F5A8A" w:rsidP="00552B8A">
      <w:r>
        <w:t xml:space="preserve">El análisis de correlación de Spearman </w:t>
      </w:r>
      <w:r w:rsidR="009C3583">
        <w:t xml:space="preserve">y Wilcoxon </w:t>
      </w:r>
      <w:r>
        <w:t>entre los factores latentes y las covariables clínicas externas confirmó que el Factor 1 presenta las correlaciones más altas y estadísticamente significativas (FDR &lt; 0.05) con</w:t>
      </w:r>
      <w:r w:rsidR="00F4510A">
        <w:t xml:space="preserve"> </w:t>
      </w:r>
      <w:r>
        <w:t xml:space="preserve">SLEDAI-2K y SLE-DAS, con dirección positiva en todos los casos. </w:t>
      </w:r>
    </w:p>
    <w:tbl>
      <w:tblPr>
        <w:tblW w:w="5000" w:type="pct"/>
        <w:tblCellMar>
          <w:left w:w="70" w:type="dxa"/>
          <w:right w:w="70" w:type="dxa"/>
        </w:tblCellMar>
        <w:tblLook w:val="04A0" w:firstRow="1" w:lastRow="0" w:firstColumn="1" w:lastColumn="0" w:noHBand="0" w:noVBand="1"/>
      </w:tblPr>
      <w:tblGrid>
        <w:gridCol w:w="1697"/>
        <w:gridCol w:w="1697"/>
        <w:gridCol w:w="1697"/>
        <w:gridCol w:w="1697"/>
        <w:gridCol w:w="1697"/>
      </w:tblGrid>
      <w:tr w:rsidR="00580802" w:rsidRPr="00580802" w14:paraId="38F195EA" w14:textId="77777777" w:rsidTr="00580802">
        <w:trPr>
          <w:trHeight w:val="397"/>
        </w:trPr>
        <w:tc>
          <w:tcPr>
            <w:tcW w:w="1000" w:type="pct"/>
            <w:tcBorders>
              <w:top w:val="single" w:sz="8" w:space="0" w:color="DDDDDD"/>
              <w:left w:val="single" w:sz="8" w:space="0" w:color="DDDDDD"/>
              <w:bottom w:val="single" w:sz="8" w:space="0" w:color="DDDDDD"/>
              <w:right w:val="single" w:sz="8" w:space="0" w:color="DDDDDD"/>
            </w:tcBorders>
            <w:shd w:val="clear" w:color="000000" w:fill="F2F2F2"/>
            <w:vAlign w:val="center"/>
            <w:hideMark/>
          </w:tcPr>
          <w:p w14:paraId="003B7777" w14:textId="77777777" w:rsidR="00580802" w:rsidRPr="00580802" w:rsidRDefault="00580802"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Covariable</w:t>
            </w:r>
          </w:p>
        </w:tc>
        <w:tc>
          <w:tcPr>
            <w:tcW w:w="1000" w:type="pct"/>
            <w:tcBorders>
              <w:top w:val="single" w:sz="8" w:space="0" w:color="DDDDDD"/>
              <w:left w:val="nil"/>
              <w:bottom w:val="single" w:sz="8" w:space="0" w:color="DDDDDD"/>
              <w:right w:val="single" w:sz="8" w:space="0" w:color="DDDDDD"/>
            </w:tcBorders>
            <w:shd w:val="clear" w:color="000000" w:fill="F2F2F2"/>
            <w:vAlign w:val="center"/>
            <w:hideMark/>
          </w:tcPr>
          <w:p w14:paraId="0462BAA5" w14:textId="77777777" w:rsidR="00580802" w:rsidRPr="00580802" w:rsidRDefault="00580802"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ρ Spearman</w:t>
            </w:r>
          </w:p>
        </w:tc>
        <w:tc>
          <w:tcPr>
            <w:tcW w:w="1000" w:type="pct"/>
            <w:tcBorders>
              <w:top w:val="single" w:sz="8" w:space="0" w:color="DDDDDD"/>
              <w:left w:val="nil"/>
              <w:bottom w:val="single" w:sz="8" w:space="0" w:color="DDDDDD"/>
              <w:right w:val="single" w:sz="8" w:space="0" w:color="DDDDDD"/>
            </w:tcBorders>
            <w:shd w:val="clear" w:color="000000" w:fill="F2F2F2"/>
            <w:vAlign w:val="center"/>
            <w:hideMark/>
          </w:tcPr>
          <w:p w14:paraId="5A9EF813" w14:textId="77777777" w:rsidR="00580802" w:rsidRPr="00580802" w:rsidRDefault="00580802"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p</w:t>
            </w:r>
          </w:p>
        </w:tc>
        <w:tc>
          <w:tcPr>
            <w:tcW w:w="1000" w:type="pct"/>
            <w:tcBorders>
              <w:top w:val="single" w:sz="8" w:space="0" w:color="DDDDDD"/>
              <w:left w:val="nil"/>
              <w:bottom w:val="single" w:sz="8" w:space="0" w:color="DDDDDD"/>
              <w:right w:val="single" w:sz="8" w:space="0" w:color="DDDDDD"/>
            </w:tcBorders>
            <w:shd w:val="clear" w:color="000000" w:fill="F2F2F2"/>
            <w:vAlign w:val="center"/>
            <w:hideMark/>
          </w:tcPr>
          <w:p w14:paraId="1F9FD897" w14:textId="77777777" w:rsidR="00580802" w:rsidRPr="00580802" w:rsidRDefault="00580802"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 xml:space="preserve">p </w:t>
            </w:r>
            <w:proofErr w:type="spellStart"/>
            <w:r w:rsidRPr="00580802">
              <w:rPr>
                <w:rFonts w:eastAsia="Times New Roman"/>
                <w:b/>
                <w:bCs/>
                <w:color w:val="000000"/>
                <w:sz w:val="20"/>
                <w:szCs w:val="20"/>
                <w:lang w:val="es-ES"/>
              </w:rPr>
              <w:t>adj</w:t>
            </w:r>
            <w:proofErr w:type="spellEnd"/>
            <w:r w:rsidRPr="00580802">
              <w:rPr>
                <w:rFonts w:eastAsia="Times New Roman"/>
                <w:b/>
                <w:bCs/>
                <w:color w:val="000000"/>
                <w:sz w:val="20"/>
                <w:szCs w:val="20"/>
                <w:lang w:val="es-ES"/>
              </w:rPr>
              <w:t xml:space="preserve"> (BH)</w:t>
            </w:r>
          </w:p>
        </w:tc>
        <w:tc>
          <w:tcPr>
            <w:tcW w:w="1000" w:type="pct"/>
            <w:tcBorders>
              <w:top w:val="single" w:sz="8" w:space="0" w:color="DDDDDD"/>
              <w:left w:val="nil"/>
              <w:bottom w:val="single" w:sz="8" w:space="0" w:color="DDDDDD"/>
              <w:right w:val="single" w:sz="8" w:space="0" w:color="DDDDDD"/>
            </w:tcBorders>
            <w:shd w:val="clear" w:color="000000" w:fill="F2F2F2"/>
            <w:vAlign w:val="center"/>
            <w:hideMark/>
          </w:tcPr>
          <w:p w14:paraId="5244EAD4" w14:textId="77777777" w:rsidR="00580802" w:rsidRPr="00580802" w:rsidRDefault="00580802"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Sig.</w:t>
            </w:r>
          </w:p>
        </w:tc>
      </w:tr>
      <w:tr w:rsidR="00580802" w:rsidRPr="00580802" w14:paraId="720F1714" w14:textId="77777777" w:rsidTr="00580802">
        <w:trPr>
          <w:trHeight w:val="397"/>
        </w:trPr>
        <w:tc>
          <w:tcPr>
            <w:tcW w:w="1000" w:type="pct"/>
            <w:tcBorders>
              <w:top w:val="nil"/>
              <w:left w:val="single" w:sz="8" w:space="0" w:color="DDDDDD"/>
              <w:bottom w:val="single" w:sz="8" w:space="0" w:color="DDDDDD"/>
              <w:right w:val="single" w:sz="8" w:space="0" w:color="DDDDDD"/>
            </w:tcBorders>
            <w:shd w:val="clear" w:color="auto" w:fill="auto"/>
            <w:vAlign w:val="center"/>
            <w:hideMark/>
          </w:tcPr>
          <w:p w14:paraId="2711161D" w14:textId="77777777" w:rsidR="00580802" w:rsidRPr="00580802" w:rsidRDefault="00580802"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SLEDAI-2K</w:t>
            </w:r>
          </w:p>
        </w:tc>
        <w:tc>
          <w:tcPr>
            <w:tcW w:w="1000" w:type="pct"/>
            <w:tcBorders>
              <w:top w:val="nil"/>
              <w:left w:val="nil"/>
              <w:bottom w:val="single" w:sz="8" w:space="0" w:color="DDDDDD"/>
              <w:right w:val="single" w:sz="8" w:space="0" w:color="DDDDDD"/>
            </w:tcBorders>
            <w:shd w:val="clear" w:color="auto" w:fill="auto"/>
            <w:vAlign w:val="center"/>
            <w:hideMark/>
          </w:tcPr>
          <w:p w14:paraId="558A23C9" w14:textId="77777777" w:rsidR="00580802" w:rsidRPr="00580802" w:rsidRDefault="00580802"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0.187</w:t>
            </w:r>
          </w:p>
        </w:tc>
        <w:tc>
          <w:tcPr>
            <w:tcW w:w="1000" w:type="pct"/>
            <w:tcBorders>
              <w:top w:val="nil"/>
              <w:left w:val="nil"/>
              <w:bottom w:val="single" w:sz="8" w:space="0" w:color="DDDDDD"/>
              <w:right w:val="single" w:sz="8" w:space="0" w:color="DDDDDD"/>
            </w:tcBorders>
            <w:shd w:val="clear" w:color="auto" w:fill="auto"/>
            <w:vAlign w:val="center"/>
            <w:hideMark/>
          </w:tcPr>
          <w:p w14:paraId="2F8BBA46" w14:textId="77777777" w:rsidR="00580802" w:rsidRPr="00580802" w:rsidRDefault="00580802"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0.0029</w:t>
            </w:r>
          </w:p>
        </w:tc>
        <w:tc>
          <w:tcPr>
            <w:tcW w:w="1000" w:type="pct"/>
            <w:tcBorders>
              <w:top w:val="nil"/>
              <w:left w:val="nil"/>
              <w:bottom w:val="single" w:sz="8" w:space="0" w:color="DDDDDD"/>
              <w:right w:val="single" w:sz="8" w:space="0" w:color="DDDDDD"/>
            </w:tcBorders>
            <w:shd w:val="clear" w:color="auto" w:fill="auto"/>
            <w:vAlign w:val="center"/>
            <w:hideMark/>
          </w:tcPr>
          <w:p w14:paraId="1E75EA9F" w14:textId="77777777" w:rsidR="00580802" w:rsidRPr="00580802" w:rsidRDefault="00580802"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0.0174</w:t>
            </w:r>
          </w:p>
        </w:tc>
        <w:tc>
          <w:tcPr>
            <w:tcW w:w="1000" w:type="pct"/>
            <w:tcBorders>
              <w:top w:val="nil"/>
              <w:left w:val="nil"/>
              <w:bottom w:val="single" w:sz="8" w:space="0" w:color="DDDDDD"/>
              <w:right w:val="single" w:sz="8" w:space="0" w:color="DDDDDD"/>
            </w:tcBorders>
            <w:shd w:val="clear" w:color="auto" w:fill="auto"/>
            <w:vAlign w:val="center"/>
            <w:hideMark/>
          </w:tcPr>
          <w:p w14:paraId="2CB68B69" w14:textId="77777777" w:rsidR="00580802" w:rsidRPr="00580802" w:rsidRDefault="00580802"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w:t>
            </w:r>
          </w:p>
        </w:tc>
      </w:tr>
      <w:tr w:rsidR="00580802" w:rsidRPr="00580802" w14:paraId="4ACB87EB" w14:textId="77777777" w:rsidTr="00580802">
        <w:trPr>
          <w:trHeight w:val="397"/>
        </w:trPr>
        <w:tc>
          <w:tcPr>
            <w:tcW w:w="1000" w:type="pct"/>
            <w:tcBorders>
              <w:top w:val="nil"/>
              <w:left w:val="single" w:sz="8" w:space="0" w:color="DDDDDD"/>
              <w:bottom w:val="single" w:sz="8" w:space="0" w:color="DDDDDD"/>
              <w:right w:val="single" w:sz="8" w:space="0" w:color="DDDDDD"/>
            </w:tcBorders>
            <w:shd w:val="clear" w:color="auto" w:fill="auto"/>
            <w:vAlign w:val="center"/>
            <w:hideMark/>
          </w:tcPr>
          <w:p w14:paraId="47F55599" w14:textId="77777777" w:rsidR="00580802" w:rsidRPr="00580802" w:rsidRDefault="00580802"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SLE-DAS</w:t>
            </w:r>
          </w:p>
        </w:tc>
        <w:tc>
          <w:tcPr>
            <w:tcW w:w="1000" w:type="pct"/>
            <w:tcBorders>
              <w:top w:val="nil"/>
              <w:left w:val="nil"/>
              <w:bottom w:val="single" w:sz="8" w:space="0" w:color="DDDDDD"/>
              <w:right w:val="single" w:sz="8" w:space="0" w:color="DDDDDD"/>
            </w:tcBorders>
            <w:shd w:val="clear" w:color="auto" w:fill="auto"/>
            <w:vAlign w:val="center"/>
            <w:hideMark/>
          </w:tcPr>
          <w:p w14:paraId="29E1A7D3" w14:textId="77777777" w:rsidR="00580802" w:rsidRPr="00580802" w:rsidRDefault="00580802"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0.198</w:t>
            </w:r>
          </w:p>
        </w:tc>
        <w:tc>
          <w:tcPr>
            <w:tcW w:w="1000" w:type="pct"/>
            <w:tcBorders>
              <w:top w:val="nil"/>
              <w:left w:val="nil"/>
              <w:bottom w:val="single" w:sz="8" w:space="0" w:color="DDDDDD"/>
              <w:right w:val="single" w:sz="8" w:space="0" w:color="DDDDDD"/>
            </w:tcBorders>
            <w:shd w:val="clear" w:color="auto" w:fill="auto"/>
            <w:vAlign w:val="center"/>
            <w:hideMark/>
          </w:tcPr>
          <w:p w14:paraId="50F009F1" w14:textId="77777777" w:rsidR="00580802" w:rsidRPr="00580802" w:rsidRDefault="00580802"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0.0017</w:t>
            </w:r>
          </w:p>
        </w:tc>
        <w:tc>
          <w:tcPr>
            <w:tcW w:w="1000" w:type="pct"/>
            <w:tcBorders>
              <w:top w:val="nil"/>
              <w:left w:val="nil"/>
              <w:bottom w:val="single" w:sz="8" w:space="0" w:color="DDDDDD"/>
              <w:right w:val="single" w:sz="8" w:space="0" w:color="DDDDDD"/>
            </w:tcBorders>
            <w:shd w:val="clear" w:color="auto" w:fill="auto"/>
            <w:vAlign w:val="center"/>
            <w:hideMark/>
          </w:tcPr>
          <w:p w14:paraId="23BA368C" w14:textId="77777777" w:rsidR="00580802" w:rsidRPr="00580802" w:rsidRDefault="00580802"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0.0174</w:t>
            </w:r>
          </w:p>
        </w:tc>
        <w:tc>
          <w:tcPr>
            <w:tcW w:w="1000" w:type="pct"/>
            <w:tcBorders>
              <w:top w:val="nil"/>
              <w:left w:val="nil"/>
              <w:bottom w:val="single" w:sz="8" w:space="0" w:color="DDDDDD"/>
              <w:right w:val="single" w:sz="8" w:space="0" w:color="DDDDDD"/>
            </w:tcBorders>
            <w:shd w:val="clear" w:color="auto" w:fill="auto"/>
            <w:vAlign w:val="center"/>
            <w:hideMark/>
          </w:tcPr>
          <w:p w14:paraId="39CB6417" w14:textId="77777777" w:rsidR="00580802" w:rsidRPr="00580802" w:rsidRDefault="00580802"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w:t>
            </w:r>
          </w:p>
        </w:tc>
      </w:tr>
      <w:tr w:rsidR="00580802" w:rsidRPr="00580802" w14:paraId="3AE16B4A" w14:textId="77777777" w:rsidTr="00580802">
        <w:trPr>
          <w:trHeight w:val="397"/>
        </w:trPr>
        <w:tc>
          <w:tcPr>
            <w:tcW w:w="1000" w:type="pct"/>
            <w:tcBorders>
              <w:top w:val="nil"/>
              <w:left w:val="single" w:sz="8" w:space="0" w:color="DDDDDD"/>
              <w:bottom w:val="single" w:sz="8" w:space="0" w:color="DDDDDD"/>
              <w:right w:val="single" w:sz="8" w:space="0" w:color="DDDDDD"/>
            </w:tcBorders>
            <w:shd w:val="clear" w:color="auto" w:fill="auto"/>
            <w:vAlign w:val="center"/>
            <w:hideMark/>
          </w:tcPr>
          <w:p w14:paraId="7D2A19BC" w14:textId="77777777" w:rsidR="00580802" w:rsidRPr="00580802" w:rsidRDefault="00580802"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SLICC-SDI</w:t>
            </w:r>
          </w:p>
        </w:tc>
        <w:tc>
          <w:tcPr>
            <w:tcW w:w="1000" w:type="pct"/>
            <w:tcBorders>
              <w:top w:val="nil"/>
              <w:left w:val="nil"/>
              <w:bottom w:val="single" w:sz="8" w:space="0" w:color="DDDDDD"/>
              <w:right w:val="single" w:sz="8" w:space="0" w:color="DDDDDD"/>
            </w:tcBorders>
            <w:shd w:val="clear" w:color="auto" w:fill="auto"/>
            <w:vAlign w:val="center"/>
            <w:hideMark/>
          </w:tcPr>
          <w:p w14:paraId="532A398E" w14:textId="77777777" w:rsidR="00580802" w:rsidRPr="00580802" w:rsidRDefault="00580802"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0.140</w:t>
            </w:r>
          </w:p>
        </w:tc>
        <w:tc>
          <w:tcPr>
            <w:tcW w:w="1000" w:type="pct"/>
            <w:tcBorders>
              <w:top w:val="nil"/>
              <w:left w:val="nil"/>
              <w:bottom w:val="single" w:sz="8" w:space="0" w:color="DDDDDD"/>
              <w:right w:val="single" w:sz="8" w:space="0" w:color="DDDDDD"/>
            </w:tcBorders>
            <w:shd w:val="clear" w:color="auto" w:fill="auto"/>
            <w:vAlign w:val="center"/>
            <w:hideMark/>
          </w:tcPr>
          <w:p w14:paraId="15EEEAF5" w14:textId="77777777" w:rsidR="00580802" w:rsidRPr="00580802" w:rsidRDefault="00580802"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0.0269</w:t>
            </w:r>
          </w:p>
        </w:tc>
        <w:tc>
          <w:tcPr>
            <w:tcW w:w="1000" w:type="pct"/>
            <w:tcBorders>
              <w:top w:val="nil"/>
              <w:left w:val="nil"/>
              <w:bottom w:val="single" w:sz="8" w:space="0" w:color="DDDDDD"/>
              <w:right w:val="single" w:sz="8" w:space="0" w:color="DDDDDD"/>
            </w:tcBorders>
            <w:shd w:val="clear" w:color="auto" w:fill="auto"/>
            <w:vAlign w:val="center"/>
            <w:hideMark/>
          </w:tcPr>
          <w:p w14:paraId="09B881D6" w14:textId="77777777" w:rsidR="00580802" w:rsidRPr="00580802" w:rsidRDefault="00580802"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0.1076</w:t>
            </w:r>
          </w:p>
        </w:tc>
        <w:tc>
          <w:tcPr>
            <w:tcW w:w="1000" w:type="pct"/>
            <w:tcBorders>
              <w:top w:val="nil"/>
              <w:left w:val="nil"/>
              <w:bottom w:val="single" w:sz="8" w:space="0" w:color="DDDDDD"/>
              <w:right w:val="single" w:sz="8" w:space="0" w:color="DDDDDD"/>
            </w:tcBorders>
            <w:shd w:val="clear" w:color="auto" w:fill="auto"/>
            <w:vAlign w:val="center"/>
            <w:hideMark/>
          </w:tcPr>
          <w:p w14:paraId="0659B780" w14:textId="77777777" w:rsidR="00580802" w:rsidRPr="00580802" w:rsidRDefault="00580802" w:rsidP="00580802">
            <w:pPr>
              <w:keepNext/>
              <w:spacing w:before="0" w:after="0" w:line="240" w:lineRule="auto"/>
              <w:jc w:val="left"/>
              <w:rPr>
                <w:rFonts w:eastAsia="Times New Roman"/>
                <w:color w:val="000000"/>
                <w:sz w:val="20"/>
                <w:szCs w:val="20"/>
                <w:lang w:val="es-ES"/>
              </w:rPr>
            </w:pPr>
            <w:proofErr w:type="spellStart"/>
            <w:r w:rsidRPr="00580802">
              <w:rPr>
                <w:rFonts w:eastAsia="Times New Roman"/>
                <w:color w:val="000000"/>
                <w:sz w:val="20"/>
                <w:szCs w:val="20"/>
                <w:lang w:val="es-ES"/>
              </w:rPr>
              <w:t>ns</w:t>
            </w:r>
            <w:proofErr w:type="spellEnd"/>
          </w:p>
        </w:tc>
      </w:tr>
    </w:tbl>
    <w:p w14:paraId="01439033" w14:textId="1894CE22" w:rsidR="008E107E" w:rsidRPr="008E107E" w:rsidRDefault="00580802" w:rsidP="00C67F76">
      <w:pPr>
        <w:pStyle w:val="Descripcin"/>
      </w:pPr>
      <w:bookmarkStart w:id="155" w:name="_Toc230792263"/>
      <w:r>
        <w:t xml:space="preserve">Tabla </w:t>
      </w:r>
      <w:fldSimple w:instr=" SEQ Tabla \* ARABIC ">
        <w:r w:rsidR="00716AEA">
          <w:rPr>
            <w:noProof/>
          </w:rPr>
          <w:t>33</w:t>
        </w:r>
      </w:fldSimple>
      <w:r>
        <w:t xml:space="preserve">. </w:t>
      </w:r>
      <w:r w:rsidRPr="005F344E">
        <w:t>Correlaciones Factor 1 — Spearman (variables continuas)</w:t>
      </w:r>
      <w:r w:rsidR="008E107E">
        <w:t xml:space="preserve">. </w:t>
      </w:r>
      <w:r w:rsidR="008E107E" w:rsidRPr="008E107E">
        <w:t xml:space="preserve">* = estadísticamente significativo tras corrección FDR (p </w:t>
      </w:r>
      <w:proofErr w:type="spellStart"/>
      <w:r w:rsidR="008E107E" w:rsidRPr="008E107E">
        <w:t>adj</w:t>
      </w:r>
      <w:proofErr w:type="spellEnd"/>
      <w:r w:rsidR="008E107E" w:rsidRPr="008E107E">
        <w:t xml:space="preserve"> &lt; 0.05); </w:t>
      </w:r>
      <w:proofErr w:type="spellStart"/>
      <w:r w:rsidR="008E107E" w:rsidRPr="008E107E">
        <w:t>ns</w:t>
      </w:r>
      <w:proofErr w:type="spellEnd"/>
      <w:r w:rsidR="008E107E" w:rsidRPr="008E107E">
        <w:t xml:space="preserve"> = no significativo (p </w:t>
      </w:r>
      <w:proofErr w:type="spellStart"/>
      <w:r w:rsidR="008E107E" w:rsidRPr="008E107E">
        <w:t>adj</w:t>
      </w:r>
      <w:proofErr w:type="spellEnd"/>
      <w:r w:rsidR="008E107E" w:rsidRPr="008E107E">
        <w:t xml:space="preserve"> ≥ 0.05.</w:t>
      </w:r>
      <w:bookmarkEnd w:id="155"/>
    </w:p>
    <w:tbl>
      <w:tblPr>
        <w:tblW w:w="5000" w:type="pct"/>
        <w:tblCellMar>
          <w:left w:w="70" w:type="dxa"/>
          <w:right w:w="70" w:type="dxa"/>
        </w:tblCellMar>
        <w:tblLook w:val="04A0" w:firstRow="1" w:lastRow="0" w:firstColumn="1" w:lastColumn="0" w:noHBand="0" w:noVBand="1"/>
      </w:tblPr>
      <w:tblGrid>
        <w:gridCol w:w="2041"/>
        <w:gridCol w:w="1336"/>
        <w:gridCol w:w="1707"/>
        <w:gridCol w:w="2344"/>
        <w:gridCol w:w="1057"/>
      </w:tblGrid>
      <w:tr w:rsidR="001C554C" w:rsidRPr="00580802" w14:paraId="1B39AE38" w14:textId="77777777" w:rsidTr="001C554C">
        <w:trPr>
          <w:trHeight w:val="360"/>
        </w:trPr>
        <w:tc>
          <w:tcPr>
            <w:tcW w:w="1202" w:type="pct"/>
            <w:tcBorders>
              <w:top w:val="single" w:sz="8" w:space="0" w:color="DDDDDD"/>
              <w:left w:val="single" w:sz="8" w:space="0" w:color="DDDDDD"/>
              <w:bottom w:val="single" w:sz="8" w:space="0" w:color="DDDDDD"/>
              <w:right w:val="single" w:sz="8" w:space="0" w:color="DDDDDD"/>
            </w:tcBorders>
            <w:shd w:val="clear" w:color="000000" w:fill="F2F2F2"/>
            <w:vAlign w:val="center"/>
            <w:hideMark/>
          </w:tcPr>
          <w:p w14:paraId="0A767967" w14:textId="77777777" w:rsidR="001C554C" w:rsidRPr="00580802" w:rsidRDefault="001C554C"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Variable</w:t>
            </w:r>
          </w:p>
        </w:tc>
        <w:tc>
          <w:tcPr>
            <w:tcW w:w="787" w:type="pct"/>
            <w:tcBorders>
              <w:top w:val="single" w:sz="8" w:space="0" w:color="DDDDDD"/>
              <w:left w:val="nil"/>
              <w:bottom w:val="single" w:sz="8" w:space="0" w:color="DDDDDD"/>
              <w:right w:val="single" w:sz="8" w:space="0" w:color="DDDDDD"/>
            </w:tcBorders>
            <w:shd w:val="clear" w:color="000000" w:fill="F2F2F2"/>
            <w:vAlign w:val="center"/>
            <w:hideMark/>
          </w:tcPr>
          <w:p w14:paraId="67D2D18E" w14:textId="77777777" w:rsidR="001C554C" w:rsidRPr="00580802" w:rsidRDefault="001C554C"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W</w:t>
            </w:r>
          </w:p>
        </w:tc>
        <w:tc>
          <w:tcPr>
            <w:tcW w:w="1006" w:type="pct"/>
            <w:tcBorders>
              <w:top w:val="single" w:sz="8" w:space="0" w:color="DDDDDD"/>
              <w:left w:val="nil"/>
              <w:bottom w:val="single" w:sz="8" w:space="0" w:color="DDDDDD"/>
              <w:right w:val="single" w:sz="8" w:space="0" w:color="DDDDDD"/>
            </w:tcBorders>
            <w:shd w:val="clear" w:color="000000" w:fill="F2F2F2"/>
            <w:vAlign w:val="center"/>
            <w:hideMark/>
          </w:tcPr>
          <w:p w14:paraId="1DBE2116" w14:textId="77777777" w:rsidR="001C554C" w:rsidRPr="00580802" w:rsidRDefault="001C554C"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p</w:t>
            </w:r>
          </w:p>
        </w:tc>
        <w:tc>
          <w:tcPr>
            <w:tcW w:w="1381" w:type="pct"/>
            <w:tcBorders>
              <w:top w:val="single" w:sz="8" w:space="0" w:color="DDDDDD"/>
              <w:left w:val="nil"/>
              <w:bottom w:val="single" w:sz="8" w:space="0" w:color="DDDDDD"/>
              <w:right w:val="single" w:sz="8" w:space="0" w:color="DDDDDD"/>
            </w:tcBorders>
            <w:shd w:val="clear" w:color="000000" w:fill="F2F2F2"/>
            <w:vAlign w:val="center"/>
            <w:hideMark/>
          </w:tcPr>
          <w:p w14:paraId="2207FD12" w14:textId="77777777" w:rsidR="001C554C" w:rsidRPr="00580802" w:rsidRDefault="001C554C"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 xml:space="preserve">p </w:t>
            </w:r>
            <w:proofErr w:type="spellStart"/>
            <w:r w:rsidRPr="00580802">
              <w:rPr>
                <w:rFonts w:eastAsia="Times New Roman"/>
                <w:b/>
                <w:bCs/>
                <w:color w:val="000000"/>
                <w:sz w:val="20"/>
                <w:szCs w:val="20"/>
                <w:lang w:val="es-ES"/>
              </w:rPr>
              <w:t>adj</w:t>
            </w:r>
            <w:proofErr w:type="spellEnd"/>
            <w:r w:rsidRPr="00580802">
              <w:rPr>
                <w:rFonts w:eastAsia="Times New Roman"/>
                <w:b/>
                <w:bCs/>
                <w:color w:val="000000"/>
                <w:sz w:val="20"/>
                <w:szCs w:val="20"/>
                <w:lang w:val="es-ES"/>
              </w:rPr>
              <w:t xml:space="preserve"> (BH)</w:t>
            </w:r>
          </w:p>
        </w:tc>
        <w:tc>
          <w:tcPr>
            <w:tcW w:w="623" w:type="pct"/>
            <w:tcBorders>
              <w:top w:val="single" w:sz="8" w:space="0" w:color="DDDDDD"/>
              <w:left w:val="nil"/>
              <w:bottom w:val="single" w:sz="8" w:space="0" w:color="DDDDDD"/>
              <w:right w:val="single" w:sz="8" w:space="0" w:color="DDDDDD"/>
            </w:tcBorders>
            <w:shd w:val="clear" w:color="000000" w:fill="F2F2F2"/>
            <w:vAlign w:val="center"/>
            <w:hideMark/>
          </w:tcPr>
          <w:p w14:paraId="2784583C" w14:textId="77777777" w:rsidR="001C554C" w:rsidRPr="00580802" w:rsidRDefault="001C554C" w:rsidP="00580802">
            <w:pPr>
              <w:spacing w:before="0" w:after="0" w:line="240" w:lineRule="auto"/>
              <w:jc w:val="left"/>
              <w:rPr>
                <w:rFonts w:eastAsia="Times New Roman"/>
                <w:b/>
                <w:bCs/>
                <w:color w:val="000000"/>
                <w:sz w:val="20"/>
                <w:szCs w:val="20"/>
                <w:lang w:val="es-ES"/>
              </w:rPr>
            </w:pPr>
            <w:r w:rsidRPr="00580802">
              <w:rPr>
                <w:rFonts w:eastAsia="Times New Roman"/>
                <w:b/>
                <w:bCs/>
                <w:color w:val="000000"/>
                <w:sz w:val="20"/>
                <w:szCs w:val="20"/>
                <w:lang w:val="es-ES"/>
              </w:rPr>
              <w:t>Sig.</w:t>
            </w:r>
          </w:p>
        </w:tc>
      </w:tr>
      <w:tr w:rsidR="001C554C" w:rsidRPr="00580802" w14:paraId="4F6A881B" w14:textId="77777777" w:rsidTr="001C554C">
        <w:trPr>
          <w:trHeight w:val="360"/>
        </w:trPr>
        <w:tc>
          <w:tcPr>
            <w:tcW w:w="1202" w:type="pct"/>
            <w:tcBorders>
              <w:top w:val="nil"/>
              <w:left w:val="single" w:sz="8" w:space="0" w:color="DDDDDD"/>
              <w:bottom w:val="single" w:sz="8" w:space="0" w:color="DDDDDD"/>
              <w:right w:val="single" w:sz="8" w:space="0" w:color="DDDDDD"/>
            </w:tcBorders>
            <w:shd w:val="clear" w:color="auto" w:fill="auto"/>
            <w:vAlign w:val="center"/>
            <w:hideMark/>
          </w:tcPr>
          <w:p w14:paraId="0EDD6B92" w14:textId="77777777" w:rsidR="001C554C" w:rsidRPr="00580802" w:rsidRDefault="001C554C"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LLDAS</w:t>
            </w:r>
          </w:p>
        </w:tc>
        <w:tc>
          <w:tcPr>
            <w:tcW w:w="787" w:type="pct"/>
            <w:tcBorders>
              <w:top w:val="nil"/>
              <w:left w:val="nil"/>
              <w:bottom w:val="single" w:sz="8" w:space="0" w:color="DDDDDD"/>
              <w:right w:val="single" w:sz="8" w:space="0" w:color="DDDDDD"/>
            </w:tcBorders>
            <w:shd w:val="clear" w:color="auto" w:fill="auto"/>
            <w:vAlign w:val="center"/>
            <w:hideMark/>
          </w:tcPr>
          <w:p w14:paraId="1EBA3134" w14:textId="77777777" w:rsidR="001C554C" w:rsidRPr="00580802" w:rsidRDefault="001C554C"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4531</w:t>
            </w:r>
          </w:p>
        </w:tc>
        <w:tc>
          <w:tcPr>
            <w:tcW w:w="1006" w:type="pct"/>
            <w:tcBorders>
              <w:top w:val="nil"/>
              <w:left w:val="nil"/>
              <w:bottom w:val="single" w:sz="8" w:space="0" w:color="DDDDDD"/>
              <w:right w:val="single" w:sz="8" w:space="0" w:color="DDDDDD"/>
            </w:tcBorders>
            <w:shd w:val="clear" w:color="auto" w:fill="auto"/>
            <w:vAlign w:val="center"/>
            <w:hideMark/>
          </w:tcPr>
          <w:p w14:paraId="67FE52A2" w14:textId="77777777" w:rsidR="001C554C" w:rsidRPr="00580802" w:rsidRDefault="001C554C"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0.2409</w:t>
            </w:r>
          </w:p>
        </w:tc>
        <w:tc>
          <w:tcPr>
            <w:tcW w:w="1381" w:type="pct"/>
            <w:tcBorders>
              <w:top w:val="nil"/>
              <w:left w:val="nil"/>
              <w:bottom w:val="single" w:sz="8" w:space="0" w:color="DDDDDD"/>
              <w:right w:val="single" w:sz="8" w:space="0" w:color="DDDDDD"/>
            </w:tcBorders>
            <w:shd w:val="clear" w:color="auto" w:fill="auto"/>
            <w:vAlign w:val="center"/>
            <w:hideMark/>
          </w:tcPr>
          <w:p w14:paraId="22B4FA47" w14:textId="77777777" w:rsidR="001C554C" w:rsidRPr="00580802" w:rsidRDefault="001C554C"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0.4237</w:t>
            </w:r>
          </w:p>
        </w:tc>
        <w:tc>
          <w:tcPr>
            <w:tcW w:w="623" w:type="pct"/>
            <w:tcBorders>
              <w:top w:val="nil"/>
              <w:left w:val="nil"/>
              <w:bottom w:val="single" w:sz="8" w:space="0" w:color="DDDDDD"/>
              <w:right w:val="single" w:sz="8" w:space="0" w:color="DDDDDD"/>
            </w:tcBorders>
            <w:shd w:val="clear" w:color="auto" w:fill="auto"/>
            <w:vAlign w:val="center"/>
            <w:hideMark/>
          </w:tcPr>
          <w:p w14:paraId="13F23F13" w14:textId="77777777" w:rsidR="001C554C" w:rsidRPr="00580802" w:rsidRDefault="001C554C" w:rsidP="00580802">
            <w:pPr>
              <w:spacing w:before="0" w:after="0" w:line="240" w:lineRule="auto"/>
              <w:jc w:val="left"/>
              <w:rPr>
                <w:rFonts w:eastAsia="Times New Roman"/>
                <w:color w:val="000000"/>
                <w:sz w:val="20"/>
                <w:szCs w:val="20"/>
                <w:lang w:val="es-ES"/>
              </w:rPr>
            </w:pPr>
            <w:proofErr w:type="spellStart"/>
            <w:r w:rsidRPr="00580802">
              <w:rPr>
                <w:rFonts w:eastAsia="Times New Roman"/>
                <w:color w:val="000000"/>
                <w:sz w:val="20"/>
                <w:szCs w:val="20"/>
                <w:lang w:val="es-ES"/>
              </w:rPr>
              <w:t>ns</w:t>
            </w:r>
            <w:proofErr w:type="spellEnd"/>
          </w:p>
        </w:tc>
      </w:tr>
      <w:tr w:rsidR="001C554C" w:rsidRPr="00580802" w14:paraId="0D6DE1B7" w14:textId="77777777" w:rsidTr="001C554C">
        <w:trPr>
          <w:trHeight w:val="360"/>
        </w:trPr>
        <w:tc>
          <w:tcPr>
            <w:tcW w:w="1202" w:type="pct"/>
            <w:tcBorders>
              <w:top w:val="nil"/>
              <w:left w:val="single" w:sz="8" w:space="0" w:color="DDDDDD"/>
              <w:bottom w:val="single" w:sz="8" w:space="0" w:color="DDDDDD"/>
              <w:right w:val="single" w:sz="8" w:space="0" w:color="DDDDDD"/>
            </w:tcBorders>
            <w:shd w:val="clear" w:color="auto" w:fill="auto"/>
            <w:vAlign w:val="center"/>
            <w:hideMark/>
          </w:tcPr>
          <w:p w14:paraId="44F4433C" w14:textId="77777777" w:rsidR="001C554C" w:rsidRPr="00580802" w:rsidRDefault="001C554C"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DORIS</w:t>
            </w:r>
          </w:p>
        </w:tc>
        <w:tc>
          <w:tcPr>
            <w:tcW w:w="787" w:type="pct"/>
            <w:tcBorders>
              <w:top w:val="nil"/>
              <w:left w:val="nil"/>
              <w:bottom w:val="single" w:sz="8" w:space="0" w:color="DDDDDD"/>
              <w:right w:val="single" w:sz="8" w:space="0" w:color="DDDDDD"/>
            </w:tcBorders>
            <w:shd w:val="clear" w:color="auto" w:fill="auto"/>
            <w:vAlign w:val="center"/>
            <w:hideMark/>
          </w:tcPr>
          <w:p w14:paraId="08FEE3A9" w14:textId="77777777" w:rsidR="001C554C" w:rsidRPr="00580802" w:rsidRDefault="001C554C"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8726</w:t>
            </w:r>
          </w:p>
        </w:tc>
        <w:tc>
          <w:tcPr>
            <w:tcW w:w="1006" w:type="pct"/>
            <w:tcBorders>
              <w:top w:val="nil"/>
              <w:left w:val="nil"/>
              <w:bottom w:val="single" w:sz="8" w:space="0" w:color="DDDDDD"/>
              <w:right w:val="single" w:sz="8" w:space="0" w:color="DDDDDD"/>
            </w:tcBorders>
            <w:shd w:val="clear" w:color="auto" w:fill="auto"/>
            <w:vAlign w:val="center"/>
            <w:hideMark/>
          </w:tcPr>
          <w:p w14:paraId="35708CEF" w14:textId="77777777" w:rsidR="001C554C" w:rsidRPr="00580802" w:rsidRDefault="001C554C"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0.1292</w:t>
            </w:r>
          </w:p>
        </w:tc>
        <w:tc>
          <w:tcPr>
            <w:tcW w:w="1381" w:type="pct"/>
            <w:tcBorders>
              <w:top w:val="nil"/>
              <w:left w:val="nil"/>
              <w:bottom w:val="single" w:sz="8" w:space="0" w:color="DDDDDD"/>
              <w:right w:val="single" w:sz="8" w:space="0" w:color="DDDDDD"/>
            </w:tcBorders>
            <w:shd w:val="clear" w:color="auto" w:fill="auto"/>
            <w:vAlign w:val="center"/>
            <w:hideMark/>
          </w:tcPr>
          <w:p w14:paraId="39DB6BB1" w14:textId="77777777" w:rsidR="001C554C" w:rsidRPr="00580802" w:rsidRDefault="001C554C" w:rsidP="00580802">
            <w:pPr>
              <w:spacing w:before="0" w:after="0" w:line="240" w:lineRule="auto"/>
              <w:jc w:val="left"/>
              <w:rPr>
                <w:rFonts w:eastAsia="Times New Roman"/>
                <w:color w:val="000000"/>
                <w:sz w:val="20"/>
                <w:szCs w:val="20"/>
                <w:lang w:val="es-ES"/>
              </w:rPr>
            </w:pPr>
            <w:r w:rsidRPr="00580802">
              <w:rPr>
                <w:rFonts w:eastAsia="Times New Roman"/>
                <w:color w:val="000000"/>
                <w:sz w:val="20"/>
                <w:szCs w:val="20"/>
                <w:lang w:val="es-ES"/>
              </w:rPr>
              <w:t>0.4237</w:t>
            </w:r>
          </w:p>
        </w:tc>
        <w:tc>
          <w:tcPr>
            <w:tcW w:w="623" w:type="pct"/>
            <w:tcBorders>
              <w:top w:val="nil"/>
              <w:left w:val="nil"/>
              <w:bottom w:val="single" w:sz="8" w:space="0" w:color="DDDDDD"/>
              <w:right w:val="single" w:sz="8" w:space="0" w:color="DDDDDD"/>
            </w:tcBorders>
            <w:shd w:val="clear" w:color="auto" w:fill="auto"/>
            <w:vAlign w:val="center"/>
            <w:hideMark/>
          </w:tcPr>
          <w:p w14:paraId="31BF27FD" w14:textId="77777777" w:rsidR="001C554C" w:rsidRPr="00580802" w:rsidRDefault="001C554C" w:rsidP="00580802">
            <w:pPr>
              <w:keepNext/>
              <w:spacing w:before="0" w:after="0" w:line="240" w:lineRule="auto"/>
              <w:jc w:val="left"/>
              <w:rPr>
                <w:rFonts w:eastAsia="Times New Roman"/>
                <w:color w:val="000000"/>
                <w:sz w:val="20"/>
                <w:szCs w:val="20"/>
                <w:lang w:val="es-ES"/>
              </w:rPr>
            </w:pPr>
            <w:proofErr w:type="spellStart"/>
            <w:r w:rsidRPr="00580802">
              <w:rPr>
                <w:rFonts w:eastAsia="Times New Roman"/>
                <w:color w:val="000000"/>
                <w:sz w:val="20"/>
                <w:szCs w:val="20"/>
                <w:lang w:val="es-ES"/>
              </w:rPr>
              <w:t>ns</w:t>
            </w:r>
            <w:proofErr w:type="spellEnd"/>
          </w:p>
        </w:tc>
      </w:tr>
    </w:tbl>
    <w:p w14:paraId="693EEA0D" w14:textId="613B4336" w:rsidR="00580802" w:rsidRDefault="00580802" w:rsidP="00C67F76">
      <w:pPr>
        <w:pStyle w:val="Descripcin"/>
      </w:pPr>
      <w:bookmarkStart w:id="156" w:name="_Toc230792264"/>
      <w:r>
        <w:t xml:space="preserve">Tabla </w:t>
      </w:r>
      <w:fldSimple w:instr=" SEQ Tabla \* ARABIC ">
        <w:r w:rsidR="00716AEA">
          <w:rPr>
            <w:noProof/>
          </w:rPr>
          <w:t>34</w:t>
        </w:r>
      </w:fldSimple>
      <w:r>
        <w:t xml:space="preserve">. </w:t>
      </w:r>
      <w:r w:rsidRPr="00AC2169">
        <w:t>Factor 1 — Wilcoxon (variables binarias)</w:t>
      </w:r>
      <w:r w:rsidR="008E107E">
        <w:t xml:space="preserve">. </w:t>
      </w:r>
      <w:r w:rsidR="008E107E" w:rsidRPr="008E107E">
        <w:t xml:space="preserve">* = estadísticamente significativo tras corrección FDR (p </w:t>
      </w:r>
      <w:proofErr w:type="spellStart"/>
      <w:r w:rsidR="008E107E" w:rsidRPr="008E107E">
        <w:t>adj</w:t>
      </w:r>
      <w:proofErr w:type="spellEnd"/>
      <w:r w:rsidR="008E107E" w:rsidRPr="008E107E">
        <w:t xml:space="preserve"> &lt; 0.05); </w:t>
      </w:r>
      <w:proofErr w:type="spellStart"/>
      <w:r w:rsidR="008E107E" w:rsidRPr="008E107E">
        <w:t>ns</w:t>
      </w:r>
      <w:proofErr w:type="spellEnd"/>
      <w:r w:rsidR="008E107E" w:rsidRPr="008E107E">
        <w:t xml:space="preserve"> = no significativo (p </w:t>
      </w:r>
      <w:proofErr w:type="spellStart"/>
      <w:r w:rsidR="008E107E" w:rsidRPr="008E107E">
        <w:t>adj</w:t>
      </w:r>
      <w:proofErr w:type="spellEnd"/>
      <w:r w:rsidR="008E107E" w:rsidRPr="008E107E">
        <w:t xml:space="preserve"> ≥ 0.05</w:t>
      </w:r>
      <w:r w:rsidR="001C554C">
        <w:t>)</w:t>
      </w:r>
      <w:r w:rsidR="008E107E" w:rsidRPr="008E107E">
        <w:t>.</w:t>
      </w:r>
      <w:bookmarkEnd w:id="156"/>
    </w:p>
    <w:p w14:paraId="1A9387FC" w14:textId="77777777" w:rsidR="00097466" w:rsidRDefault="00000000">
      <w:pPr>
        <w:pStyle w:val="Ttulo2"/>
        <w:numPr>
          <w:ilvl w:val="1"/>
          <w:numId w:val="17"/>
        </w:numPr>
      </w:pPr>
      <w:bookmarkStart w:id="157" w:name="_Toc229237692"/>
      <w:bookmarkStart w:id="158" w:name="_Toc230792332"/>
      <w:r>
        <w:t>Integración multi</w:t>
      </w:r>
      <w:r>
        <w:rPr>
          <w:rFonts w:ascii="Cambria Math" w:eastAsia="Cambria Math" w:hAnsi="Cambria Math" w:cs="Cambria Math"/>
        </w:rPr>
        <w:t>‑</w:t>
      </w:r>
      <w:proofErr w:type="spellStart"/>
      <w:r>
        <w:t>ómica</w:t>
      </w:r>
      <w:proofErr w:type="spellEnd"/>
      <w:r>
        <w:t xml:space="preserve"> supervisada mediante DIABLO</w:t>
      </w:r>
      <w:bookmarkEnd w:id="157"/>
      <w:bookmarkEnd w:id="158"/>
    </w:p>
    <w:p w14:paraId="28D49043" w14:textId="77777777" w:rsidR="00097466" w:rsidRDefault="00000000">
      <w:r>
        <w:t xml:space="preserve">Con el objetivo de identificar factores latentes compartidos entre la firma transcriptómica de ISGs y el proteoma sérico, se aplicó el método DIABLO (Data </w:t>
      </w:r>
      <w:proofErr w:type="spellStart"/>
      <w:r>
        <w:t>Integration</w:t>
      </w:r>
      <w:proofErr w:type="spellEnd"/>
      <w:r>
        <w:t xml:space="preserve"> </w:t>
      </w:r>
      <w:proofErr w:type="spellStart"/>
      <w:r>
        <w:t>Analysis</w:t>
      </w:r>
      <w:proofErr w:type="spellEnd"/>
      <w:r>
        <w:t xml:space="preserve"> </w:t>
      </w:r>
      <w:proofErr w:type="spellStart"/>
      <w:r>
        <w:t>for</w:t>
      </w:r>
      <w:proofErr w:type="spellEnd"/>
      <w:r>
        <w:t xml:space="preserve"> </w:t>
      </w:r>
      <w:proofErr w:type="spellStart"/>
      <w:r>
        <w:t>Biomarker</w:t>
      </w:r>
      <w:proofErr w:type="spellEnd"/>
      <w:r>
        <w:t xml:space="preserve"> </w:t>
      </w:r>
      <w:proofErr w:type="spellStart"/>
      <w:r>
        <w:t>discovery</w:t>
      </w:r>
      <w:proofErr w:type="spellEnd"/>
      <w:r>
        <w:t xml:space="preserve"> </w:t>
      </w:r>
      <w:proofErr w:type="spellStart"/>
      <w:r>
        <w:t>using</w:t>
      </w:r>
      <w:proofErr w:type="spellEnd"/>
      <w:r>
        <w:t xml:space="preserve"> </w:t>
      </w:r>
      <w:proofErr w:type="spellStart"/>
      <w:r>
        <w:t>Latent</w:t>
      </w:r>
      <w:proofErr w:type="spellEnd"/>
      <w:r>
        <w:t xml:space="preserve"> </w:t>
      </w:r>
      <w:proofErr w:type="spellStart"/>
      <w:r>
        <w:t>cOmponents</w:t>
      </w:r>
      <w:proofErr w:type="spellEnd"/>
      <w:r>
        <w:t xml:space="preserve">) del paquete </w:t>
      </w:r>
      <w:proofErr w:type="spellStart"/>
      <w:r>
        <w:t>mixOmics</w:t>
      </w:r>
      <w:proofErr w:type="spellEnd"/>
      <w:r>
        <w:t xml:space="preserve"> de R. Se ajustaron cinco modelos independientes, cada uno supervisado por un desenlace clínico distinto: remisión clínica según SLEDAI-2K, remisión según SLE-DAS, daño orgánico acumulado (SLICC/SDI), estado de remisión DORIS y un criterio compuesto de remisión estricta (cumplimiento simultáneo de SLEDAI-2K = 0, SLE-DAS &lt; 2,08 y SDI = 0). En todos los modelos se integraron dos bloques </w:t>
      </w:r>
      <w:proofErr w:type="spellStart"/>
      <w:r>
        <w:t>ómicos</w:t>
      </w:r>
      <w:proofErr w:type="spellEnd"/>
      <w:r>
        <w:t xml:space="preserve"> —transcriptómico (72 ISGs) y proteómico sérico (18 variables tras exclusión de variables con &gt;70% de datos faltantes)— sobre la misma cohorte de 251 pacientes con LES. La matriz de diseño se fijó con un valor de correlación inter-bloque de 0,1 para priorizar la discriminación supervisada frente a la </w:t>
      </w:r>
      <w:proofErr w:type="spellStart"/>
      <w:r>
        <w:t>maximizacin</w:t>
      </w:r>
      <w:proofErr w:type="spellEnd"/>
      <w:r>
        <w:t xml:space="preserve"> de la covarianza inter-bloque, en concordancia con las recomendaciones para escenarios de clasificación. El número de componentes latentes se fijó en </w:t>
      </w:r>
      <w:proofErr w:type="spellStart"/>
      <w:r>
        <w:t>ncomp</w:t>
      </w:r>
      <w:proofErr w:type="spellEnd"/>
      <w:r>
        <w:t xml:space="preserve"> = 2 en todos los modelos por criterio de parsimonia e interpretabilidad, y el número de variables por bloque y componente (</w:t>
      </w:r>
      <w:proofErr w:type="spellStart"/>
      <w:r>
        <w:t>keepX</w:t>
      </w:r>
      <w:proofErr w:type="spellEnd"/>
      <w:r>
        <w:t>) se optimizó mediante validación cruzada M-</w:t>
      </w:r>
      <w:proofErr w:type="spellStart"/>
      <w:r>
        <w:t>fold</w:t>
      </w:r>
      <w:proofErr w:type="spellEnd"/>
      <w:r>
        <w:t xml:space="preserve"> (M = 5, 10 repeticiones) con la función </w:t>
      </w:r>
      <w:proofErr w:type="spellStart"/>
      <w:proofErr w:type="gramStart"/>
      <w:r>
        <w:t>tune.block</w:t>
      </w:r>
      <w:proofErr w:type="gramEnd"/>
      <w:r>
        <w:t>.splsda</w:t>
      </w:r>
      <w:proofErr w:type="spellEnd"/>
      <w:r>
        <w:t xml:space="preserve"> y el criterio de distancia centroides.</w:t>
      </w:r>
    </w:p>
    <w:p w14:paraId="7DAF1947" w14:textId="77777777" w:rsidR="00097466" w:rsidRDefault="00000000">
      <w:pPr>
        <w:pStyle w:val="Ttulo3"/>
        <w:numPr>
          <w:ilvl w:val="2"/>
          <w:numId w:val="17"/>
        </w:numPr>
      </w:pPr>
      <w:r>
        <w:lastRenderedPageBreak/>
        <w:t xml:space="preserve">Diseño del modelo y sintonización de </w:t>
      </w:r>
      <w:proofErr w:type="spellStart"/>
      <w:r>
        <w:t>hiperparámetros</w:t>
      </w:r>
      <w:proofErr w:type="spellEnd"/>
    </w:p>
    <w:p w14:paraId="4169A8D0" w14:textId="5FDB0D75" w:rsidR="00097466" w:rsidRDefault="00000000">
      <w:r>
        <w:t>La Tabla 3</w:t>
      </w:r>
      <w:r w:rsidR="009C3583">
        <w:t>5</w:t>
      </w:r>
      <w:r>
        <w:t xml:space="preserve"> resume la distribución de clases y la configuración óptima de </w:t>
      </w:r>
      <w:proofErr w:type="spellStart"/>
      <w:r>
        <w:t>keepX</w:t>
      </w:r>
      <w:proofErr w:type="spellEnd"/>
      <w:r>
        <w:t xml:space="preserve"> para cada uno de los cinco modelos. </w:t>
      </w:r>
    </w:p>
    <w:tbl>
      <w:tblPr>
        <w:tblStyle w:val="afe"/>
        <w:tblW w:w="8485" w:type="dxa"/>
        <w:tblInd w:w="0" w:type="dxa"/>
        <w:tblLayout w:type="fixed"/>
        <w:tblLook w:val="0400" w:firstRow="0" w:lastRow="0" w:firstColumn="0" w:lastColumn="0" w:noHBand="0" w:noVBand="1"/>
      </w:tblPr>
      <w:tblGrid>
        <w:gridCol w:w="2966"/>
        <w:gridCol w:w="1281"/>
        <w:gridCol w:w="1059"/>
        <w:gridCol w:w="1059"/>
        <w:gridCol w:w="1059"/>
        <w:gridCol w:w="1061"/>
      </w:tblGrid>
      <w:tr w:rsidR="00097466" w14:paraId="540DE43D" w14:textId="77777777">
        <w:trPr>
          <w:trHeight w:val="397"/>
        </w:trPr>
        <w:tc>
          <w:tcPr>
            <w:tcW w:w="2966"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0D7DFC52" w14:textId="77777777" w:rsidR="00097466" w:rsidRDefault="00000000">
            <w:pPr>
              <w:spacing w:before="0" w:after="0" w:line="240" w:lineRule="auto"/>
              <w:jc w:val="left"/>
              <w:rPr>
                <w:b/>
                <w:bCs/>
                <w:color w:val="000000"/>
                <w:sz w:val="20"/>
                <w:szCs w:val="20"/>
              </w:rPr>
            </w:pPr>
            <w:r>
              <w:rPr>
                <w:b/>
                <w:bCs/>
                <w:color w:val="000000"/>
                <w:sz w:val="20"/>
                <w:szCs w:val="20"/>
              </w:rPr>
              <w:t>Desenlace</w:t>
            </w:r>
          </w:p>
        </w:tc>
        <w:tc>
          <w:tcPr>
            <w:tcW w:w="1281" w:type="dxa"/>
            <w:tcBorders>
              <w:top w:val="single" w:sz="8" w:space="0" w:color="DDDDDD"/>
              <w:left w:val="nil"/>
              <w:bottom w:val="single" w:sz="8" w:space="0" w:color="DDDDDD"/>
              <w:right w:val="single" w:sz="8" w:space="0" w:color="DDDDDD"/>
            </w:tcBorders>
            <w:shd w:val="clear" w:color="auto" w:fill="F2F2F2"/>
            <w:vAlign w:val="center"/>
          </w:tcPr>
          <w:p w14:paraId="35459794" w14:textId="77777777" w:rsidR="00097466" w:rsidRDefault="00000000">
            <w:pPr>
              <w:spacing w:before="0" w:after="0" w:line="240" w:lineRule="auto"/>
              <w:jc w:val="left"/>
              <w:rPr>
                <w:b/>
                <w:bCs/>
                <w:color w:val="000000"/>
                <w:sz w:val="20"/>
                <w:szCs w:val="20"/>
              </w:rPr>
            </w:pPr>
            <w:r>
              <w:rPr>
                <w:b/>
                <w:bCs/>
                <w:color w:val="000000"/>
                <w:sz w:val="20"/>
                <w:szCs w:val="20"/>
              </w:rPr>
              <w:t>N (clase 1 / clase 2)</w:t>
            </w:r>
          </w:p>
        </w:tc>
        <w:tc>
          <w:tcPr>
            <w:tcW w:w="1059" w:type="dxa"/>
            <w:tcBorders>
              <w:top w:val="single" w:sz="8" w:space="0" w:color="DDDDDD"/>
              <w:left w:val="nil"/>
              <w:bottom w:val="single" w:sz="8" w:space="0" w:color="DDDDDD"/>
              <w:right w:val="single" w:sz="8" w:space="0" w:color="DDDDDD"/>
            </w:tcBorders>
            <w:shd w:val="clear" w:color="auto" w:fill="F2F2F2"/>
            <w:vAlign w:val="center"/>
          </w:tcPr>
          <w:p w14:paraId="49D4CEAC" w14:textId="77777777" w:rsidR="00097466" w:rsidRDefault="00000000">
            <w:pPr>
              <w:spacing w:before="0" w:after="0" w:line="240" w:lineRule="auto"/>
              <w:jc w:val="left"/>
              <w:rPr>
                <w:b/>
                <w:bCs/>
                <w:color w:val="000000"/>
                <w:sz w:val="20"/>
                <w:szCs w:val="20"/>
              </w:rPr>
            </w:pPr>
            <w:r>
              <w:rPr>
                <w:b/>
                <w:bCs/>
                <w:color w:val="000000"/>
                <w:sz w:val="20"/>
                <w:szCs w:val="20"/>
              </w:rPr>
              <w:t>Trans Comp1</w:t>
            </w:r>
          </w:p>
        </w:tc>
        <w:tc>
          <w:tcPr>
            <w:tcW w:w="1059" w:type="dxa"/>
            <w:tcBorders>
              <w:top w:val="single" w:sz="8" w:space="0" w:color="DDDDDD"/>
              <w:left w:val="nil"/>
              <w:bottom w:val="single" w:sz="8" w:space="0" w:color="DDDDDD"/>
              <w:right w:val="single" w:sz="8" w:space="0" w:color="DDDDDD"/>
            </w:tcBorders>
            <w:shd w:val="clear" w:color="auto" w:fill="F2F2F2"/>
            <w:vAlign w:val="center"/>
          </w:tcPr>
          <w:p w14:paraId="04098863" w14:textId="77777777" w:rsidR="00097466" w:rsidRDefault="00000000">
            <w:pPr>
              <w:spacing w:before="0" w:after="0" w:line="240" w:lineRule="auto"/>
              <w:jc w:val="left"/>
              <w:rPr>
                <w:b/>
                <w:bCs/>
                <w:color w:val="000000"/>
                <w:sz w:val="20"/>
                <w:szCs w:val="20"/>
              </w:rPr>
            </w:pPr>
            <w:r>
              <w:rPr>
                <w:b/>
                <w:bCs/>
                <w:color w:val="000000"/>
                <w:sz w:val="20"/>
                <w:szCs w:val="20"/>
              </w:rPr>
              <w:t>Trans Comp2</w:t>
            </w:r>
          </w:p>
        </w:tc>
        <w:tc>
          <w:tcPr>
            <w:tcW w:w="1059" w:type="dxa"/>
            <w:tcBorders>
              <w:top w:val="single" w:sz="8" w:space="0" w:color="DDDDDD"/>
              <w:left w:val="nil"/>
              <w:bottom w:val="single" w:sz="8" w:space="0" w:color="DDDDDD"/>
              <w:right w:val="single" w:sz="8" w:space="0" w:color="DDDDDD"/>
            </w:tcBorders>
            <w:shd w:val="clear" w:color="auto" w:fill="F2F2F2"/>
            <w:vAlign w:val="center"/>
          </w:tcPr>
          <w:p w14:paraId="7CC1E0A7" w14:textId="77777777" w:rsidR="00097466" w:rsidRDefault="00000000">
            <w:pPr>
              <w:spacing w:before="0" w:after="0" w:line="240" w:lineRule="auto"/>
              <w:jc w:val="left"/>
              <w:rPr>
                <w:b/>
                <w:bCs/>
                <w:color w:val="000000"/>
                <w:sz w:val="20"/>
                <w:szCs w:val="20"/>
              </w:rPr>
            </w:pPr>
            <w:proofErr w:type="spellStart"/>
            <w:r>
              <w:rPr>
                <w:b/>
                <w:bCs/>
                <w:color w:val="000000"/>
                <w:sz w:val="20"/>
                <w:szCs w:val="20"/>
              </w:rPr>
              <w:t>Prot</w:t>
            </w:r>
            <w:proofErr w:type="spellEnd"/>
            <w:r>
              <w:rPr>
                <w:b/>
                <w:bCs/>
                <w:color w:val="000000"/>
                <w:sz w:val="20"/>
                <w:szCs w:val="20"/>
              </w:rPr>
              <w:t xml:space="preserve"> Comp1</w:t>
            </w:r>
          </w:p>
        </w:tc>
        <w:tc>
          <w:tcPr>
            <w:tcW w:w="1061" w:type="dxa"/>
            <w:tcBorders>
              <w:top w:val="single" w:sz="8" w:space="0" w:color="DDDDDD"/>
              <w:left w:val="nil"/>
              <w:bottom w:val="single" w:sz="8" w:space="0" w:color="DDDDDD"/>
              <w:right w:val="single" w:sz="8" w:space="0" w:color="DDDDDD"/>
            </w:tcBorders>
            <w:shd w:val="clear" w:color="auto" w:fill="F2F2F2"/>
            <w:vAlign w:val="center"/>
          </w:tcPr>
          <w:p w14:paraId="34D46AB1" w14:textId="77777777" w:rsidR="00097466" w:rsidRDefault="00000000">
            <w:pPr>
              <w:spacing w:before="0" w:after="0" w:line="240" w:lineRule="auto"/>
              <w:jc w:val="left"/>
              <w:rPr>
                <w:b/>
                <w:bCs/>
                <w:color w:val="000000"/>
                <w:sz w:val="20"/>
                <w:szCs w:val="20"/>
              </w:rPr>
            </w:pPr>
            <w:proofErr w:type="spellStart"/>
            <w:r>
              <w:rPr>
                <w:b/>
                <w:bCs/>
                <w:color w:val="000000"/>
                <w:sz w:val="20"/>
                <w:szCs w:val="20"/>
              </w:rPr>
              <w:t>Prot</w:t>
            </w:r>
            <w:proofErr w:type="spellEnd"/>
            <w:r>
              <w:rPr>
                <w:b/>
                <w:bCs/>
                <w:color w:val="000000"/>
                <w:sz w:val="20"/>
                <w:szCs w:val="20"/>
              </w:rPr>
              <w:t xml:space="preserve"> Comp2</w:t>
            </w:r>
          </w:p>
        </w:tc>
      </w:tr>
      <w:tr w:rsidR="00097466" w14:paraId="1393C035" w14:textId="77777777">
        <w:trPr>
          <w:trHeight w:val="397"/>
        </w:trPr>
        <w:tc>
          <w:tcPr>
            <w:tcW w:w="2966" w:type="dxa"/>
            <w:tcBorders>
              <w:top w:val="nil"/>
              <w:left w:val="single" w:sz="8" w:space="0" w:color="DDDDDD"/>
              <w:bottom w:val="single" w:sz="8" w:space="0" w:color="DDDDDD"/>
              <w:right w:val="single" w:sz="8" w:space="0" w:color="DDDDDD"/>
            </w:tcBorders>
            <w:shd w:val="clear" w:color="auto" w:fill="auto"/>
            <w:vAlign w:val="center"/>
          </w:tcPr>
          <w:p w14:paraId="33F9CD21" w14:textId="77777777" w:rsidR="00097466" w:rsidRDefault="00000000">
            <w:pPr>
              <w:spacing w:before="0" w:after="0" w:line="240" w:lineRule="auto"/>
              <w:jc w:val="left"/>
              <w:rPr>
                <w:color w:val="000000"/>
                <w:sz w:val="20"/>
                <w:szCs w:val="20"/>
              </w:rPr>
            </w:pPr>
            <w:r>
              <w:rPr>
                <w:color w:val="000000"/>
                <w:sz w:val="20"/>
                <w:szCs w:val="20"/>
              </w:rPr>
              <w:t>SLEDAI-2K (Rem. vs. Activo)</w:t>
            </w:r>
          </w:p>
        </w:tc>
        <w:tc>
          <w:tcPr>
            <w:tcW w:w="1281" w:type="dxa"/>
            <w:tcBorders>
              <w:top w:val="nil"/>
              <w:left w:val="nil"/>
              <w:bottom w:val="single" w:sz="8" w:space="0" w:color="DDDDDD"/>
              <w:right w:val="single" w:sz="8" w:space="0" w:color="DDDDDD"/>
            </w:tcBorders>
            <w:shd w:val="clear" w:color="auto" w:fill="auto"/>
            <w:vAlign w:val="center"/>
          </w:tcPr>
          <w:p w14:paraId="113F4415" w14:textId="77777777" w:rsidR="00097466" w:rsidRDefault="00000000">
            <w:pPr>
              <w:spacing w:before="0" w:after="0" w:line="240" w:lineRule="auto"/>
              <w:jc w:val="left"/>
              <w:rPr>
                <w:color w:val="000000"/>
                <w:sz w:val="20"/>
                <w:szCs w:val="20"/>
              </w:rPr>
            </w:pPr>
            <w:r>
              <w:rPr>
                <w:color w:val="000000"/>
                <w:sz w:val="20"/>
                <w:szCs w:val="20"/>
              </w:rPr>
              <w:t>109 / 142</w:t>
            </w:r>
          </w:p>
        </w:tc>
        <w:tc>
          <w:tcPr>
            <w:tcW w:w="1059" w:type="dxa"/>
            <w:tcBorders>
              <w:top w:val="nil"/>
              <w:left w:val="nil"/>
              <w:bottom w:val="single" w:sz="8" w:space="0" w:color="DDDDDD"/>
              <w:right w:val="single" w:sz="8" w:space="0" w:color="DDDDDD"/>
            </w:tcBorders>
            <w:shd w:val="clear" w:color="auto" w:fill="auto"/>
            <w:vAlign w:val="center"/>
          </w:tcPr>
          <w:p w14:paraId="43238BFB" w14:textId="77777777" w:rsidR="00097466" w:rsidRDefault="00000000">
            <w:pPr>
              <w:spacing w:before="0" w:after="0" w:line="240" w:lineRule="auto"/>
              <w:jc w:val="left"/>
              <w:rPr>
                <w:color w:val="000000"/>
                <w:sz w:val="20"/>
                <w:szCs w:val="20"/>
              </w:rPr>
            </w:pPr>
            <w:r>
              <w:rPr>
                <w:color w:val="000000"/>
                <w:sz w:val="20"/>
                <w:szCs w:val="20"/>
              </w:rPr>
              <w:t>10</w:t>
            </w:r>
          </w:p>
        </w:tc>
        <w:tc>
          <w:tcPr>
            <w:tcW w:w="1059" w:type="dxa"/>
            <w:tcBorders>
              <w:top w:val="nil"/>
              <w:left w:val="nil"/>
              <w:bottom w:val="single" w:sz="8" w:space="0" w:color="DDDDDD"/>
              <w:right w:val="single" w:sz="8" w:space="0" w:color="DDDDDD"/>
            </w:tcBorders>
            <w:shd w:val="clear" w:color="auto" w:fill="auto"/>
            <w:vAlign w:val="center"/>
          </w:tcPr>
          <w:p w14:paraId="45BDF86C" w14:textId="366BBAE2" w:rsidR="00097466" w:rsidRDefault="00000000">
            <w:pPr>
              <w:spacing w:before="0" w:after="0" w:line="240" w:lineRule="auto"/>
              <w:jc w:val="left"/>
              <w:rPr>
                <w:color w:val="000000"/>
                <w:sz w:val="20"/>
                <w:szCs w:val="20"/>
              </w:rPr>
            </w:pPr>
            <w:r>
              <w:rPr>
                <w:color w:val="000000"/>
                <w:sz w:val="20"/>
                <w:szCs w:val="20"/>
              </w:rPr>
              <w:t>1</w:t>
            </w:r>
            <w:r w:rsidR="00F20250">
              <w:rPr>
                <w:color w:val="000000"/>
                <w:sz w:val="20"/>
                <w:szCs w:val="20"/>
              </w:rPr>
              <w:t>5</w:t>
            </w:r>
          </w:p>
        </w:tc>
        <w:tc>
          <w:tcPr>
            <w:tcW w:w="1059" w:type="dxa"/>
            <w:tcBorders>
              <w:top w:val="nil"/>
              <w:left w:val="nil"/>
              <w:bottom w:val="single" w:sz="8" w:space="0" w:color="DDDDDD"/>
              <w:right w:val="single" w:sz="8" w:space="0" w:color="DDDDDD"/>
            </w:tcBorders>
            <w:shd w:val="clear" w:color="auto" w:fill="auto"/>
            <w:vAlign w:val="center"/>
          </w:tcPr>
          <w:p w14:paraId="23F011B7" w14:textId="55A21AF8" w:rsidR="00097466" w:rsidRDefault="00F20250">
            <w:pPr>
              <w:spacing w:before="0" w:after="0" w:line="240" w:lineRule="auto"/>
              <w:jc w:val="left"/>
              <w:rPr>
                <w:color w:val="000000"/>
                <w:sz w:val="20"/>
                <w:szCs w:val="20"/>
              </w:rPr>
            </w:pPr>
            <w:r>
              <w:rPr>
                <w:color w:val="000000"/>
                <w:sz w:val="20"/>
                <w:szCs w:val="20"/>
              </w:rPr>
              <w:t>10</w:t>
            </w:r>
          </w:p>
        </w:tc>
        <w:tc>
          <w:tcPr>
            <w:tcW w:w="1061" w:type="dxa"/>
            <w:tcBorders>
              <w:top w:val="nil"/>
              <w:left w:val="nil"/>
              <w:bottom w:val="single" w:sz="8" w:space="0" w:color="DDDDDD"/>
              <w:right w:val="single" w:sz="8" w:space="0" w:color="DDDDDD"/>
            </w:tcBorders>
            <w:shd w:val="clear" w:color="auto" w:fill="auto"/>
            <w:vAlign w:val="center"/>
          </w:tcPr>
          <w:p w14:paraId="4BE46216" w14:textId="7A927A41" w:rsidR="00097466" w:rsidRDefault="00000000">
            <w:pPr>
              <w:spacing w:before="0" w:after="0" w:line="240" w:lineRule="auto"/>
              <w:jc w:val="left"/>
              <w:rPr>
                <w:color w:val="000000"/>
                <w:sz w:val="20"/>
                <w:szCs w:val="20"/>
              </w:rPr>
            </w:pPr>
            <w:r>
              <w:rPr>
                <w:color w:val="000000"/>
                <w:sz w:val="20"/>
                <w:szCs w:val="20"/>
              </w:rPr>
              <w:t>1</w:t>
            </w:r>
            <w:r w:rsidR="00F20250">
              <w:rPr>
                <w:color w:val="000000"/>
                <w:sz w:val="20"/>
                <w:szCs w:val="20"/>
              </w:rPr>
              <w:t>0</w:t>
            </w:r>
          </w:p>
        </w:tc>
      </w:tr>
      <w:tr w:rsidR="00097466" w14:paraId="0C10057F" w14:textId="77777777">
        <w:trPr>
          <w:trHeight w:val="397"/>
        </w:trPr>
        <w:tc>
          <w:tcPr>
            <w:tcW w:w="2966" w:type="dxa"/>
            <w:tcBorders>
              <w:top w:val="nil"/>
              <w:left w:val="single" w:sz="8" w:space="0" w:color="DDDDDD"/>
              <w:bottom w:val="single" w:sz="8" w:space="0" w:color="DDDDDD"/>
              <w:right w:val="single" w:sz="8" w:space="0" w:color="DDDDDD"/>
            </w:tcBorders>
            <w:shd w:val="clear" w:color="auto" w:fill="auto"/>
            <w:vAlign w:val="center"/>
          </w:tcPr>
          <w:p w14:paraId="26417F68" w14:textId="77777777" w:rsidR="00097466" w:rsidRDefault="00000000">
            <w:pPr>
              <w:spacing w:before="0" w:after="0" w:line="240" w:lineRule="auto"/>
              <w:jc w:val="left"/>
              <w:rPr>
                <w:color w:val="000000"/>
                <w:sz w:val="20"/>
                <w:szCs w:val="20"/>
              </w:rPr>
            </w:pPr>
            <w:r>
              <w:rPr>
                <w:color w:val="000000"/>
                <w:sz w:val="20"/>
                <w:szCs w:val="20"/>
              </w:rPr>
              <w:t>SLE-DAS (Rem. vs. No rem.)</w:t>
            </w:r>
          </w:p>
        </w:tc>
        <w:tc>
          <w:tcPr>
            <w:tcW w:w="1281" w:type="dxa"/>
            <w:tcBorders>
              <w:top w:val="nil"/>
              <w:left w:val="nil"/>
              <w:bottom w:val="single" w:sz="8" w:space="0" w:color="DDDDDD"/>
              <w:right w:val="single" w:sz="8" w:space="0" w:color="DDDDDD"/>
            </w:tcBorders>
            <w:shd w:val="clear" w:color="auto" w:fill="auto"/>
            <w:vAlign w:val="center"/>
          </w:tcPr>
          <w:p w14:paraId="39C17D91" w14:textId="77777777" w:rsidR="00097466" w:rsidRDefault="00000000">
            <w:pPr>
              <w:spacing w:before="0" w:after="0" w:line="240" w:lineRule="auto"/>
              <w:jc w:val="left"/>
              <w:rPr>
                <w:color w:val="000000"/>
                <w:sz w:val="20"/>
                <w:szCs w:val="20"/>
              </w:rPr>
            </w:pPr>
            <w:r>
              <w:rPr>
                <w:color w:val="000000"/>
                <w:sz w:val="20"/>
                <w:szCs w:val="20"/>
              </w:rPr>
              <w:t>196 / 55</w:t>
            </w:r>
          </w:p>
        </w:tc>
        <w:tc>
          <w:tcPr>
            <w:tcW w:w="1059" w:type="dxa"/>
            <w:tcBorders>
              <w:top w:val="nil"/>
              <w:left w:val="nil"/>
              <w:bottom w:val="single" w:sz="8" w:space="0" w:color="DDDDDD"/>
              <w:right w:val="single" w:sz="8" w:space="0" w:color="DDDDDD"/>
            </w:tcBorders>
            <w:shd w:val="clear" w:color="auto" w:fill="auto"/>
            <w:vAlign w:val="center"/>
          </w:tcPr>
          <w:p w14:paraId="4EFAF3C6" w14:textId="77777777" w:rsidR="00097466" w:rsidRDefault="00000000">
            <w:pPr>
              <w:spacing w:before="0" w:after="0" w:line="240" w:lineRule="auto"/>
              <w:jc w:val="left"/>
              <w:rPr>
                <w:color w:val="000000"/>
                <w:sz w:val="20"/>
                <w:szCs w:val="20"/>
              </w:rPr>
            </w:pPr>
            <w:r>
              <w:rPr>
                <w:color w:val="000000"/>
                <w:sz w:val="20"/>
                <w:szCs w:val="20"/>
              </w:rPr>
              <w:t>30</w:t>
            </w:r>
          </w:p>
        </w:tc>
        <w:tc>
          <w:tcPr>
            <w:tcW w:w="1059" w:type="dxa"/>
            <w:tcBorders>
              <w:top w:val="nil"/>
              <w:left w:val="nil"/>
              <w:bottom w:val="single" w:sz="8" w:space="0" w:color="DDDDDD"/>
              <w:right w:val="single" w:sz="8" w:space="0" w:color="DDDDDD"/>
            </w:tcBorders>
            <w:shd w:val="clear" w:color="auto" w:fill="auto"/>
            <w:vAlign w:val="center"/>
          </w:tcPr>
          <w:p w14:paraId="0C66D371" w14:textId="29406C3E" w:rsidR="00097466" w:rsidRDefault="00301035">
            <w:pPr>
              <w:spacing w:before="0" w:after="0" w:line="240" w:lineRule="auto"/>
              <w:jc w:val="left"/>
              <w:rPr>
                <w:color w:val="000000"/>
                <w:sz w:val="20"/>
                <w:szCs w:val="20"/>
              </w:rPr>
            </w:pPr>
            <w:r>
              <w:rPr>
                <w:color w:val="000000"/>
                <w:sz w:val="20"/>
                <w:szCs w:val="20"/>
              </w:rPr>
              <w:t>30</w:t>
            </w:r>
          </w:p>
        </w:tc>
        <w:tc>
          <w:tcPr>
            <w:tcW w:w="1059" w:type="dxa"/>
            <w:tcBorders>
              <w:top w:val="nil"/>
              <w:left w:val="nil"/>
              <w:bottom w:val="single" w:sz="8" w:space="0" w:color="DDDDDD"/>
              <w:right w:val="single" w:sz="8" w:space="0" w:color="DDDDDD"/>
            </w:tcBorders>
            <w:shd w:val="clear" w:color="auto" w:fill="auto"/>
            <w:vAlign w:val="center"/>
          </w:tcPr>
          <w:p w14:paraId="5FCA47BA" w14:textId="77777777" w:rsidR="00097466" w:rsidRDefault="00000000">
            <w:pPr>
              <w:spacing w:before="0" w:after="0" w:line="240" w:lineRule="auto"/>
              <w:jc w:val="left"/>
              <w:rPr>
                <w:color w:val="000000"/>
                <w:sz w:val="20"/>
                <w:szCs w:val="20"/>
              </w:rPr>
            </w:pPr>
            <w:r>
              <w:rPr>
                <w:color w:val="000000"/>
                <w:sz w:val="20"/>
                <w:szCs w:val="20"/>
              </w:rPr>
              <w:t>5</w:t>
            </w:r>
          </w:p>
        </w:tc>
        <w:tc>
          <w:tcPr>
            <w:tcW w:w="1061" w:type="dxa"/>
            <w:tcBorders>
              <w:top w:val="nil"/>
              <w:left w:val="nil"/>
              <w:bottom w:val="single" w:sz="8" w:space="0" w:color="DDDDDD"/>
              <w:right w:val="single" w:sz="8" w:space="0" w:color="DDDDDD"/>
            </w:tcBorders>
            <w:shd w:val="clear" w:color="auto" w:fill="auto"/>
            <w:vAlign w:val="center"/>
          </w:tcPr>
          <w:p w14:paraId="6E2E94D1" w14:textId="3F22ABBF" w:rsidR="00097466" w:rsidRDefault="00301035">
            <w:pPr>
              <w:spacing w:before="0" w:after="0" w:line="240" w:lineRule="auto"/>
              <w:jc w:val="left"/>
              <w:rPr>
                <w:color w:val="000000"/>
                <w:sz w:val="20"/>
                <w:szCs w:val="20"/>
              </w:rPr>
            </w:pPr>
            <w:r>
              <w:rPr>
                <w:color w:val="000000"/>
                <w:sz w:val="20"/>
                <w:szCs w:val="20"/>
              </w:rPr>
              <w:t>5</w:t>
            </w:r>
          </w:p>
        </w:tc>
      </w:tr>
      <w:tr w:rsidR="00097466" w14:paraId="679FCC1F" w14:textId="77777777">
        <w:trPr>
          <w:trHeight w:val="397"/>
        </w:trPr>
        <w:tc>
          <w:tcPr>
            <w:tcW w:w="2966" w:type="dxa"/>
            <w:tcBorders>
              <w:top w:val="nil"/>
              <w:left w:val="single" w:sz="8" w:space="0" w:color="DDDDDD"/>
              <w:bottom w:val="single" w:sz="8" w:space="0" w:color="DDDDDD"/>
              <w:right w:val="single" w:sz="8" w:space="0" w:color="DDDDDD"/>
            </w:tcBorders>
            <w:shd w:val="clear" w:color="auto" w:fill="auto"/>
            <w:vAlign w:val="center"/>
          </w:tcPr>
          <w:p w14:paraId="5DAF9E72" w14:textId="77777777" w:rsidR="00097466" w:rsidRDefault="00000000">
            <w:pPr>
              <w:spacing w:before="0" w:after="0" w:line="240" w:lineRule="auto"/>
              <w:jc w:val="left"/>
              <w:rPr>
                <w:color w:val="000000"/>
                <w:sz w:val="20"/>
                <w:szCs w:val="20"/>
              </w:rPr>
            </w:pPr>
            <w:r>
              <w:rPr>
                <w:color w:val="000000"/>
                <w:sz w:val="20"/>
                <w:szCs w:val="20"/>
              </w:rPr>
              <w:t>SLICC/SDI (Sin daño vs. Con daño)</w:t>
            </w:r>
          </w:p>
        </w:tc>
        <w:tc>
          <w:tcPr>
            <w:tcW w:w="1281" w:type="dxa"/>
            <w:tcBorders>
              <w:top w:val="nil"/>
              <w:left w:val="nil"/>
              <w:bottom w:val="single" w:sz="8" w:space="0" w:color="DDDDDD"/>
              <w:right w:val="single" w:sz="8" w:space="0" w:color="DDDDDD"/>
            </w:tcBorders>
            <w:shd w:val="clear" w:color="auto" w:fill="auto"/>
            <w:vAlign w:val="center"/>
          </w:tcPr>
          <w:p w14:paraId="355E55EE" w14:textId="77777777" w:rsidR="00097466" w:rsidRDefault="00000000">
            <w:pPr>
              <w:spacing w:before="0" w:after="0" w:line="240" w:lineRule="auto"/>
              <w:jc w:val="left"/>
              <w:rPr>
                <w:color w:val="000000"/>
                <w:sz w:val="20"/>
                <w:szCs w:val="20"/>
              </w:rPr>
            </w:pPr>
            <w:r>
              <w:rPr>
                <w:color w:val="000000"/>
                <w:sz w:val="20"/>
                <w:szCs w:val="20"/>
              </w:rPr>
              <w:t>129 / 122</w:t>
            </w:r>
          </w:p>
        </w:tc>
        <w:tc>
          <w:tcPr>
            <w:tcW w:w="1059" w:type="dxa"/>
            <w:tcBorders>
              <w:top w:val="nil"/>
              <w:left w:val="nil"/>
              <w:bottom w:val="single" w:sz="8" w:space="0" w:color="DDDDDD"/>
              <w:right w:val="single" w:sz="8" w:space="0" w:color="DDDDDD"/>
            </w:tcBorders>
            <w:shd w:val="clear" w:color="auto" w:fill="auto"/>
            <w:vAlign w:val="center"/>
          </w:tcPr>
          <w:p w14:paraId="7F134F1E" w14:textId="77777777" w:rsidR="00097466" w:rsidRDefault="00000000">
            <w:pPr>
              <w:spacing w:before="0" w:after="0" w:line="240" w:lineRule="auto"/>
              <w:jc w:val="left"/>
              <w:rPr>
                <w:color w:val="000000"/>
                <w:sz w:val="20"/>
                <w:szCs w:val="20"/>
              </w:rPr>
            </w:pPr>
            <w:r>
              <w:rPr>
                <w:color w:val="000000"/>
                <w:sz w:val="20"/>
                <w:szCs w:val="20"/>
              </w:rPr>
              <w:t>25</w:t>
            </w:r>
          </w:p>
        </w:tc>
        <w:tc>
          <w:tcPr>
            <w:tcW w:w="1059" w:type="dxa"/>
            <w:tcBorders>
              <w:top w:val="nil"/>
              <w:left w:val="nil"/>
              <w:bottom w:val="single" w:sz="8" w:space="0" w:color="DDDDDD"/>
              <w:right w:val="single" w:sz="8" w:space="0" w:color="DDDDDD"/>
            </w:tcBorders>
            <w:shd w:val="clear" w:color="auto" w:fill="auto"/>
            <w:vAlign w:val="center"/>
          </w:tcPr>
          <w:p w14:paraId="22CF32ED" w14:textId="77777777" w:rsidR="00097466" w:rsidRDefault="00000000">
            <w:pPr>
              <w:spacing w:before="0" w:after="0" w:line="240" w:lineRule="auto"/>
              <w:jc w:val="left"/>
              <w:rPr>
                <w:color w:val="000000"/>
                <w:sz w:val="20"/>
                <w:szCs w:val="20"/>
              </w:rPr>
            </w:pPr>
            <w:r>
              <w:rPr>
                <w:color w:val="000000"/>
                <w:sz w:val="20"/>
                <w:szCs w:val="20"/>
              </w:rPr>
              <w:t>30</w:t>
            </w:r>
          </w:p>
        </w:tc>
        <w:tc>
          <w:tcPr>
            <w:tcW w:w="1059" w:type="dxa"/>
            <w:tcBorders>
              <w:top w:val="nil"/>
              <w:left w:val="nil"/>
              <w:bottom w:val="single" w:sz="8" w:space="0" w:color="DDDDDD"/>
              <w:right w:val="single" w:sz="8" w:space="0" w:color="DDDDDD"/>
            </w:tcBorders>
            <w:shd w:val="clear" w:color="auto" w:fill="auto"/>
            <w:vAlign w:val="center"/>
          </w:tcPr>
          <w:p w14:paraId="01E17FD9" w14:textId="77777777" w:rsidR="00097466" w:rsidRDefault="00000000">
            <w:pPr>
              <w:spacing w:before="0" w:after="0" w:line="240" w:lineRule="auto"/>
              <w:jc w:val="left"/>
              <w:rPr>
                <w:color w:val="000000"/>
                <w:sz w:val="20"/>
                <w:szCs w:val="20"/>
              </w:rPr>
            </w:pPr>
            <w:r>
              <w:rPr>
                <w:color w:val="000000"/>
                <w:sz w:val="20"/>
                <w:szCs w:val="20"/>
              </w:rPr>
              <w:t>5</w:t>
            </w:r>
          </w:p>
        </w:tc>
        <w:tc>
          <w:tcPr>
            <w:tcW w:w="1061" w:type="dxa"/>
            <w:tcBorders>
              <w:top w:val="nil"/>
              <w:left w:val="nil"/>
              <w:bottom w:val="single" w:sz="8" w:space="0" w:color="DDDDDD"/>
              <w:right w:val="single" w:sz="8" w:space="0" w:color="DDDDDD"/>
            </w:tcBorders>
            <w:shd w:val="clear" w:color="auto" w:fill="auto"/>
            <w:vAlign w:val="center"/>
          </w:tcPr>
          <w:p w14:paraId="42F261D4" w14:textId="77777777" w:rsidR="00097466" w:rsidRDefault="00000000">
            <w:pPr>
              <w:spacing w:before="0" w:after="0" w:line="240" w:lineRule="auto"/>
              <w:jc w:val="left"/>
              <w:rPr>
                <w:color w:val="000000"/>
                <w:sz w:val="20"/>
                <w:szCs w:val="20"/>
              </w:rPr>
            </w:pPr>
            <w:r>
              <w:rPr>
                <w:color w:val="000000"/>
                <w:sz w:val="20"/>
                <w:szCs w:val="20"/>
              </w:rPr>
              <w:t>15</w:t>
            </w:r>
          </w:p>
        </w:tc>
      </w:tr>
      <w:tr w:rsidR="00097466" w14:paraId="43AE1B2D" w14:textId="77777777">
        <w:trPr>
          <w:trHeight w:val="397"/>
        </w:trPr>
        <w:tc>
          <w:tcPr>
            <w:tcW w:w="2966" w:type="dxa"/>
            <w:tcBorders>
              <w:top w:val="nil"/>
              <w:left w:val="single" w:sz="8" w:space="0" w:color="DDDDDD"/>
              <w:bottom w:val="single" w:sz="8" w:space="0" w:color="DDDDDD"/>
              <w:right w:val="single" w:sz="8" w:space="0" w:color="DDDDDD"/>
            </w:tcBorders>
            <w:shd w:val="clear" w:color="auto" w:fill="auto"/>
            <w:vAlign w:val="center"/>
          </w:tcPr>
          <w:p w14:paraId="7866A464" w14:textId="77777777" w:rsidR="00097466" w:rsidRDefault="00000000">
            <w:pPr>
              <w:spacing w:before="0" w:after="0" w:line="240" w:lineRule="auto"/>
              <w:jc w:val="left"/>
              <w:rPr>
                <w:color w:val="000000"/>
                <w:sz w:val="20"/>
                <w:szCs w:val="20"/>
              </w:rPr>
            </w:pPr>
            <w:r>
              <w:rPr>
                <w:color w:val="000000"/>
                <w:sz w:val="20"/>
                <w:szCs w:val="20"/>
              </w:rPr>
              <w:t>DORIS (Cumple vs. No cumple)</w:t>
            </w:r>
          </w:p>
        </w:tc>
        <w:tc>
          <w:tcPr>
            <w:tcW w:w="1281" w:type="dxa"/>
            <w:tcBorders>
              <w:top w:val="nil"/>
              <w:left w:val="nil"/>
              <w:bottom w:val="single" w:sz="8" w:space="0" w:color="DDDDDD"/>
              <w:right w:val="single" w:sz="8" w:space="0" w:color="DDDDDD"/>
            </w:tcBorders>
            <w:shd w:val="clear" w:color="auto" w:fill="auto"/>
            <w:vAlign w:val="center"/>
          </w:tcPr>
          <w:p w14:paraId="14BD7615" w14:textId="77777777" w:rsidR="00097466" w:rsidRDefault="00000000">
            <w:pPr>
              <w:spacing w:before="0" w:after="0" w:line="240" w:lineRule="auto"/>
              <w:jc w:val="left"/>
              <w:rPr>
                <w:color w:val="000000"/>
                <w:sz w:val="20"/>
                <w:szCs w:val="20"/>
              </w:rPr>
            </w:pPr>
            <w:r>
              <w:rPr>
                <w:color w:val="000000"/>
                <w:sz w:val="20"/>
                <w:szCs w:val="20"/>
              </w:rPr>
              <w:t>132 / 119</w:t>
            </w:r>
          </w:p>
        </w:tc>
        <w:tc>
          <w:tcPr>
            <w:tcW w:w="1059" w:type="dxa"/>
            <w:tcBorders>
              <w:top w:val="nil"/>
              <w:left w:val="nil"/>
              <w:bottom w:val="single" w:sz="8" w:space="0" w:color="DDDDDD"/>
              <w:right w:val="single" w:sz="8" w:space="0" w:color="DDDDDD"/>
            </w:tcBorders>
            <w:shd w:val="clear" w:color="auto" w:fill="auto"/>
            <w:vAlign w:val="center"/>
          </w:tcPr>
          <w:p w14:paraId="4367D0E1" w14:textId="77777777" w:rsidR="00097466" w:rsidRDefault="00000000">
            <w:pPr>
              <w:spacing w:before="0" w:after="0" w:line="240" w:lineRule="auto"/>
              <w:jc w:val="left"/>
              <w:rPr>
                <w:color w:val="000000"/>
                <w:sz w:val="20"/>
                <w:szCs w:val="20"/>
              </w:rPr>
            </w:pPr>
            <w:r>
              <w:rPr>
                <w:color w:val="000000"/>
                <w:sz w:val="20"/>
                <w:szCs w:val="20"/>
              </w:rPr>
              <w:t>30</w:t>
            </w:r>
          </w:p>
        </w:tc>
        <w:tc>
          <w:tcPr>
            <w:tcW w:w="1059" w:type="dxa"/>
            <w:tcBorders>
              <w:top w:val="nil"/>
              <w:left w:val="nil"/>
              <w:bottom w:val="single" w:sz="8" w:space="0" w:color="DDDDDD"/>
              <w:right w:val="single" w:sz="8" w:space="0" w:color="DDDDDD"/>
            </w:tcBorders>
            <w:shd w:val="clear" w:color="auto" w:fill="auto"/>
            <w:vAlign w:val="center"/>
          </w:tcPr>
          <w:p w14:paraId="00C52BFF" w14:textId="77777777" w:rsidR="00097466" w:rsidRDefault="00000000">
            <w:pPr>
              <w:spacing w:before="0" w:after="0" w:line="240" w:lineRule="auto"/>
              <w:jc w:val="left"/>
              <w:rPr>
                <w:color w:val="000000"/>
                <w:sz w:val="20"/>
                <w:szCs w:val="20"/>
              </w:rPr>
            </w:pPr>
            <w:r>
              <w:rPr>
                <w:color w:val="000000"/>
                <w:sz w:val="20"/>
                <w:szCs w:val="20"/>
              </w:rPr>
              <w:t>10</w:t>
            </w:r>
          </w:p>
        </w:tc>
        <w:tc>
          <w:tcPr>
            <w:tcW w:w="1059" w:type="dxa"/>
            <w:tcBorders>
              <w:top w:val="nil"/>
              <w:left w:val="nil"/>
              <w:bottom w:val="single" w:sz="8" w:space="0" w:color="DDDDDD"/>
              <w:right w:val="single" w:sz="8" w:space="0" w:color="DDDDDD"/>
            </w:tcBorders>
            <w:shd w:val="clear" w:color="auto" w:fill="auto"/>
            <w:vAlign w:val="center"/>
          </w:tcPr>
          <w:p w14:paraId="27358A77" w14:textId="77777777" w:rsidR="00097466" w:rsidRDefault="00000000">
            <w:pPr>
              <w:spacing w:before="0" w:after="0" w:line="240" w:lineRule="auto"/>
              <w:jc w:val="left"/>
              <w:rPr>
                <w:color w:val="000000"/>
                <w:sz w:val="20"/>
                <w:szCs w:val="20"/>
              </w:rPr>
            </w:pPr>
            <w:r>
              <w:rPr>
                <w:color w:val="000000"/>
                <w:sz w:val="20"/>
                <w:szCs w:val="20"/>
              </w:rPr>
              <w:t>12</w:t>
            </w:r>
          </w:p>
        </w:tc>
        <w:tc>
          <w:tcPr>
            <w:tcW w:w="1061" w:type="dxa"/>
            <w:tcBorders>
              <w:top w:val="nil"/>
              <w:left w:val="nil"/>
              <w:bottom w:val="single" w:sz="8" w:space="0" w:color="DDDDDD"/>
              <w:right w:val="single" w:sz="8" w:space="0" w:color="DDDDDD"/>
            </w:tcBorders>
            <w:shd w:val="clear" w:color="auto" w:fill="auto"/>
            <w:vAlign w:val="center"/>
          </w:tcPr>
          <w:p w14:paraId="4C0DACE1" w14:textId="77777777" w:rsidR="00097466" w:rsidRDefault="00000000">
            <w:pPr>
              <w:spacing w:before="0" w:after="0" w:line="240" w:lineRule="auto"/>
              <w:jc w:val="left"/>
              <w:rPr>
                <w:color w:val="000000"/>
                <w:sz w:val="20"/>
                <w:szCs w:val="20"/>
              </w:rPr>
            </w:pPr>
            <w:r>
              <w:rPr>
                <w:color w:val="000000"/>
                <w:sz w:val="20"/>
                <w:szCs w:val="20"/>
              </w:rPr>
              <w:t>10</w:t>
            </w:r>
          </w:p>
        </w:tc>
      </w:tr>
      <w:tr w:rsidR="00097466" w14:paraId="508F703E" w14:textId="77777777">
        <w:trPr>
          <w:trHeight w:val="397"/>
        </w:trPr>
        <w:tc>
          <w:tcPr>
            <w:tcW w:w="2966" w:type="dxa"/>
            <w:tcBorders>
              <w:top w:val="nil"/>
              <w:left w:val="single" w:sz="8" w:space="0" w:color="DDDDDD"/>
              <w:bottom w:val="single" w:sz="4" w:space="0" w:color="D9D9D9"/>
              <w:right w:val="single" w:sz="8" w:space="0" w:color="DDDDDD"/>
            </w:tcBorders>
            <w:shd w:val="clear" w:color="auto" w:fill="auto"/>
            <w:vAlign w:val="center"/>
          </w:tcPr>
          <w:p w14:paraId="09557102" w14:textId="77777777" w:rsidR="00097466" w:rsidRDefault="00000000">
            <w:pPr>
              <w:spacing w:before="0" w:after="0" w:line="240" w:lineRule="auto"/>
              <w:jc w:val="left"/>
              <w:rPr>
                <w:color w:val="000000"/>
                <w:sz w:val="20"/>
                <w:szCs w:val="20"/>
              </w:rPr>
            </w:pPr>
            <w:r>
              <w:rPr>
                <w:color w:val="000000"/>
                <w:sz w:val="20"/>
                <w:szCs w:val="20"/>
              </w:rPr>
              <w:t>Remisión estricta (Sí vs. No)</w:t>
            </w:r>
          </w:p>
        </w:tc>
        <w:tc>
          <w:tcPr>
            <w:tcW w:w="1281" w:type="dxa"/>
            <w:tcBorders>
              <w:top w:val="nil"/>
              <w:left w:val="nil"/>
              <w:bottom w:val="single" w:sz="4" w:space="0" w:color="D9D9D9"/>
              <w:right w:val="single" w:sz="8" w:space="0" w:color="DDDDDD"/>
            </w:tcBorders>
            <w:shd w:val="clear" w:color="auto" w:fill="auto"/>
            <w:vAlign w:val="center"/>
          </w:tcPr>
          <w:p w14:paraId="2DDCFD2B" w14:textId="77777777" w:rsidR="00097466" w:rsidRDefault="00000000">
            <w:pPr>
              <w:spacing w:before="0" w:after="0" w:line="240" w:lineRule="auto"/>
              <w:jc w:val="left"/>
              <w:rPr>
                <w:color w:val="000000"/>
                <w:sz w:val="20"/>
                <w:szCs w:val="20"/>
              </w:rPr>
            </w:pPr>
            <w:r>
              <w:rPr>
                <w:color w:val="000000"/>
                <w:sz w:val="20"/>
                <w:szCs w:val="20"/>
              </w:rPr>
              <w:t>61 / 190</w:t>
            </w:r>
          </w:p>
        </w:tc>
        <w:tc>
          <w:tcPr>
            <w:tcW w:w="1059" w:type="dxa"/>
            <w:tcBorders>
              <w:top w:val="nil"/>
              <w:left w:val="nil"/>
              <w:bottom w:val="single" w:sz="4" w:space="0" w:color="D9D9D9"/>
              <w:right w:val="single" w:sz="8" w:space="0" w:color="DDDDDD"/>
            </w:tcBorders>
            <w:shd w:val="clear" w:color="auto" w:fill="auto"/>
            <w:vAlign w:val="center"/>
          </w:tcPr>
          <w:p w14:paraId="11E9313E" w14:textId="77777777" w:rsidR="00097466" w:rsidRDefault="00000000">
            <w:pPr>
              <w:spacing w:before="0" w:after="0" w:line="240" w:lineRule="auto"/>
              <w:jc w:val="left"/>
              <w:rPr>
                <w:color w:val="000000"/>
                <w:sz w:val="20"/>
                <w:szCs w:val="20"/>
              </w:rPr>
            </w:pPr>
            <w:r>
              <w:rPr>
                <w:color w:val="000000"/>
                <w:sz w:val="20"/>
                <w:szCs w:val="20"/>
              </w:rPr>
              <w:t>30</w:t>
            </w:r>
          </w:p>
        </w:tc>
        <w:tc>
          <w:tcPr>
            <w:tcW w:w="1059" w:type="dxa"/>
            <w:tcBorders>
              <w:top w:val="nil"/>
              <w:left w:val="nil"/>
              <w:bottom w:val="single" w:sz="4" w:space="0" w:color="D9D9D9"/>
              <w:right w:val="single" w:sz="8" w:space="0" w:color="DDDDDD"/>
            </w:tcBorders>
            <w:shd w:val="clear" w:color="auto" w:fill="auto"/>
            <w:vAlign w:val="center"/>
          </w:tcPr>
          <w:p w14:paraId="3A12CA1A" w14:textId="77777777" w:rsidR="00097466" w:rsidRDefault="00000000">
            <w:pPr>
              <w:spacing w:before="0" w:after="0" w:line="240" w:lineRule="auto"/>
              <w:jc w:val="left"/>
              <w:rPr>
                <w:color w:val="000000"/>
                <w:sz w:val="20"/>
                <w:szCs w:val="20"/>
              </w:rPr>
            </w:pPr>
            <w:r>
              <w:rPr>
                <w:color w:val="000000"/>
                <w:sz w:val="20"/>
                <w:szCs w:val="20"/>
              </w:rPr>
              <w:t>25</w:t>
            </w:r>
          </w:p>
        </w:tc>
        <w:tc>
          <w:tcPr>
            <w:tcW w:w="1059" w:type="dxa"/>
            <w:tcBorders>
              <w:top w:val="nil"/>
              <w:left w:val="nil"/>
              <w:bottom w:val="single" w:sz="4" w:space="0" w:color="D9D9D9"/>
              <w:right w:val="single" w:sz="8" w:space="0" w:color="DDDDDD"/>
            </w:tcBorders>
            <w:shd w:val="clear" w:color="auto" w:fill="auto"/>
            <w:vAlign w:val="center"/>
          </w:tcPr>
          <w:p w14:paraId="7DE01238" w14:textId="77777777" w:rsidR="00097466" w:rsidRDefault="00000000">
            <w:pPr>
              <w:spacing w:before="0" w:after="0" w:line="240" w:lineRule="auto"/>
              <w:jc w:val="left"/>
              <w:rPr>
                <w:color w:val="000000"/>
                <w:sz w:val="20"/>
                <w:szCs w:val="20"/>
              </w:rPr>
            </w:pPr>
            <w:r>
              <w:rPr>
                <w:color w:val="000000"/>
                <w:sz w:val="20"/>
                <w:szCs w:val="20"/>
              </w:rPr>
              <w:t>5</w:t>
            </w:r>
          </w:p>
        </w:tc>
        <w:tc>
          <w:tcPr>
            <w:tcW w:w="1061" w:type="dxa"/>
            <w:tcBorders>
              <w:top w:val="nil"/>
              <w:left w:val="nil"/>
              <w:bottom w:val="single" w:sz="4" w:space="0" w:color="D9D9D9"/>
              <w:right w:val="single" w:sz="8" w:space="0" w:color="DDDDDD"/>
            </w:tcBorders>
            <w:shd w:val="clear" w:color="auto" w:fill="auto"/>
            <w:vAlign w:val="center"/>
          </w:tcPr>
          <w:p w14:paraId="1827F930" w14:textId="77777777" w:rsidR="00097466" w:rsidRDefault="00000000">
            <w:pPr>
              <w:keepNext/>
              <w:spacing w:before="0" w:after="0" w:line="240" w:lineRule="auto"/>
              <w:jc w:val="left"/>
              <w:rPr>
                <w:color w:val="000000"/>
                <w:sz w:val="20"/>
                <w:szCs w:val="20"/>
              </w:rPr>
            </w:pPr>
            <w:r>
              <w:rPr>
                <w:color w:val="000000"/>
                <w:sz w:val="20"/>
                <w:szCs w:val="20"/>
              </w:rPr>
              <w:t>5</w:t>
            </w:r>
          </w:p>
        </w:tc>
      </w:tr>
      <w:tr w:rsidR="00097466" w14:paraId="71512B04" w14:textId="77777777">
        <w:trPr>
          <w:trHeight w:val="397"/>
        </w:trPr>
        <w:tc>
          <w:tcPr>
            <w:tcW w:w="8485" w:type="dxa"/>
            <w:gridSpan w:val="6"/>
            <w:tcBorders>
              <w:top w:val="single" w:sz="4" w:space="0" w:color="D9D9D9"/>
              <w:left w:val="single" w:sz="4" w:space="0" w:color="D9D9D9"/>
              <w:bottom w:val="single" w:sz="4" w:space="0" w:color="D9D9D9"/>
              <w:right w:val="single" w:sz="4" w:space="0" w:color="D9D9D9"/>
            </w:tcBorders>
            <w:shd w:val="clear" w:color="auto" w:fill="auto"/>
            <w:vAlign w:val="center"/>
          </w:tcPr>
          <w:p w14:paraId="29D1D124" w14:textId="77777777" w:rsidR="00097466" w:rsidRDefault="00000000">
            <w:pPr>
              <w:spacing w:before="120" w:after="120" w:line="240" w:lineRule="auto"/>
              <w:rPr>
                <w:color w:val="000000"/>
                <w:sz w:val="20"/>
                <w:szCs w:val="20"/>
              </w:rPr>
            </w:pPr>
            <w:r>
              <w:rPr>
                <w:color w:val="000000"/>
                <w:sz w:val="18"/>
                <w:szCs w:val="18"/>
              </w:rPr>
              <w:t xml:space="preserve">Trans = bloque transcriptómico (ISGs); </w:t>
            </w:r>
            <w:proofErr w:type="spellStart"/>
            <w:r>
              <w:rPr>
                <w:color w:val="000000"/>
                <w:sz w:val="18"/>
                <w:szCs w:val="18"/>
              </w:rPr>
              <w:t>Prot</w:t>
            </w:r>
            <w:proofErr w:type="spellEnd"/>
            <w:r>
              <w:rPr>
                <w:color w:val="000000"/>
                <w:sz w:val="18"/>
                <w:szCs w:val="18"/>
              </w:rPr>
              <w:t xml:space="preserve"> = bloque proteómico sérico. </w:t>
            </w:r>
            <w:proofErr w:type="spellStart"/>
            <w:r>
              <w:rPr>
                <w:color w:val="000000"/>
                <w:sz w:val="18"/>
                <w:szCs w:val="18"/>
              </w:rPr>
              <w:t>keepX</w:t>
            </w:r>
            <w:proofErr w:type="spellEnd"/>
            <w:r>
              <w:rPr>
                <w:color w:val="000000"/>
                <w:sz w:val="18"/>
                <w:szCs w:val="18"/>
              </w:rPr>
              <w:t xml:space="preserve"> seleccionado mediante </w:t>
            </w:r>
            <w:proofErr w:type="spellStart"/>
            <w:proofErr w:type="gramStart"/>
            <w:r>
              <w:rPr>
                <w:color w:val="000000"/>
                <w:sz w:val="18"/>
                <w:szCs w:val="18"/>
              </w:rPr>
              <w:t>tune.block</w:t>
            </w:r>
            <w:proofErr w:type="gramEnd"/>
            <w:r>
              <w:rPr>
                <w:color w:val="000000"/>
                <w:sz w:val="18"/>
                <w:szCs w:val="18"/>
              </w:rPr>
              <w:t>.splsda</w:t>
            </w:r>
            <w:proofErr w:type="spellEnd"/>
            <w:r>
              <w:rPr>
                <w:color w:val="000000"/>
                <w:sz w:val="18"/>
                <w:szCs w:val="18"/>
              </w:rPr>
              <w:t xml:space="preserve"> con CV M-</w:t>
            </w:r>
            <w:proofErr w:type="spellStart"/>
            <w:r>
              <w:rPr>
                <w:color w:val="000000"/>
                <w:sz w:val="18"/>
                <w:szCs w:val="18"/>
              </w:rPr>
              <w:t>fold</w:t>
            </w:r>
            <w:proofErr w:type="spellEnd"/>
            <w:r>
              <w:rPr>
                <w:color w:val="000000"/>
                <w:sz w:val="18"/>
                <w:szCs w:val="18"/>
              </w:rPr>
              <w:t xml:space="preserve"> (M = 5, 10 repeticiones), criterio </w:t>
            </w:r>
            <w:proofErr w:type="spellStart"/>
            <w:r>
              <w:rPr>
                <w:color w:val="000000"/>
                <w:sz w:val="18"/>
                <w:szCs w:val="18"/>
              </w:rPr>
              <w:t>centroids.dist</w:t>
            </w:r>
            <w:proofErr w:type="spellEnd"/>
            <w:r>
              <w:rPr>
                <w:color w:val="000000"/>
                <w:sz w:val="18"/>
                <w:szCs w:val="18"/>
              </w:rPr>
              <w:t>.</w:t>
            </w:r>
          </w:p>
        </w:tc>
      </w:tr>
    </w:tbl>
    <w:p w14:paraId="51EC2998" w14:textId="0864490B" w:rsidR="00097466" w:rsidRDefault="002A3090" w:rsidP="00C67F76">
      <w:pPr>
        <w:pStyle w:val="Descripcin"/>
        <w:rPr>
          <w:color w:val="000000"/>
          <w:szCs w:val="20"/>
        </w:rPr>
      </w:pPr>
      <w:bookmarkStart w:id="159" w:name="_Toc230792265"/>
      <w:r>
        <w:t xml:space="preserve">Tabla </w:t>
      </w:r>
      <w:fldSimple w:instr=" SEQ Tabla \* ARABIC ">
        <w:r w:rsidR="00716AEA">
          <w:rPr>
            <w:noProof/>
          </w:rPr>
          <w:t>35</w:t>
        </w:r>
      </w:fldSimple>
      <w:r>
        <w:t xml:space="preserve">. </w:t>
      </w:r>
      <w:r w:rsidRPr="0042367E">
        <w:t xml:space="preserve">Configuración de los cinco modelos DIABLO: distribución de clases y </w:t>
      </w:r>
      <w:proofErr w:type="spellStart"/>
      <w:r w:rsidRPr="0042367E">
        <w:t>keepX</w:t>
      </w:r>
      <w:proofErr w:type="spellEnd"/>
      <w:r w:rsidRPr="0042367E">
        <w:t xml:space="preserve"> óptimo.</w:t>
      </w:r>
      <w:bookmarkEnd w:id="159"/>
    </w:p>
    <w:p w14:paraId="6C0490D8" w14:textId="6AE308D1" w:rsidR="00097466" w:rsidRDefault="006871D1">
      <w:r>
        <w:t>Tal y como muestra la tabla 36, e</w:t>
      </w:r>
      <w:r w:rsidR="00000000">
        <w:t xml:space="preserve">n todos los modelos el </w:t>
      </w:r>
      <w:proofErr w:type="spellStart"/>
      <w:r w:rsidR="00000000">
        <w:t>Balanced</w:t>
      </w:r>
      <w:proofErr w:type="spellEnd"/>
      <w:r w:rsidR="00000000">
        <w:t xml:space="preserve"> Error </w:t>
      </w:r>
      <w:proofErr w:type="spellStart"/>
      <w:r w:rsidR="00000000">
        <w:t>Rate</w:t>
      </w:r>
      <w:proofErr w:type="spellEnd"/>
      <w:r w:rsidR="00000000">
        <w:t xml:space="preserve"> (BER) se mantuvo en el rango 0,40–0,45 independientemente del número de componentes evaluados (1 a 5), lo que refleja una capacidad discriminativa global limitada de los bloques </w:t>
      </w:r>
      <w:proofErr w:type="spellStart"/>
      <w:r w:rsidR="00000000">
        <w:t>ómicos</w:t>
      </w:r>
      <w:proofErr w:type="spellEnd"/>
      <w:r w:rsidR="00000000">
        <w:t xml:space="preserve"> para separar los estados clínicos definidos por los distintos índices. Estos valores de BER, ligeramente </w:t>
      </w:r>
      <w:r w:rsidR="00055A40">
        <w:t>inferiores</w:t>
      </w:r>
      <w:r w:rsidR="00000000">
        <w:t xml:space="preserve"> a la clasificación aleatoria (0,50 para dos clases balanceadas), son coherentes con la naturaleza heterogénea de la cohorte y con el hecho de que ninguno de los desenlaces está determinado exclusivamente por la firma de IFN-I ni por el perfil proteómico sérico considerados de forma aislada.</w:t>
      </w:r>
      <w:r w:rsidR="00C02D76">
        <w:t xml:space="preserve"> </w:t>
      </w:r>
    </w:p>
    <w:tbl>
      <w:tblPr>
        <w:tblW w:w="5000" w:type="pct"/>
        <w:tblCellMar>
          <w:left w:w="70" w:type="dxa"/>
          <w:right w:w="70" w:type="dxa"/>
        </w:tblCellMar>
        <w:tblLook w:val="04A0" w:firstRow="1" w:lastRow="0" w:firstColumn="1" w:lastColumn="0" w:noHBand="0" w:noVBand="1"/>
      </w:tblPr>
      <w:tblGrid>
        <w:gridCol w:w="4242"/>
        <w:gridCol w:w="4243"/>
      </w:tblGrid>
      <w:tr w:rsidR="001D3435" w:rsidRPr="001D3435" w14:paraId="15CF3D3D" w14:textId="77777777" w:rsidTr="001D3435">
        <w:trPr>
          <w:trHeight w:val="397"/>
        </w:trPr>
        <w:tc>
          <w:tcPr>
            <w:tcW w:w="2500" w:type="pct"/>
            <w:tcBorders>
              <w:top w:val="single" w:sz="8" w:space="0" w:color="DDDDDD"/>
              <w:left w:val="single" w:sz="8" w:space="0" w:color="DDDDDD"/>
              <w:bottom w:val="single" w:sz="8" w:space="0" w:color="DDDDDD"/>
              <w:right w:val="single" w:sz="8" w:space="0" w:color="DDDDDD"/>
            </w:tcBorders>
            <w:shd w:val="clear" w:color="000000" w:fill="F2F2F2"/>
            <w:vAlign w:val="center"/>
            <w:hideMark/>
          </w:tcPr>
          <w:p w14:paraId="23BE6A87" w14:textId="77777777" w:rsidR="001D3435" w:rsidRPr="001D3435" w:rsidRDefault="001D3435" w:rsidP="001D3435">
            <w:pPr>
              <w:spacing w:before="0" w:after="0" w:line="240" w:lineRule="auto"/>
              <w:jc w:val="left"/>
              <w:rPr>
                <w:rFonts w:eastAsia="Times New Roman"/>
                <w:b/>
                <w:bCs/>
                <w:color w:val="000000"/>
                <w:sz w:val="20"/>
                <w:szCs w:val="20"/>
                <w:lang w:val="es-ES"/>
              </w:rPr>
            </w:pPr>
            <w:r w:rsidRPr="001D3435">
              <w:rPr>
                <w:rFonts w:eastAsia="Times New Roman"/>
                <w:b/>
                <w:bCs/>
                <w:color w:val="000000"/>
                <w:sz w:val="20"/>
                <w:szCs w:val="20"/>
                <w:lang w:val="es-ES"/>
              </w:rPr>
              <w:t>Variable respuesta</w:t>
            </w:r>
          </w:p>
        </w:tc>
        <w:tc>
          <w:tcPr>
            <w:tcW w:w="2500" w:type="pct"/>
            <w:tcBorders>
              <w:top w:val="single" w:sz="8" w:space="0" w:color="DDDDDD"/>
              <w:left w:val="nil"/>
              <w:bottom w:val="single" w:sz="8" w:space="0" w:color="DDDDDD"/>
              <w:right w:val="single" w:sz="8" w:space="0" w:color="DDDDDD"/>
            </w:tcBorders>
            <w:shd w:val="clear" w:color="000000" w:fill="F2F2F2"/>
            <w:vAlign w:val="center"/>
            <w:hideMark/>
          </w:tcPr>
          <w:p w14:paraId="5B097B62" w14:textId="77777777" w:rsidR="001D3435" w:rsidRPr="001D3435" w:rsidRDefault="001D3435" w:rsidP="001D3435">
            <w:pPr>
              <w:spacing w:before="0" w:after="0" w:line="240" w:lineRule="auto"/>
              <w:jc w:val="left"/>
              <w:rPr>
                <w:rFonts w:eastAsia="Times New Roman"/>
                <w:b/>
                <w:bCs/>
                <w:color w:val="000000"/>
                <w:sz w:val="20"/>
                <w:szCs w:val="20"/>
                <w:lang w:val="es-ES"/>
              </w:rPr>
            </w:pPr>
            <w:r w:rsidRPr="001D3435">
              <w:rPr>
                <w:rFonts w:eastAsia="Times New Roman"/>
                <w:b/>
                <w:bCs/>
                <w:color w:val="000000"/>
                <w:sz w:val="20"/>
                <w:szCs w:val="20"/>
                <w:lang w:val="es-ES"/>
              </w:rPr>
              <w:t>BER centroides</w:t>
            </w:r>
          </w:p>
        </w:tc>
      </w:tr>
      <w:tr w:rsidR="001D3435" w:rsidRPr="001D3435" w14:paraId="4B88AAC9" w14:textId="77777777" w:rsidTr="001D3435">
        <w:trPr>
          <w:trHeight w:val="397"/>
        </w:trPr>
        <w:tc>
          <w:tcPr>
            <w:tcW w:w="2500" w:type="pct"/>
            <w:tcBorders>
              <w:top w:val="nil"/>
              <w:left w:val="single" w:sz="8" w:space="0" w:color="DDDDDD"/>
              <w:bottom w:val="single" w:sz="8" w:space="0" w:color="DDDDDD"/>
              <w:right w:val="single" w:sz="8" w:space="0" w:color="DDDDDD"/>
            </w:tcBorders>
            <w:shd w:val="clear" w:color="auto" w:fill="auto"/>
            <w:vAlign w:val="center"/>
            <w:hideMark/>
          </w:tcPr>
          <w:p w14:paraId="4A6D1072" w14:textId="77777777" w:rsidR="001D3435" w:rsidRPr="001D3435" w:rsidRDefault="001D3435" w:rsidP="001D3435">
            <w:pPr>
              <w:spacing w:before="0" w:after="0" w:line="240" w:lineRule="auto"/>
              <w:jc w:val="left"/>
              <w:rPr>
                <w:rFonts w:eastAsia="Times New Roman"/>
                <w:b/>
                <w:bCs/>
                <w:color w:val="000000"/>
                <w:sz w:val="20"/>
                <w:szCs w:val="20"/>
                <w:lang w:val="es-ES"/>
              </w:rPr>
            </w:pPr>
            <w:r w:rsidRPr="001D3435">
              <w:rPr>
                <w:rFonts w:eastAsia="Times New Roman"/>
                <w:b/>
                <w:bCs/>
                <w:color w:val="000000"/>
                <w:sz w:val="20"/>
                <w:szCs w:val="20"/>
                <w:lang w:val="es-ES"/>
              </w:rPr>
              <w:t>SLE-DAS</w:t>
            </w:r>
          </w:p>
        </w:tc>
        <w:tc>
          <w:tcPr>
            <w:tcW w:w="2500" w:type="pct"/>
            <w:tcBorders>
              <w:top w:val="nil"/>
              <w:left w:val="nil"/>
              <w:bottom w:val="single" w:sz="8" w:space="0" w:color="DDDDDD"/>
              <w:right w:val="single" w:sz="8" w:space="0" w:color="DDDDDD"/>
            </w:tcBorders>
            <w:shd w:val="clear" w:color="auto" w:fill="auto"/>
            <w:vAlign w:val="center"/>
            <w:hideMark/>
          </w:tcPr>
          <w:p w14:paraId="551CC399" w14:textId="77777777" w:rsidR="001D3435" w:rsidRPr="001D3435" w:rsidRDefault="001D3435" w:rsidP="001D3435">
            <w:pPr>
              <w:spacing w:before="0" w:after="0" w:line="240" w:lineRule="auto"/>
              <w:jc w:val="left"/>
              <w:rPr>
                <w:rFonts w:eastAsia="Times New Roman"/>
                <w:color w:val="000000"/>
                <w:sz w:val="20"/>
                <w:szCs w:val="20"/>
                <w:lang w:val="es-ES"/>
              </w:rPr>
            </w:pPr>
            <w:r w:rsidRPr="001D3435">
              <w:rPr>
                <w:rFonts w:eastAsia="Times New Roman"/>
                <w:color w:val="000000"/>
                <w:sz w:val="20"/>
                <w:szCs w:val="20"/>
                <w:lang w:val="es-ES"/>
              </w:rPr>
              <w:t xml:space="preserve">0.398 </w:t>
            </w:r>
          </w:p>
        </w:tc>
      </w:tr>
      <w:tr w:rsidR="001D3435" w:rsidRPr="001D3435" w14:paraId="4ED0652A" w14:textId="77777777" w:rsidTr="001D3435">
        <w:trPr>
          <w:trHeight w:val="397"/>
        </w:trPr>
        <w:tc>
          <w:tcPr>
            <w:tcW w:w="2500" w:type="pct"/>
            <w:tcBorders>
              <w:top w:val="nil"/>
              <w:left w:val="single" w:sz="8" w:space="0" w:color="DDDDDD"/>
              <w:bottom w:val="single" w:sz="8" w:space="0" w:color="DDDDDD"/>
              <w:right w:val="single" w:sz="8" w:space="0" w:color="DDDDDD"/>
            </w:tcBorders>
            <w:shd w:val="clear" w:color="auto" w:fill="auto"/>
            <w:vAlign w:val="center"/>
            <w:hideMark/>
          </w:tcPr>
          <w:p w14:paraId="550CB191" w14:textId="77777777" w:rsidR="001D3435" w:rsidRPr="001D3435" w:rsidRDefault="001D3435" w:rsidP="001D3435">
            <w:pPr>
              <w:spacing w:before="0" w:after="0" w:line="240" w:lineRule="auto"/>
              <w:jc w:val="left"/>
              <w:rPr>
                <w:rFonts w:eastAsia="Times New Roman"/>
                <w:b/>
                <w:bCs/>
                <w:color w:val="000000"/>
                <w:sz w:val="20"/>
                <w:szCs w:val="20"/>
                <w:lang w:val="es-ES"/>
              </w:rPr>
            </w:pPr>
            <w:r w:rsidRPr="001D3435">
              <w:rPr>
                <w:rFonts w:eastAsia="Times New Roman"/>
                <w:b/>
                <w:bCs/>
                <w:color w:val="000000"/>
                <w:sz w:val="20"/>
                <w:szCs w:val="20"/>
                <w:lang w:val="es-ES"/>
              </w:rPr>
              <w:t>SLICC-SDI</w:t>
            </w:r>
          </w:p>
        </w:tc>
        <w:tc>
          <w:tcPr>
            <w:tcW w:w="2500" w:type="pct"/>
            <w:tcBorders>
              <w:top w:val="nil"/>
              <w:left w:val="nil"/>
              <w:bottom w:val="single" w:sz="8" w:space="0" w:color="DDDDDD"/>
              <w:right w:val="single" w:sz="8" w:space="0" w:color="DDDDDD"/>
            </w:tcBorders>
            <w:shd w:val="clear" w:color="auto" w:fill="auto"/>
            <w:vAlign w:val="center"/>
            <w:hideMark/>
          </w:tcPr>
          <w:p w14:paraId="6304EBA1" w14:textId="77777777" w:rsidR="001D3435" w:rsidRPr="001D3435" w:rsidRDefault="001D3435" w:rsidP="001D3435">
            <w:pPr>
              <w:spacing w:before="0" w:after="0" w:line="240" w:lineRule="auto"/>
              <w:jc w:val="left"/>
              <w:rPr>
                <w:rFonts w:eastAsia="Times New Roman"/>
                <w:color w:val="000000"/>
                <w:sz w:val="20"/>
                <w:szCs w:val="20"/>
                <w:lang w:val="es-ES"/>
              </w:rPr>
            </w:pPr>
            <w:r w:rsidRPr="001D3435">
              <w:rPr>
                <w:rFonts w:eastAsia="Times New Roman"/>
                <w:color w:val="000000"/>
                <w:sz w:val="20"/>
                <w:szCs w:val="20"/>
                <w:lang w:val="es-ES"/>
              </w:rPr>
              <w:t>0.417</w:t>
            </w:r>
          </w:p>
        </w:tc>
      </w:tr>
      <w:tr w:rsidR="001D3435" w:rsidRPr="001D3435" w14:paraId="3F5E1A47" w14:textId="77777777" w:rsidTr="001D3435">
        <w:trPr>
          <w:trHeight w:val="397"/>
        </w:trPr>
        <w:tc>
          <w:tcPr>
            <w:tcW w:w="2500" w:type="pct"/>
            <w:tcBorders>
              <w:top w:val="nil"/>
              <w:left w:val="single" w:sz="8" w:space="0" w:color="DDDDDD"/>
              <w:bottom w:val="single" w:sz="8" w:space="0" w:color="DDDDDD"/>
              <w:right w:val="single" w:sz="8" w:space="0" w:color="DDDDDD"/>
            </w:tcBorders>
            <w:shd w:val="clear" w:color="auto" w:fill="auto"/>
            <w:vAlign w:val="center"/>
            <w:hideMark/>
          </w:tcPr>
          <w:p w14:paraId="2BC5E8C1" w14:textId="77777777" w:rsidR="001D3435" w:rsidRPr="001D3435" w:rsidRDefault="001D3435" w:rsidP="001D3435">
            <w:pPr>
              <w:spacing w:before="0" w:after="0" w:line="240" w:lineRule="auto"/>
              <w:jc w:val="left"/>
              <w:rPr>
                <w:rFonts w:eastAsia="Times New Roman"/>
                <w:b/>
                <w:bCs/>
                <w:color w:val="000000"/>
                <w:sz w:val="20"/>
                <w:szCs w:val="20"/>
                <w:lang w:val="es-ES"/>
              </w:rPr>
            </w:pPr>
            <w:r w:rsidRPr="001D3435">
              <w:rPr>
                <w:rFonts w:eastAsia="Times New Roman"/>
                <w:b/>
                <w:bCs/>
                <w:color w:val="000000"/>
                <w:sz w:val="20"/>
                <w:szCs w:val="20"/>
                <w:lang w:val="es-ES"/>
              </w:rPr>
              <w:t>Remisión estricta</w:t>
            </w:r>
          </w:p>
        </w:tc>
        <w:tc>
          <w:tcPr>
            <w:tcW w:w="2500" w:type="pct"/>
            <w:tcBorders>
              <w:top w:val="nil"/>
              <w:left w:val="nil"/>
              <w:bottom w:val="single" w:sz="8" w:space="0" w:color="DDDDDD"/>
              <w:right w:val="single" w:sz="8" w:space="0" w:color="DDDDDD"/>
            </w:tcBorders>
            <w:shd w:val="clear" w:color="auto" w:fill="auto"/>
            <w:vAlign w:val="center"/>
            <w:hideMark/>
          </w:tcPr>
          <w:p w14:paraId="627F0E8D" w14:textId="77777777" w:rsidR="001D3435" w:rsidRPr="001D3435" w:rsidRDefault="001D3435" w:rsidP="001D3435">
            <w:pPr>
              <w:spacing w:before="0" w:after="0" w:line="240" w:lineRule="auto"/>
              <w:jc w:val="left"/>
              <w:rPr>
                <w:rFonts w:eastAsia="Times New Roman"/>
                <w:color w:val="000000"/>
                <w:sz w:val="20"/>
                <w:szCs w:val="20"/>
                <w:lang w:val="es-ES"/>
              </w:rPr>
            </w:pPr>
            <w:r w:rsidRPr="001D3435">
              <w:rPr>
                <w:rFonts w:eastAsia="Times New Roman"/>
                <w:color w:val="000000"/>
                <w:sz w:val="20"/>
                <w:szCs w:val="20"/>
                <w:lang w:val="es-ES"/>
              </w:rPr>
              <w:t>0.442</w:t>
            </w:r>
          </w:p>
        </w:tc>
      </w:tr>
      <w:tr w:rsidR="001D3435" w:rsidRPr="001D3435" w14:paraId="763299DA" w14:textId="77777777" w:rsidTr="001D3435">
        <w:trPr>
          <w:trHeight w:val="397"/>
        </w:trPr>
        <w:tc>
          <w:tcPr>
            <w:tcW w:w="2500" w:type="pct"/>
            <w:tcBorders>
              <w:top w:val="nil"/>
              <w:left w:val="single" w:sz="8" w:space="0" w:color="DDDDDD"/>
              <w:bottom w:val="single" w:sz="8" w:space="0" w:color="DDDDDD"/>
              <w:right w:val="single" w:sz="8" w:space="0" w:color="DDDDDD"/>
            </w:tcBorders>
            <w:shd w:val="clear" w:color="auto" w:fill="auto"/>
            <w:vAlign w:val="center"/>
            <w:hideMark/>
          </w:tcPr>
          <w:p w14:paraId="1822F494" w14:textId="77777777" w:rsidR="001D3435" w:rsidRPr="001D3435" w:rsidRDefault="001D3435" w:rsidP="001D3435">
            <w:pPr>
              <w:spacing w:before="0" w:after="0" w:line="240" w:lineRule="auto"/>
              <w:jc w:val="left"/>
              <w:rPr>
                <w:rFonts w:eastAsia="Times New Roman"/>
                <w:b/>
                <w:bCs/>
                <w:color w:val="000000"/>
                <w:sz w:val="20"/>
                <w:szCs w:val="20"/>
                <w:lang w:val="es-ES"/>
              </w:rPr>
            </w:pPr>
            <w:r w:rsidRPr="001D3435">
              <w:rPr>
                <w:rFonts w:eastAsia="Times New Roman"/>
                <w:b/>
                <w:bCs/>
                <w:color w:val="000000"/>
                <w:sz w:val="20"/>
                <w:szCs w:val="20"/>
                <w:lang w:val="es-ES"/>
              </w:rPr>
              <w:t>DORIS</w:t>
            </w:r>
          </w:p>
        </w:tc>
        <w:tc>
          <w:tcPr>
            <w:tcW w:w="2500" w:type="pct"/>
            <w:tcBorders>
              <w:top w:val="nil"/>
              <w:left w:val="nil"/>
              <w:bottom w:val="single" w:sz="8" w:space="0" w:color="DDDDDD"/>
              <w:right w:val="single" w:sz="8" w:space="0" w:color="DDDDDD"/>
            </w:tcBorders>
            <w:shd w:val="clear" w:color="auto" w:fill="auto"/>
            <w:vAlign w:val="center"/>
            <w:hideMark/>
          </w:tcPr>
          <w:p w14:paraId="100DA2FE" w14:textId="77777777" w:rsidR="001D3435" w:rsidRPr="001D3435" w:rsidRDefault="001D3435" w:rsidP="001D3435">
            <w:pPr>
              <w:spacing w:before="0" w:after="0" w:line="240" w:lineRule="auto"/>
              <w:jc w:val="left"/>
              <w:rPr>
                <w:rFonts w:eastAsia="Times New Roman"/>
                <w:color w:val="000000"/>
                <w:sz w:val="20"/>
                <w:szCs w:val="20"/>
                <w:lang w:val="es-ES"/>
              </w:rPr>
            </w:pPr>
            <w:r w:rsidRPr="001D3435">
              <w:rPr>
                <w:rFonts w:eastAsia="Times New Roman"/>
                <w:color w:val="000000"/>
                <w:sz w:val="20"/>
                <w:szCs w:val="20"/>
                <w:lang w:val="es-ES"/>
              </w:rPr>
              <w:t>0.446</w:t>
            </w:r>
          </w:p>
        </w:tc>
      </w:tr>
      <w:tr w:rsidR="001D3435" w:rsidRPr="001D3435" w14:paraId="0A2DC58D" w14:textId="77777777" w:rsidTr="001D3435">
        <w:trPr>
          <w:trHeight w:val="397"/>
        </w:trPr>
        <w:tc>
          <w:tcPr>
            <w:tcW w:w="2500" w:type="pct"/>
            <w:tcBorders>
              <w:top w:val="nil"/>
              <w:left w:val="single" w:sz="8" w:space="0" w:color="DDDDDD"/>
              <w:bottom w:val="single" w:sz="8" w:space="0" w:color="DDDDDD"/>
              <w:right w:val="single" w:sz="8" w:space="0" w:color="DDDDDD"/>
            </w:tcBorders>
            <w:shd w:val="clear" w:color="auto" w:fill="auto"/>
            <w:vAlign w:val="center"/>
            <w:hideMark/>
          </w:tcPr>
          <w:p w14:paraId="0E452726" w14:textId="77777777" w:rsidR="001D3435" w:rsidRPr="001D3435" w:rsidRDefault="001D3435" w:rsidP="001D3435">
            <w:pPr>
              <w:spacing w:before="0" w:after="0" w:line="240" w:lineRule="auto"/>
              <w:jc w:val="left"/>
              <w:rPr>
                <w:rFonts w:eastAsia="Times New Roman"/>
                <w:b/>
                <w:bCs/>
                <w:color w:val="000000"/>
                <w:sz w:val="20"/>
                <w:szCs w:val="20"/>
                <w:lang w:val="es-ES"/>
              </w:rPr>
            </w:pPr>
            <w:r w:rsidRPr="001D3435">
              <w:rPr>
                <w:rFonts w:eastAsia="Times New Roman"/>
                <w:b/>
                <w:bCs/>
                <w:color w:val="000000"/>
                <w:sz w:val="20"/>
                <w:szCs w:val="20"/>
                <w:lang w:val="es-ES"/>
              </w:rPr>
              <w:t>SLEDAI-2K</w:t>
            </w:r>
          </w:p>
        </w:tc>
        <w:tc>
          <w:tcPr>
            <w:tcW w:w="2500" w:type="pct"/>
            <w:tcBorders>
              <w:top w:val="nil"/>
              <w:left w:val="nil"/>
              <w:bottom w:val="single" w:sz="8" w:space="0" w:color="DDDDDD"/>
              <w:right w:val="single" w:sz="8" w:space="0" w:color="DDDDDD"/>
            </w:tcBorders>
            <w:shd w:val="clear" w:color="auto" w:fill="auto"/>
            <w:vAlign w:val="center"/>
            <w:hideMark/>
          </w:tcPr>
          <w:p w14:paraId="0DFBA676" w14:textId="77777777" w:rsidR="001D3435" w:rsidRPr="001D3435" w:rsidRDefault="001D3435" w:rsidP="001D3435">
            <w:pPr>
              <w:keepNext/>
              <w:spacing w:before="0" w:after="0" w:line="240" w:lineRule="auto"/>
              <w:jc w:val="left"/>
              <w:rPr>
                <w:rFonts w:eastAsia="Times New Roman"/>
                <w:color w:val="000000"/>
                <w:sz w:val="20"/>
                <w:szCs w:val="20"/>
                <w:lang w:val="es-ES"/>
              </w:rPr>
            </w:pPr>
            <w:r w:rsidRPr="001D3435">
              <w:rPr>
                <w:rFonts w:eastAsia="Times New Roman"/>
                <w:color w:val="000000"/>
                <w:sz w:val="20"/>
                <w:szCs w:val="20"/>
                <w:lang w:val="es-ES"/>
              </w:rPr>
              <w:t>0.452</w:t>
            </w:r>
          </w:p>
        </w:tc>
      </w:tr>
    </w:tbl>
    <w:p w14:paraId="58DFC1D7" w14:textId="39FBE648" w:rsidR="00C02D76" w:rsidRDefault="001D3435" w:rsidP="00C67F76">
      <w:pPr>
        <w:pStyle w:val="Descripcin"/>
      </w:pPr>
      <w:bookmarkStart w:id="160" w:name="_Toc230792266"/>
      <w:r>
        <w:t xml:space="preserve">Tabla </w:t>
      </w:r>
      <w:fldSimple w:instr=" SEQ Tabla \* ARABIC ">
        <w:r w:rsidR="00716AEA">
          <w:rPr>
            <w:noProof/>
          </w:rPr>
          <w:t>36</w:t>
        </w:r>
      </w:fldSimple>
      <w:r>
        <w:t xml:space="preserve">. </w:t>
      </w:r>
      <w:r w:rsidRPr="00945CE9">
        <w:t>BER Comp1 — Modelos DIABLO (validación cruzada M-</w:t>
      </w:r>
      <w:proofErr w:type="spellStart"/>
      <w:r w:rsidRPr="00945CE9">
        <w:t>fold</w:t>
      </w:r>
      <w:proofErr w:type="spellEnd"/>
      <w:r w:rsidRPr="00945CE9">
        <w:t>, M=5, 10 repeticiones)</w:t>
      </w:r>
      <w:bookmarkEnd w:id="160"/>
    </w:p>
    <w:p w14:paraId="0635AC81" w14:textId="77777777" w:rsidR="00097466" w:rsidRDefault="00000000">
      <w:pPr>
        <w:pStyle w:val="Ttulo3"/>
        <w:numPr>
          <w:ilvl w:val="2"/>
          <w:numId w:val="17"/>
        </w:numPr>
      </w:pPr>
      <w:r>
        <w:t>Varianza explicada por bloque y componente</w:t>
      </w:r>
    </w:p>
    <w:p w14:paraId="5427720E" w14:textId="37BF7B50" w:rsidR="00097466" w:rsidRDefault="00000000">
      <w:r>
        <w:t>La Tabla 3</w:t>
      </w:r>
      <w:r w:rsidR="00A65E05">
        <w:t>7</w:t>
      </w:r>
      <w:r>
        <w:t xml:space="preserve"> muestra la varianza explicada por cada componente latente en cada bloque </w:t>
      </w:r>
      <w:proofErr w:type="spellStart"/>
      <w:r>
        <w:t>ómico</w:t>
      </w:r>
      <w:proofErr w:type="spellEnd"/>
      <w:r>
        <w:t xml:space="preserve"> para los cinco modelos. En todos ellos, el bloque transcriptómico presentó una estructura altamente concentrada en el primer componente</w:t>
      </w:r>
      <w:r w:rsidR="00A65E05">
        <w:t>.</w:t>
      </w:r>
      <w:r>
        <w:t xml:space="preserve"> Esta concentración refleja que la firma de ISGs en la cohorte está dominada por un único eje de variación —consistente con el IFN-score </w:t>
      </w:r>
      <w:r>
        <w:lastRenderedPageBreak/>
        <w:t>descrito en los análisis anteriores—, que el modelo DIABLO captura de forma robusta e independientemente del desenlace supervisado utilizado.</w:t>
      </w:r>
    </w:p>
    <w:p w14:paraId="33391D99" w14:textId="4BFE0FDF" w:rsidR="006871D1" w:rsidRDefault="006871D1">
      <w:r>
        <w:t>En contraste, el bloque proteómico presentó una estructura de varianza más dispersa. Esta mayor dispersión en el espacio proteómico indica que la variabilidad del panel sérico no está concentrada en un único eje, sino distribuida entre múltiples fuentes que reflejan las distintas vías inflamatorias, del complemento y metabólicas representadas en el bloque.</w:t>
      </w:r>
    </w:p>
    <w:tbl>
      <w:tblPr>
        <w:tblStyle w:val="aff"/>
        <w:tblW w:w="8376" w:type="dxa"/>
        <w:tblInd w:w="0" w:type="dxa"/>
        <w:tblLayout w:type="fixed"/>
        <w:tblLook w:val="0400" w:firstRow="0" w:lastRow="0" w:firstColumn="0" w:lastColumn="0" w:noHBand="0" w:noVBand="1"/>
      </w:tblPr>
      <w:tblGrid>
        <w:gridCol w:w="1542"/>
        <w:gridCol w:w="1226"/>
        <w:gridCol w:w="1226"/>
        <w:gridCol w:w="1117"/>
        <w:gridCol w:w="1125"/>
        <w:gridCol w:w="1125"/>
        <w:gridCol w:w="1015"/>
      </w:tblGrid>
      <w:tr w:rsidR="00097466" w14:paraId="05426079" w14:textId="77777777">
        <w:trPr>
          <w:trHeight w:val="397"/>
        </w:trPr>
        <w:tc>
          <w:tcPr>
            <w:tcW w:w="1542"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084F6ED6" w14:textId="77777777" w:rsidR="00097466" w:rsidRDefault="00000000">
            <w:pPr>
              <w:spacing w:before="0" w:after="0" w:line="240" w:lineRule="auto"/>
              <w:jc w:val="left"/>
              <w:rPr>
                <w:b/>
                <w:bCs/>
                <w:color w:val="000000"/>
                <w:sz w:val="20"/>
                <w:szCs w:val="20"/>
              </w:rPr>
            </w:pPr>
            <w:r>
              <w:rPr>
                <w:b/>
                <w:bCs/>
                <w:color w:val="000000"/>
                <w:sz w:val="20"/>
                <w:szCs w:val="20"/>
              </w:rPr>
              <w:t>Desenlace</w:t>
            </w:r>
          </w:p>
        </w:tc>
        <w:tc>
          <w:tcPr>
            <w:tcW w:w="1226" w:type="dxa"/>
            <w:tcBorders>
              <w:top w:val="single" w:sz="8" w:space="0" w:color="DDDDDD"/>
              <w:left w:val="nil"/>
              <w:bottom w:val="single" w:sz="8" w:space="0" w:color="DDDDDD"/>
              <w:right w:val="single" w:sz="8" w:space="0" w:color="DDDDDD"/>
            </w:tcBorders>
            <w:shd w:val="clear" w:color="auto" w:fill="F2F2F2"/>
            <w:vAlign w:val="center"/>
          </w:tcPr>
          <w:p w14:paraId="6A5BC2DC" w14:textId="77777777" w:rsidR="00097466" w:rsidRDefault="00000000">
            <w:pPr>
              <w:spacing w:before="0" w:after="0" w:line="240" w:lineRule="auto"/>
              <w:jc w:val="left"/>
              <w:rPr>
                <w:b/>
                <w:bCs/>
                <w:color w:val="000000"/>
                <w:sz w:val="20"/>
                <w:szCs w:val="20"/>
              </w:rPr>
            </w:pPr>
            <w:r>
              <w:rPr>
                <w:b/>
                <w:bCs/>
                <w:color w:val="000000"/>
                <w:sz w:val="20"/>
                <w:szCs w:val="20"/>
              </w:rPr>
              <w:t>Trans C1 (%)</w:t>
            </w:r>
          </w:p>
        </w:tc>
        <w:tc>
          <w:tcPr>
            <w:tcW w:w="1226" w:type="dxa"/>
            <w:tcBorders>
              <w:top w:val="single" w:sz="8" w:space="0" w:color="DDDDDD"/>
              <w:left w:val="nil"/>
              <w:bottom w:val="single" w:sz="8" w:space="0" w:color="DDDDDD"/>
              <w:right w:val="single" w:sz="8" w:space="0" w:color="DDDDDD"/>
            </w:tcBorders>
            <w:shd w:val="clear" w:color="auto" w:fill="F2F2F2"/>
            <w:vAlign w:val="center"/>
          </w:tcPr>
          <w:p w14:paraId="5D4F57D3" w14:textId="77777777" w:rsidR="00097466" w:rsidRPr="005F6B95" w:rsidRDefault="00000000">
            <w:pPr>
              <w:spacing w:before="0" w:after="0" w:line="240" w:lineRule="auto"/>
              <w:jc w:val="left"/>
              <w:rPr>
                <w:b/>
                <w:bCs/>
                <w:color w:val="000000"/>
                <w:sz w:val="20"/>
                <w:szCs w:val="20"/>
              </w:rPr>
            </w:pPr>
            <w:r>
              <w:rPr>
                <w:b/>
                <w:bCs/>
                <w:color w:val="000000"/>
                <w:sz w:val="20"/>
                <w:szCs w:val="20"/>
              </w:rPr>
              <w:t>Trans C2</w:t>
            </w:r>
            <w:r w:rsidR="005F6B95">
              <w:rPr>
                <w:b/>
                <w:bCs/>
                <w:color w:val="000000"/>
                <w:sz w:val="20"/>
                <w:szCs w:val="20"/>
              </w:rPr>
              <w:t xml:space="preserve"> </w:t>
            </w:r>
            <w:r>
              <w:rPr>
                <w:b/>
                <w:bCs/>
                <w:sz w:val="20"/>
                <w:szCs w:val="20"/>
              </w:rPr>
              <w:t>(%)</w:t>
            </w:r>
          </w:p>
        </w:tc>
        <w:tc>
          <w:tcPr>
            <w:tcW w:w="1117" w:type="dxa"/>
            <w:tcBorders>
              <w:top w:val="single" w:sz="8" w:space="0" w:color="DDDDDD"/>
              <w:left w:val="nil"/>
              <w:bottom w:val="single" w:sz="8" w:space="0" w:color="DDDDDD"/>
              <w:right w:val="single" w:sz="8" w:space="0" w:color="DDDDDD"/>
            </w:tcBorders>
            <w:shd w:val="clear" w:color="auto" w:fill="F2F2F2"/>
            <w:vAlign w:val="center"/>
          </w:tcPr>
          <w:p w14:paraId="47E914B1" w14:textId="77777777" w:rsidR="00097466" w:rsidRDefault="00000000">
            <w:pPr>
              <w:spacing w:before="0" w:after="0" w:line="240" w:lineRule="auto"/>
              <w:jc w:val="left"/>
              <w:rPr>
                <w:b/>
                <w:bCs/>
                <w:color w:val="000000"/>
                <w:sz w:val="20"/>
                <w:szCs w:val="20"/>
              </w:rPr>
            </w:pPr>
            <w:proofErr w:type="spellStart"/>
            <w:r>
              <w:rPr>
                <w:b/>
                <w:bCs/>
                <w:color w:val="000000"/>
                <w:sz w:val="20"/>
                <w:szCs w:val="20"/>
              </w:rPr>
              <w:t>Acum</w:t>
            </w:r>
            <w:proofErr w:type="spellEnd"/>
            <w:r>
              <w:rPr>
                <w:b/>
                <w:bCs/>
                <w:color w:val="000000"/>
                <w:sz w:val="20"/>
                <w:szCs w:val="20"/>
              </w:rPr>
              <w:t xml:space="preserve"> </w:t>
            </w:r>
            <w:r>
              <w:rPr>
                <w:b/>
                <w:bCs/>
                <w:sz w:val="20"/>
                <w:szCs w:val="20"/>
              </w:rPr>
              <w:t>(%)</w:t>
            </w:r>
          </w:p>
        </w:tc>
        <w:tc>
          <w:tcPr>
            <w:tcW w:w="1125" w:type="dxa"/>
            <w:tcBorders>
              <w:top w:val="single" w:sz="8" w:space="0" w:color="DDDDDD"/>
              <w:left w:val="nil"/>
              <w:bottom w:val="single" w:sz="8" w:space="0" w:color="DDDDDD"/>
              <w:right w:val="single" w:sz="8" w:space="0" w:color="DDDDDD"/>
            </w:tcBorders>
            <w:shd w:val="clear" w:color="auto" w:fill="F2F2F2"/>
            <w:vAlign w:val="center"/>
          </w:tcPr>
          <w:p w14:paraId="53CB9860" w14:textId="77777777" w:rsidR="00097466" w:rsidRDefault="00000000">
            <w:pPr>
              <w:spacing w:before="0" w:after="0" w:line="240" w:lineRule="auto"/>
              <w:jc w:val="left"/>
              <w:rPr>
                <w:b/>
                <w:bCs/>
                <w:color w:val="000000"/>
                <w:sz w:val="20"/>
                <w:szCs w:val="20"/>
              </w:rPr>
            </w:pPr>
            <w:proofErr w:type="spellStart"/>
            <w:r>
              <w:rPr>
                <w:b/>
                <w:bCs/>
                <w:color w:val="000000"/>
                <w:sz w:val="20"/>
                <w:szCs w:val="20"/>
              </w:rPr>
              <w:t>Prot</w:t>
            </w:r>
            <w:proofErr w:type="spellEnd"/>
            <w:r>
              <w:rPr>
                <w:b/>
                <w:bCs/>
                <w:color w:val="000000"/>
                <w:sz w:val="20"/>
                <w:szCs w:val="20"/>
              </w:rPr>
              <w:t xml:space="preserve"> C1 </w:t>
            </w:r>
            <w:r>
              <w:rPr>
                <w:b/>
                <w:bCs/>
                <w:sz w:val="20"/>
                <w:szCs w:val="20"/>
              </w:rPr>
              <w:t>(%)</w:t>
            </w:r>
          </w:p>
        </w:tc>
        <w:tc>
          <w:tcPr>
            <w:tcW w:w="1125" w:type="dxa"/>
            <w:tcBorders>
              <w:top w:val="single" w:sz="8" w:space="0" w:color="DDDDDD"/>
              <w:left w:val="nil"/>
              <w:bottom w:val="single" w:sz="8" w:space="0" w:color="DDDDDD"/>
              <w:right w:val="single" w:sz="8" w:space="0" w:color="DDDDDD"/>
            </w:tcBorders>
            <w:shd w:val="clear" w:color="auto" w:fill="F2F2F2"/>
            <w:vAlign w:val="center"/>
          </w:tcPr>
          <w:p w14:paraId="44A17F0E" w14:textId="77777777" w:rsidR="00097466" w:rsidRDefault="00000000">
            <w:pPr>
              <w:spacing w:before="0" w:after="0" w:line="240" w:lineRule="auto"/>
              <w:jc w:val="left"/>
              <w:rPr>
                <w:b/>
                <w:bCs/>
                <w:color w:val="000000"/>
                <w:sz w:val="20"/>
                <w:szCs w:val="20"/>
              </w:rPr>
            </w:pPr>
            <w:proofErr w:type="spellStart"/>
            <w:r>
              <w:rPr>
                <w:b/>
                <w:bCs/>
                <w:color w:val="000000"/>
                <w:sz w:val="20"/>
                <w:szCs w:val="20"/>
              </w:rPr>
              <w:t>Prot</w:t>
            </w:r>
            <w:proofErr w:type="spellEnd"/>
            <w:r>
              <w:rPr>
                <w:b/>
                <w:bCs/>
                <w:color w:val="000000"/>
                <w:sz w:val="20"/>
                <w:szCs w:val="20"/>
              </w:rPr>
              <w:t xml:space="preserve"> C2 </w:t>
            </w:r>
            <w:r>
              <w:rPr>
                <w:b/>
                <w:bCs/>
                <w:sz w:val="20"/>
                <w:szCs w:val="20"/>
              </w:rPr>
              <w:t>(%)</w:t>
            </w:r>
          </w:p>
        </w:tc>
        <w:tc>
          <w:tcPr>
            <w:tcW w:w="1015" w:type="dxa"/>
            <w:tcBorders>
              <w:top w:val="single" w:sz="8" w:space="0" w:color="DDDDDD"/>
              <w:left w:val="nil"/>
              <w:bottom w:val="single" w:sz="8" w:space="0" w:color="DDDDDD"/>
              <w:right w:val="single" w:sz="8" w:space="0" w:color="DDDDDD"/>
            </w:tcBorders>
            <w:shd w:val="clear" w:color="auto" w:fill="F2F2F2"/>
            <w:vAlign w:val="center"/>
          </w:tcPr>
          <w:p w14:paraId="0294104F" w14:textId="77777777" w:rsidR="00097466" w:rsidRDefault="00000000">
            <w:pPr>
              <w:spacing w:before="0" w:after="0" w:line="240" w:lineRule="auto"/>
              <w:jc w:val="left"/>
              <w:rPr>
                <w:b/>
                <w:bCs/>
                <w:color w:val="000000"/>
                <w:sz w:val="20"/>
                <w:szCs w:val="20"/>
              </w:rPr>
            </w:pPr>
            <w:proofErr w:type="spellStart"/>
            <w:r>
              <w:rPr>
                <w:b/>
                <w:bCs/>
                <w:color w:val="000000"/>
                <w:sz w:val="20"/>
                <w:szCs w:val="20"/>
              </w:rPr>
              <w:t>Acum</w:t>
            </w:r>
            <w:proofErr w:type="spellEnd"/>
            <w:r>
              <w:rPr>
                <w:b/>
                <w:bCs/>
                <w:sz w:val="20"/>
                <w:szCs w:val="20"/>
              </w:rPr>
              <w:t xml:space="preserve"> (%)</w:t>
            </w:r>
          </w:p>
        </w:tc>
      </w:tr>
      <w:tr w:rsidR="00097466" w14:paraId="5355580D" w14:textId="77777777">
        <w:trPr>
          <w:trHeight w:val="397"/>
        </w:trPr>
        <w:tc>
          <w:tcPr>
            <w:tcW w:w="1542" w:type="dxa"/>
            <w:tcBorders>
              <w:top w:val="nil"/>
              <w:left w:val="single" w:sz="8" w:space="0" w:color="DDDDDD"/>
              <w:bottom w:val="single" w:sz="8" w:space="0" w:color="DDDDDD"/>
              <w:right w:val="single" w:sz="8" w:space="0" w:color="DDDDDD"/>
            </w:tcBorders>
            <w:shd w:val="clear" w:color="auto" w:fill="auto"/>
            <w:vAlign w:val="center"/>
          </w:tcPr>
          <w:p w14:paraId="5E7BB728" w14:textId="77777777" w:rsidR="00097466" w:rsidRDefault="00000000">
            <w:pPr>
              <w:spacing w:before="0" w:after="0" w:line="240" w:lineRule="auto"/>
              <w:jc w:val="left"/>
              <w:rPr>
                <w:color w:val="000000"/>
                <w:sz w:val="20"/>
                <w:szCs w:val="20"/>
              </w:rPr>
            </w:pPr>
            <w:r>
              <w:rPr>
                <w:color w:val="000000"/>
                <w:sz w:val="20"/>
                <w:szCs w:val="20"/>
              </w:rPr>
              <w:t>SLEDAI-2K</w:t>
            </w:r>
          </w:p>
        </w:tc>
        <w:tc>
          <w:tcPr>
            <w:tcW w:w="1226" w:type="dxa"/>
            <w:tcBorders>
              <w:top w:val="nil"/>
              <w:left w:val="nil"/>
              <w:bottom w:val="single" w:sz="8" w:space="0" w:color="DDDDDD"/>
              <w:right w:val="single" w:sz="8" w:space="0" w:color="DDDDDD"/>
            </w:tcBorders>
            <w:shd w:val="clear" w:color="auto" w:fill="auto"/>
            <w:vAlign w:val="center"/>
          </w:tcPr>
          <w:p w14:paraId="4B2E6904" w14:textId="71DF9662" w:rsidR="00097466" w:rsidRDefault="00F20250">
            <w:pPr>
              <w:spacing w:before="0" w:after="0" w:line="240" w:lineRule="auto"/>
              <w:jc w:val="left"/>
              <w:rPr>
                <w:color w:val="000000"/>
                <w:sz w:val="20"/>
                <w:szCs w:val="20"/>
              </w:rPr>
            </w:pPr>
            <w:r>
              <w:rPr>
                <w:color w:val="000000"/>
                <w:sz w:val="20"/>
                <w:szCs w:val="20"/>
              </w:rPr>
              <w:t>66,12</w:t>
            </w:r>
          </w:p>
        </w:tc>
        <w:tc>
          <w:tcPr>
            <w:tcW w:w="1226" w:type="dxa"/>
            <w:tcBorders>
              <w:top w:val="nil"/>
              <w:left w:val="nil"/>
              <w:bottom w:val="single" w:sz="8" w:space="0" w:color="DDDDDD"/>
              <w:right w:val="single" w:sz="8" w:space="0" w:color="DDDDDD"/>
            </w:tcBorders>
            <w:shd w:val="clear" w:color="auto" w:fill="auto"/>
            <w:vAlign w:val="center"/>
          </w:tcPr>
          <w:p w14:paraId="4E7F93CC" w14:textId="3726FD76" w:rsidR="00097466" w:rsidRDefault="00000000">
            <w:pPr>
              <w:spacing w:before="0" w:after="0" w:line="240" w:lineRule="auto"/>
              <w:jc w:val="left"/>
              <w:rPr>
                <w:color w:val="000000"/>
                <w:sz w:val="20"/>
                <w:szCs w:val="20"/>
              </w:rPr>
            </w:pPr>
            <w:r>
              <w:rPr>
                <w:color w:val="000000"/>
                <w:sz w:val="20"/>
                <w:szCs w:val="20"/>
              </w:rPr>
              <w:t>9,</w:t>
            </w:r>
            <w:r w:rsidR="00F20250">
              <w:rPr>
                <w:color w:val="000000"/>
                <w:sz w:val="20"/>
                <w:szCs w:val="20"/>
              </w:rPr>
              <w:t>28</w:t>
            </w:r>
          </w:p>
        </w:tc>
        <w:tc>
          <w:tcPr>
            <w:tcW w:w="1117" w:type="dxa"/>
            <w:tcBorders>
              <w:top w:val="nil"/>
              <w:left w:val="nil"/>
              <w:bottom w:val="single" w:sz="8" w:space="0" w:color="DDDDDD"/>
              <w:right w:val="single" w:sz="8" w:space="0" w:color="DDDDDD"/>
            </w:tcBorders>
            <w:shd w:val="clear" w:color="auto" w:fill="auto"/>
            <w:vAlign w:val="center"/>
          </w:tcPr>
          <w:p w14:paraId="0F55CEAE" w14:textId="58226F6C" w:rsidR="00097466" w:rsidRDefault="00000000">
            <w:pPr>
              <w:spacing w:before="0" w:after="0" w:line="240" w:lineRule="auto"/>
              <w:jc w:val="left"/>
              <w:rPr>
                <w:color w:val="000000"/>
                <w:sz w:val="20"/>
                <w:szCs w:val="20"/>
              </w:rPr>
            </w:pPr>
            <w:r>
              <w:rPr>
                <w:color w:val="000000"/>
                <w:sz w:val="20"/>
                <w:szCs w:val="20"/>
              </w:rPr>
              <w:t>75,</w:t>
            </w:r>
            <w:r w:rsidR="00F20250">
              <w:rPr>
                <w:color w:val="000000"/>
                <w:sz w:val="20"/>
                <w:szCs w:val="20"/>
              </w:rPr>
              <w:t>4</w:t>
            </w:r>
          </w:p>
        </w:tc>
        <w:tc>
          <w:tcPr>
            <w:tcW w:w="1125" w:type="dxa"/>
            <w:tcBorders>
              <w:top w:val="nil"/>
              <w:left w:val="nil"/>
              <w:bottom w:val="single" w:sz="8" w:space="0" w:color="DDDDDD"/>
              <w:right w:val="single" w:sz="8" w:space="0" w:color="DDDDDD"/>
            </w:tcBorders>
            <w:shd w:val="clear" w:color="auto" w:fill="auto"/>
            <w:vAlign w:val="center"/>
          </w:tcPr>
          <w:p w14:paraId="69E6AD52" w14:textId="75053D25" w:rsidR="00097466" w:rsidRDefault="00F20250">
            <w:pPr>
              <w:spacing w:before="0" w:after="0" w:line="240" w:lineRule="auto"/>
              <w:jc w:val="left"/>
              <w:rPr>
                <w:color w:val="000000"/>
                <w:sz w:val="20"/>
                <w:szCs w:val="20"/>
              </w:rPr>
            </w:pPr>
            <w:r>
              <w:rPr>
                <w:color w:val="000000"/>
                <w:sz w:val="20"/>
                <w:szCs w:val="20"/>
              </w:rPr>
              <w:t>11,92</w:t>
            </w:r>
          </w:p>
        </w:tc>
        <w:tc>
          <w:tcPr>
            <w:tcW w:w="1125" w:type="dxa"/>
            <w:tcBorders>
              <w:top w:val="nil"/>
              <w:left w:val="nil"/>
              <w:bottom w:val="single" w:sz="8" w:space="0" w:color="DDDDDD"/>
              <w:right w:val="single" w:sz="8" w:space="0" w:color="DDDDDD"/>
            </w:tcBorders>
            <w:shd w:val="clear" w:color="auto" w:fill="auto"/>
            <w:vAlign w:val="center"/>
          </w:tcPr>
          <w:p w14:paraId="519400E6" w14:textId="13E3F12F" w:rsidR="00097466" w:rsidRDefault="00F20250">
            <w:pPr>
              <w:spacing w:before="0" w:after="0" w:line="240" w:lineRule="auto"/>
              <w:jc w:val="left"/>
              <w:rPr>
                <w:color w:val="000000"/>
                <w:sz w:val="20"/>
                <w:szCs w:val="20"/>
              </w:rPr>
            </w:pPr>
            <w:r>
              <w:rPr>
                <w:color w:val="000000"/>
                <w:sz w:val="20"/>
                <w:szCs w:val="20"/>
              </w:rPr>
              <w:t>13,13</w:t>
            </w:r>
          </w:p>
        </w:tc>
        <w:tc>
          <w:tcPr>
            <w:tcW w:w="1015" w:type="dxa"/>
            <w:tcBorders>
              <w:top w:val="nil"/>
              <w:left w:val="nil"/>
              <w:bottom w:val="single" w:sz="8" w:space="0" w:color="DDDDDD"/>
              <w:right w:val="single" w:sz="8" w:space="0" w:color="DDDDDD"/>
            </w:tcBorders>
            <w:shd w:val="clear" w:color="auto" w:fill="auto"/>
            <w:vAlign w:val="center"/>
          </w:tcPr>
          <w:p w14:paraId="35F356CA" w14:textId="31FDA3F2" w:rsidR="00097466" w:rsidRDefault="00F20250">
            <w:pPr>
              <w:spacing w:before="0" w:after="0" w:line="240" w:lineRule="auto"/>
              <w:jc w:val="left"/>
              <w:rPr>
                <w:color w:val="000000"/>
                <w:sz w:val="20"/>
                <w:szCs w:val="20"/>
              </w:rPr>
            </w:pPr>
            <w:r>
              <w:rPr>
                <w:color w:val="000000"/>
                <w:sz w:val="20"/>
                <w:szCs w:val="20"/>
              </w:rPr>
              <w:t>2</w:t>
            </w:r>
            <w:r w:rsidR="00C02D76">
              <w:rPr>
                <w:color w:val="000000"/>
                <w:sz w:val="20"/>
                <w:szCs w:val="20"/>
              </w:rPr>
              <w:t>5</w:t>
            </w:r>
            <w:r>
              <w:rPr>
                <w:color w:val="000000"/>
                <w:sz w:val="20"/>
                <w:szCs w:val="20"/>
              </w:rPr>
              <w:t>,06</w:t>
            </w:r>
          </w:p>
        </w:tc>
      </w:tr>
      <w:tr w:rsidR="00097466" w14:paraId="1C298D39" w14:textId="77777777">
        <w:trPr>
          <w:trHeight w:val="397"/>
        </w:trPr>
        <w:tc>
          <w:tcPr>
            <w:tcW w:w="1542" w:type="dxa"/>
            <w:tcBorders>
              <w:top w:val="nil"/>
              <w:left w:val="single" w:sz="8" w:space="0" w:color="DDDDDD"/>
              <w:bottom w:val="single" w:sz="8" w:space="0" w:color="DDDDDD"/>
              <w:right w:val="single" w:sz="8" w:space="0" w:color="DDDDDD"/>
            </w:tcBorders>
            <w:shd w:val="clear" w:color="auto" w:fill="auto"/>
            <w:vAlign w:val="center"/>
          </w:tcPr>
          <w:p w14:paraId="0C1FCE4E" w14:textId="77777777" w:rsidR="00097466" w:rsidRDefault="00000000">
            <w:pPr>
              <w:spacing w:before="0" w:after="0" w:line="240" w:lineRule="auto"/>
              <w:jc w:val="left"/>
              <w:rPr>
                <w:color w:val="000000"/>
                <w:sz w:val="20"/>
                <w:szCs w:val="20"/>
              </w:rPr>
            </w:pPr>
            <w:r>
              <w:rPr>
                <w:color w:val="000000"/>
                <w:sz w:val="20"/>
                <w:szCs w:val="20"/>
              </w:rPr>
              <w:t>SLE-DAS</w:t>
            </w:r>
          </w:p>
        </w:tc>
        <w:tc>
          <w:tcPr>
            <w:tcW w:w="1226" w:type="dxa"/>
            <w:tcBorders>
              <w:top w:val="nil"/>
              <w:left w:val="nil"/>
              <w:bottom w:val="single" w:sz="8" w:space="0" w:color="DDDDDD"/>
              <w:right w:val="single" w:sz="8" w:space="0" w:color="DDDDDD"/>
            </w:tcBorders>
            <w:shd w:val="clear" w:color="auto" w:fill="auto"/>
            <w:vAlign w:val="center"/>
          </w:tcPr>
          <w:p w14:paraId="3B3A492C" w14:textId="77777777" w:rsidR="00097466" w:rsidRDefault="00000000">
            <w:pPr>
              <w:spacing w:before="0" w:after="0" w:line="240" w:lineRule="auto"/>
              <w:jc w:val="left"/>
              <w:rPr>
                <w:color w:val="000000"/>
                <w:sz w:val="20"/>
                <w:szCs w:val="20"/>
              </w:rPr>
            </w:pPr>
            <w:r>
              <w:rPr>
                <w:color w:val="000000"/>
                <w:sz w:val="20"/>
                <w:szCs w:val="20"/>
              </w:rPr>
              <w:t>71,88</w:t>
            </w:r>
          </w:p>
        </w:tc>
        <w:tc>
          <w:tcPr>
            <w:tcW w:w="1226" w:type="dxa"/>
            <w:tcBorders>
              <w:top w:val="nil"/>
              <w:left w:val="nil"/>
              <w:bottom w:val="single" w:sz="8" w:space="0" w:color="DDDDDD"/>
              <w:right w:val="single" w:sz="8" w:space="0" w:color="DDDDDD"/>
            </w:tcBorders>
            <w:shd w:val="clear" w:color="auto" w:fill="auto"/>
            <w:vAlign w:val="center"/>
          </w:tcPr>
          <w:p w14:paraId="4615F7B9" w14:textId="77777777" w:rsidR="00097466" w:rsidRDefault="00000000">
            <w:pPr>
              <w:spacing w:before="0" w:after="0" w:line="240" w:lineRule="auto"/>
              <w:jc w:val="left"/>
              <w:rPr>
                <w:color w:val="000000"/>
                <w:sz w:val="20"/>
                <w:szCs w:val="20"/>
              </w:rPr>
            </w:pPr>
            <w:r>
              <w:rPr>
                <w:color w:val="000000"/>
                <w:sz w:val="20"/>
                <w:szCs w:val="20"/>
              </w:rPr>
              <w:t>4,1</w:t>
            </w:r>
          </w:p>
        </w:tc>
        <w:tc>
          <w:tcPr>
            <w:tcW w:w="1117" w:type="dxa"/>
            <w:tcBorders>
              <w:top w:val="nil"/>
              <w:left w:val="nil"/>
              <w:bottom w:val="single" w:sz="8" w:space="0" w:color="DDDDDD"/>
              <w:right w:val="single" w:sz="8" w:space="0" w:color="DDDDDD"/>
            </w:tcBorders>
            <w:shd w:val="clear" w:color="auto" w:fill="auto"/>
            <w:vAlign w:val="center"/>
          </w:tcPr>
          <w:p w14:paraId="53CD4CC5" w14:textId="77777777" w:rsidR="00097466" w:rsidRDefault="00000000">
            <w:pPr>
              <w:spacing w:before="0" w:after="0" w:line="240" w:lineRule="auto"/>
              <w:jc w:val="left"/>
              <w:rPr>
                <w:color w:val="000000"/>
                <w:sz w:val="20"/>
                <w:szCs w:val="20"/>
              </w:rPr>
            </w:pPr>
            <w:r>
              <w:rPr>
                <w:color w:val="000000"/>
                <w:sz w:val="20"/>
                <w:szCs w:val="20"/>
              </w:rPr>
              <w:t>75,98</w:t>
            </w:r>
          </w:p>
        </w:tc>
        <w:tc>
          <w:tcPr>
            <w:tcW w:w="1125" w:type="dxa"/>
            <w:tcBorders>
              <w:top w:val="nil"/>
              <w:left w:val="nil"/>
              <w:bottom w:val="single" w:sz="8" w:space="0" w:color="DDDDDD"/>
              <w:right w:val="single" w:sz="8" w:space="0" w:color="DDDDDD"/>
            </w:tcBorders>
            <w:shd w:val="clear" w:color="auto" w:fill="auto"/>
            <w:vAlign w:val="center"/>
          </w:tcPr>
          <w:p w14:paraId="0607163C" w14:textId="77777777" w:rsidR="00097466" w:rsidRDefault="00000000">
            <w:pPr>
              <w:spacing w:before="0" w:after="0" w:line="240" w:lineRule="auto"/>
              <w:jc w:val="left"/>
              <w:rPr>
                <w:color w:val="000000"/>
                <w:sz w:val="20"/>
                <w:szCs w:val="20"/>
              </w:rPr>
            </w:pPr>
            <w:r>
              <w:rPr>
                <w:color w:val="000000"/>
                <w:sz w:val="20"/>
                <w:szCs w:val="20"/>
              </w:rPr>
              <w:t>12,02</w:t>
            </w:r>
          </w:p>
        </w:tc>
        <w:tc>
          <w:tcPr>
            <w:tcW w:w="1125" w:type="dxa"/>
            <w:tcBorders>
              <w:top w:val="nil"/>
              <w:left w:val="nil"/>
              <w:bottom w:val="single" w:sz="8" w:space="0" w:color="DDDDDD"/>
              <w:right w:val="single" w:sz="8" w:space="0" w:color="DDDDDD"/>
            </w:tcBorders>
            <w:shd w:val="clear" w:color="auto" w:fill="auto"/>
            <w:vAlign w:val="center"/>
          </w:tcPr>
          <w:p w14:paraId="58ECA827" w14:textId="77777777" w:rsidR="00097466" w:rsidRDefault="00000000">
            <w:pPr>
              <w:spacing w:before="0" w:after="0" w:line="240" w:lineRule="auto"/>
              <w:jc w:val="left"/>
              <w:rPr>
                <w:color w:val="000000"/>
                <w:sz w:val="20"/>
                <w:szCs w:val="20"/>
              </w:rPr>
            </w:pPr>
            <w:r>
              <w:rPr>
                <w:color w:val="000000"/>
                <w:sz w:val="20"/>
                <w:szCs w:val="20"/>
              </w:rPr>
              <w:t>7,2</w:t>
            </w:r>
          </w:p>
        </w:tc>
        <w:tc>
          <w:tcPr>
            <w:tcW w:w="1015" w:type="dxa"/>
            <w:tcBorders>
              <w:top w:val="nil"/>
              <w:left w:val="nil"/>
              <w:bottom w:val="single" w:sz="8" w:space="0" w:color="DDDDDD"/>
              <w:right w:val="single" w:sz="8" w:space="0" w:color="DDDDDD"/>
            </w:tcBorders>
            <w:shd w:val="clear" w:color="auto" w:fill="auto"/>
            <w:vAlign w:val="center"/>
          </w:tcPr>
          <w:p w14:paraId="09FBCE64" w14:textId="77777777" w:rsidR="00097466" w:rsidRDefault="00000000">
            <w:pPr>
              <w:spacing w:before="0" w:after="0" w:line="240" w:lineRule="auto"/>
              <w:jc w:val="left"/>
              <w:rPr>
                <w:color w:val="000000"/>
                <w:sz w:val="20"/>
                <w:szCs w:val="20"/>
              </w:rPr>
            </w:pPr>
            <w:r>
              <w:rPr>
                <w:color w:val="000000"/>
                <w:sz w:val="20"/>
                <w:szCs w:val="20"/>
              </w:rPr>
              <w:t>19,22</w:t>
            </w:r>
          </w:p>
        </w:tc>
      </w:tr>
      <w:tr w:rsidR="00097466" w14:paraId="402CF10D" w14:textId="77777777">
        <w:trPr>
          <w:trHeight w:val="397"/>
        </w:trPr>
        <w:tc>
          <w:tcPr>
            <w:tcW w:w="1542" w:type="dxa"/>
            <w:tcBorders>
              <w:top w:val="nil"/>
              <w:left w:val="single" w:sz="8" w:space="0" w:color="DDDDDD"/>
              <w:bottom w:val="single" w:sz="8" w:space="0" w:color="DDDDDD"/>
              <w:right w:val="single" w:sz="8" w:space="0" w:color="DDDDDD"/>
            </w:tcBorders>
            <w:shd w:val="clear" w:color="auto" w:fill="auto"/>
            <w:vAlign w:val="center"/>
          </w:tcPr>
          <w:p w14:paraId="011B94B5" w14:textId="77777777" w:rsidR="00097466" w:rsidRDefault="00000000">
            <w:pPr>
              <w:spacing w:before="0" w:after="0" w:line="240" w:lineRule="auto"/>
              <w:jc w:val="left"/>
              <w:rPr>
                <w:color w:val="000000"/>
                <w:sz w:val="20"/>
                <w:szCs w:val="20"/>
              </w:rPr>
            </w:pPr>
            <w:r>
              <w:rPr>
                <w:color w:val="000000"/>
                <w:sz w:val="20"/>
                <w:szCs w:val="20"/>
              </w:rPr>
              <w:t>SLICC/SDI</w:t>
            </w:r>
          </w:p>
        </w:tc>
        <w:tc>
          <w:tcPr>
            <w:tcW w:w="1226" w:type="dxa"/>
            <w:tcBorders>
              <w:top w:val="nil"/>
              <w:left w:val="nil"/>
              <w:bottom w:val="single" w:sz="8" w:space="0" w:color="DDDDDD"/>
              <w:right w:val="single" w:sz="8" w:space="0" w:color="DDDDDD"/>
            </w:tcBorders>
            <w:shd w:val="clear" w:color="auto" w:fill="auto"/>
            <w:vAlign w:val="center"/>
          </w:tcPr>
          <w:p w14:paraId="1A24A4CB" w14:textId="77777777" w:rsidR="00097466" w:rsidRDefault="00000000">
            <w:pPr>
              <w:spacing w:before="0" w:after="0" w:line="240" w:lineRule="auto"/>
              <w:jc w:val="left"/>
              <w:rPr>
                <w:color w:val="000000"/>
                <w:sz w:val="20"/>
                <w:szCs w:val="20"/>
              </w:rPr>
            </w:pPr>
            <w:r>
              <w:rPr>
                <w:color w:val="000000"/>
                <w:sz w:val="20"/>
                <w:szCs w:val="20"/>
              </w:rPr>
              <w:t>69,29</w:t>
            </w:r>
          </w:p>
        </w:tc>
        <w:tc>
          <w:tcPr>
            <w:tcW w:w="1226" w:type="dxa"/>
            <w:tcBorders>
              <w:top w:val="nil"/>
              <w:left w:val="nil"/>
              <w:bottom w:val="single" w:sz="8" w:space="0" w:color="DDDDDD"/>
              <w:right w:val="single" w:sz="8" w:space="0" w:color="DDDDDD"/>
            </w:tcBorders>
            <w:shd w:val="clear" w:color="auto" w:fill="auto"/>
            <w:vAlign w:val="center"/>
          </w:tcPr>
          <w:p w14:paraId="0AD2CCB4" w14:textId="77777777" w:rsidR="00097466" w:rsidRDefault="00000000">
            <w:pPr>
              <w:spacing w:before="0" w:after="0" w:line="240" w:lineRule="auto"/>
              <w:jc w:val="left"/>
              <w:rPr>
                <w:color w:val="000000"/>
                <w:sz w:val="20"/>
                <w:szCs w:val="20"/>
              </w:rPr>
            </w:pPr>
            <w:r>
              <w:rPr>
                <w:color w:val="000000"/>
                <w:sz w:val="20"/>
                <w:szCs w:val="20"/>
              </w:rPr>
              <w:t>8</w:t>
            </w:r>
          </w:p>
        </w:tc>
        <w:tc>
          <w:tcPr>
            <w:tcW w:w="1117" w:type="dxa"/>
            <w:tcBorders>
              <w:top w:val="nil"/>
              <w:left w:val="nil"/>
              <w:bottom w:val="single" w:sz="8" w:space="0" w:color="DDDDDD"/>
              <w:right w:val="single" w:sz="8" w:space="0" w:color="DDDDDD"/>
            </w:tcBorders>
            <w:shd w:val="clear" w:color="auto" w:fill="auto"/>
            <w:vAlign w:val="center"/>
          </w:tcPr>
          <w:p w14:paraId="5403C2E9" w14:textId="77777777" w:rsidR="00097466" w:rsidRDefault="00000000">
            <w:pPr>
              <w:spacing w:before="0" w:after="0" w:line="240" w:lineRule="auto"/>
              <w:jc w:val="left"/>
              <w:rPr>
                <w:color w:val="000000"/>
                <w:sz w:val="20"/>
                <w:szCs w:val="20"/>
              </w:rPr>
            </w:pPr>
            <w:r>
              <w:rPr>
                <w:color w:val="000000"/>
                <w:sz w:val="20"/>
                <w:szCs w:val="20"/>
              </w:rPr>
              <w:t>77,3</w:t>
            </w:r>
          </w:p>
        </w:tc>
        <w:tc>
          <w:tcPr>
            <w:tcW w:w="1125" w:type="dxa"/>
            <w:tcBorders>
              <w:top w:val="nil"/>
              <w:left w:val="nil"/>
              <w:bottom w:val="single" w:sz="8" w:space="0" w:color="DDDDDD"/>
              <w:right w:val="single" w:sz="8" w:space="0" w:color="DDDDDD"/>
            </w:tcBorders>
            <w:shd w:val="clear" w:color="auto" w:fill="auto"/>
            <w:vAlign w:val="center"/>
          </w:tcPr>
          <w:p w14:paraId="2F59389A" w14:textId="77777777" w:rsidR="00097466" w:rsidRDefault="00000000">
            <w:pPr>
              <w:spacing w:before="0" w:after="0" w:line="240" w:lineRule="auto"/>
              <w:jc w:val="left"/>
              <w:rPr>
                <w:color w:val="000000"/>
                <w:sz w:val="20"/>
                <w:szCs w:val="20"/>
              </w:rPr>
            </w:pPr>
            <w:r>
              <w:rPr>
                <w:color w:val="000000"/>
                <w:sz w:val="20"/>
                <w:szCs w:val="20"/>
              </w:rPr>
              <w:t>7,3</w:t>
            </w:r>
          </w:p>
        </w:tc>
        <w:tc>
          <w:tcPr>
            <w:tcW w:w="1125" w:type="dxa"/>
            <w:tcBorders>
              <w:top w:val="nil"/>
              <w:left w:val="nil"/>
              <w:bottom w:val="single" w:sz="8" w:space="0" w:color="DDDDDD"/>
              <w:right w:val="single" w:sz="8" w:space="0" w:color="DDDDDD"/>
            </w:tcBorders>
            <w:shd w:val="clear" w:color="auto" w:fill="auto"/>
            <w:vAlign w:val="center"/>
          </w:tcPr>
          <w:p w14:paraId="0CDD46E9" w14:textId="77777777" w:rsidR="00097466" w:rsidRDefault="00000000">
            <w:pPr>
              <w:spacing w:before="0" w:after="0" w:line="240" w:lineRule="auto"/>
              <w:jc w:val="left"/>
              <w:rPr>
                <w:color w:val="000000"/>
                <w:sz w:val="20"/>
                <w:szCs w:val="20"/>
              </w:rPr>
            </w:pPr>
            <w:r>
              <w:rPr>
                <w:color w:val="000000"/>
                <w:sz w:val="20"/>
                <w:szCs w:val="20"/>
              </w:rPr>
              <w:t>15,02</w:t>
            </w:r>
          </w:p>
        </w:tc>
        <w:tc>
          <w:tcPr>
            <w:tcW w:w="1015" w:type="dxa"/>
            <w:tcBorders>
              <w:top w:val="nil"/>
              <w:left w:val="nil"/>
              <w:bottom w:val="single" w:sz="8" w:space="0" w:color="DDDDDD"/>
              <w:right w:val="single" w:sz="8" w:space="0" w:color="DDDDDD"/>
            </w:tcBorders>
            <w:shd w:val="clear" w:color="auto" w:fill="auto"/>
            <w:vAlign w:val="center"/>
          </w:tcPr>
          <w:p w14:paraId="1FF61FC1" w14:textId="77777777" w:rsidR="00097466" w:rsidRDefault="00000000">
            <w:pPr>
              <w:spacing w:before="0" w:after="0" w:line="240" w:lineRule="auto"/>
              <w:jc w:val="left"/>
              <w:rPr>
                <w:color w:val="000000"/>
                <w:sz w:val="20"/>
                <w:szCs w:val="20"/>
              </w:rPr>
            </w:pPr>
            <w:r>
              <w:rPr>
                <w:color w:val="000000"/>
                <w:sz w:val="20"/>
                <w:szCs w:val="20"/>
              </w:rPr>
              <w:t>22,32</w:t>
            </w:r>
          </w:p>
        </w:tc>
      </w:tr>
      <w:tr w:rsidR="00097466" w14:paraId="12E52B99" w14:textId="77777777">
        <w:trPr>
          <w:trHeight w:val="397"/>
        </w:trPr>
        <w:tc>
          <w:tcPr>
            <w:tcW w:w="1542" w:type="dxa"/>
            <w:tcBorders>
              <w:top w:val="nil"/>
              <w:left w:val="single" w:sz="8" w:space="0" w:color="DDDDDD"/>
              <w:bottom w:val="single" w:sz="8" w:space="0" w:color="DDDDDD"/>
              <w:right w:val="single" w:sz="8" w:space="0" w:color="DDDDDD"/>
            </w:tcBorders>
            <w:shd w:val="clear" w:color="auto" w:fill="auto"/>
            <w:vAlign w:val="center"/>
          </w:tcPr>
          <w:p w14:paraId="17285392" w14:textId="77777777" w:rsidR="00097466" w:rsidRDefault="00000000">
            <w:pPr>
              <w:spacing w:before="0" w:after="0" w:line="240" w:lineRule="auto"/>
              <w:jc w:val="left"/>
              <w:rPr>
                <w:color w:val="000000"/>
                <w:sz w:val="20"/>
                <w:szCs w:val="20"/>
              </w:rPr>
            </w:pPr>
            <w:r>
              <w:rPr>
                <w:color w:val="000000"/>
                <w:sz w:val="20"/>
                <w:szCs w:val="20"/>
              </w:rPr>
              <w:t>DORIS</w:t>
            </w:r>
          </w:p>
        </w:tc>
        <w:tc>
          <w:tcPr>
            <w:tcW w:w="1226" w:type="dxa"/>
            <w:tcBorders>
              <w:top w:val="nil"/>
              <w:left w:val="nil"/>
              <w:bottom w:val="single" w:sz="8" w:space="0" w:color="DDDDDD"/>
              <w:right w:val="single" w:sz="8" w:space="0" w:color="DDDDDD"/>
            </w:tcBorders>
            <w:shd w:val="clear" w:color="auto" w:fill="auto"/>
            <w:vAlign w:val="center"/>
          </w:tcPr>
          <w:p w14:paraId="011AC556" w14:textId="77777777" w:rsidR="00097466" w:rsidRDefault="00000000">
            <w:pPr>
              <w:spacing w:before="0" w:after="0" w:line="240" w:lineRule="auto"/>
              <w:jc w:val="left"/>
              <w:rPr>
                <w:color w:val="000000"/>
                <w:sz w:val="20"/>
                <w:szCs w:val="20"/>
              </w:rPr>
            </w:pPr>
            <w:r>
              <w:rPr>
                <w:color w:val="000000"/>
                <w:sz w:val="20"/>
                <w:szCs w:val="20"/>
              </w:rPr>
              <w:t>70,5</w:t>
            </w:r>
          </w:p>
        </w:tc>
        <w:tc>
          <w:tcPr>
            <w:tcW w:w="1226" w:type="dxa"/>
            <w:tcBorders>
              <w:top w:val="nil"/>
              <w:left w:val="nil"/>
              <w:bottom w:val="single" w:sz="8" w:space="0" w:color="DDDDDD"/>
              <w:right w:val="single" w:sz="8" w:space="0" w:color="DDDDDD"/>
            </w:tcBorders>
            <w:shd w:val="clear" w:color="auto" w:fill="auto"/>
            <w:vAlign w:val="center"/>
          </w:tcPr>
          <w:p w14:paraId="7B1117AE" w14:textId="77777777" w:rsidR="00097466" w:rsidRDefault="00000000">
            <w:pPr>
              <w:spacing w:before="0" w:after="0" w:line="240" w:lineRule="auto"/>
              <w:jc w:val="left"/>
              <w:rPr>
                <w:color w:val="000000"/>
                <w:sz w:val="20"/>
                <w:szCs w:val="20"/>
              </w:rPr>
            </w:pPr>
            <w:r>
              <w:rPr>
                <w:color w:val="000000"/>
                <w:sz w:val="20"/>
                <w:szCs w:val="20"/>
              </w:rPr>
              <w:t>5,8</w:t>
            </w:r>
          </w:p>
        </w:tc>
        <w:tc>
          <w:tcPr>
            <w:tcW w:w="1117" w:type="dxa"/>
            <w:tcBorders>
              <w:top w:val="nil"/>
              <w:left w:val="nil"/>
              <w:bottom w:val="single" w:sz="8" w:space="0" w:color="DDDDDD"/>
              <w:right w:val="single" w:sz="8" w:space="0" w:color="DDDDDD"/>
            </w:tcBorders>
            <w:shd w:val="clear" w:color="auto" w:fill="auto"/>
            <w:vAlign w:val="center"/>
          </w:tcPr>
          <w:p w14:paraId="59C66B31" w14:textId="77777777" w:rsidR="00097466" w:rsidRDefault="00000000">
            <w:pPr>
              <w:spacing w:before="0" w:after="0" w:line="240" w:lineRule="auto"/>
              <w:jc w:val="left"/>
              <w:rPr>
                <w:color w:val="000000"/>
                <w:sz w:val="20"/>
                <w:szCs w:val="20"/>
              </w:rPr>
            </w:pPr>
            <w:r>
              <w:rPr>
                <w:color w:val="000000"/>
                <w:sz w:val="20"/>
                <w:szCs w:val="20"/>
              </w:rPr>
              <w:t>76,3</w:t>
            </w:r>
          </w:p>
        </w:tc>
        <w:tc>
          <w:tcPr>
            <w:tcW w:w="1125" w:type="dxa"/>
            <w:tcBorders>
              <w:top w:val="nil"/>
              <w:left w:val="nil"/>
              <w:bottom w:val="single" w:sz="8" w:space="0" w:color="DDDDDD"/>
              <w:right w:val="single" w:sz="8" w:space="0" w:color="DDDDDD"/>
            </w:tcBorders>
            <w:shd w:val="clear" w:color="auto" w:fill="auto"/>
            <w:vAlign w:val="center"/>
          </w:tcPr>
          <w:p w14:paraId="2C0B1B48" w14:textId="77777777" w:rsidR="00097466" w:rsidRDefault="00000000">
            <w:pPr>
              <w:spacing w:before="0" w:after="0" w:line="240" w:lineRule="auto"/>
              <w:jc w:val="left"/>
              <w:rPr>
                <w:color w:val="000000"/>
                <w:sz w:val="20"/>
                <w:szCs w:val="20"/>
              </w:rPr>
            </w:pPr>
            <w:r>
              <w:rPr>
                <w:color w:val="000000"/>
                <w:sz w:val="20"/>
                <w:szCs w:val="20"/>
              </w:rPr>
              <w:t>11,77</w:t>
            </w:r>
          </w:p>
        </w:tc>
        <w:tc>
          <w:tcPr>
            <w:tcW w:w="1125" w:type="dxa"/>
            <w:tcBorders>
              <w:top w:val="nil"/>
              <w:left w:val="nil"/>
              <w:bottom w:val="single" w:sz="8" w:space="0" w:color="DDDDDD"/>
              <w:right w:val="single" w:sz="8" w:space="0" w:color="DDDDDD"/>
            </w:tcBorders>
            <w:shd w:val="clear" w:color="auto" w:fill="auto"/>
            <w:vAlign w:val="center"/>
          </w:tcPr>
          <w:p w14:paraId="412262E3" w14:textId="77777777" w:rsidR="00097466" w:rsidRDefault="00000000">
            <w:pPr>
              <w:spacing w:before="0" w:after="0" w:line="240" w:lineRule="auto"/>
              <w:jc w:val="left"/>
              <w:rPr>
                <w:color w:val="000000"/>
                <w:sz w:val="20"/>
                <w:szCs w:val="20"/>
              </w:rPr>
            </w:pPr>
            <w:r>
              <w:rPr>
                <w:color w:val="000000"/>
                <w:sz w:val="20"/>
                <w:szCs w:val="20"/>
              </w:rPr>
              <w:t>8,71</w:t>
            </w:r>
          </w:p>
        </w:tc>
        <w:tc>
          <w:tcPr>
            <w:tcW w:w="1015" w:type="dxa"/>
            <w:tcBorders>
              <w:top w:val="nil"/>
              <w:left w:val="nil"/>
              <w:bottom w:val="single" w:sz="8" w:space="0" w:color="DDDDDD"/>
              <w:right w:val="single" w:sz="8" w:space="0" w:color="DDDDDD"/>
            </w:tcBorders>
            <w:shd w:val="clear" w:color="auto" w:fill="auto"/>
            <w:vAlign w:val="center"/>
          </w:tcPr>
          <w:p w14:paraId="5F386E1D" w14:textId="77777777" w:rsidR="00097466" w:rsidRDefault="00000000">
            <w:pPr>
              <w:spacing w:before="0" w:after="0" w:line="240" w:lineRule="auto"/>
              <w:jc w:val="left"/>
              <w:rPr>
                <w:color w:val="000000"/>
                <w:sz w:val="20"/>
                <w:szCs w:val="20"/>
              </w:rPr>
            </w:pPr>
            <w:r>
              <w:rPr>
                <w:color w:val="000000"/>
                <w:sz w:val="20"/>
                <w:szCs w:val="20"/>
              </w:rPr>
              <w:t>20,48</w:t>
            </w:r>
          </w:p>
        </w:tc>
      </w:tr>
      <w:tr w:rsidR="00097466" w14:paraId="6B34C21B" w14:textId="77777777">
        <w:trPr>
          <w:trHeight w:val="397"/>
        </w:trPr>
        <w:tc>
          <w:tcPr>
            <w:tcW w:w="1542" w:type="dxa"/>
            <w:tcBorders>
              <w:top w:val="nil"/>
              <w:left w:val="single" w:sz="8" w:space="0" w:color="DDDDDD"/>
              <w:bottom w:val="single" w:sz="8" w:space="0" w:color="DDDDDD"/>
              <w:right w:val="single" w:sz="8" w:space="0" w:color="DDDDDD"/>
            </w:tcBorders>
            <w:shd w:val="clear" w:color="auto" w:fill="auto"/>
            <w:vAlign w:val="center"/>
          </w:tcPr>
          <w:p w14:paraId="7CC656FC" w14:textId="77777777" w:rsidR="00097466" w:rsidRDefault="00000000">
            <w:pPr>
              <w:spacing w:before="0" w:after="0" w:line="240" w:lineRule="auto"/>
              <w:jc w:val="left"/>
              <w:rPr>
                <w:color w:val="000000"/>
                <w:sz w:val="20"/>
                <w:szCs w:val="20"/>
              </w:rPr>
            </w:pPr>
            <w:r>
              <w:rPr>
                <w:color w:val="000000"/>
                <w:sz w:val="20"/>
                <w:szCs w:val="20"/>
              </w:rPr>
              <w:t>Remisión estricta</w:t>
            </w:r>
          </w:p>
        </w:tc>
        <w:tc>
          <w:tcPr>
            <w:tcW w:w="1226" w:type="dxa"/>
            <w:tcBorders>
              <w:top w:val="nil"/>
              <w:left w:val="nil"/>
              <w:bottom w:val="single" w:sz="8" w:space="0" w:color="DDDDDD"/>
              <w:right w:val="single" w:sz="8" w:space="0" w:color="DDDDDD"/>
            </w:tcBorders>
            <w:shd w:val="clear" w:color="auto" w:fill="auto"/>
            <w:vAlign w:val="center"/>
          </w:tcPr>
          <w:p w14:paraId="6003E98C" w14:textId="77777777" w:rsidR="00097466" w:rsidRDefault="00000000">
            <w:pPr>
              <w:spacing w:before="0" w:after="0" w:line="240" w:lineRule="auto"/>
              <w:jc w:val="left"/>
              <w:rPr>
                <w:color w:val="000000"/>
                <w:sz w:val="20"/>
                <w:szCs w:val="20"/>
              </w:rPr>
            </w:pPr>
            <w:r>
              <w:rPr>
                <w:color w:val="000000"/>
                <w:sz w:val="20"/>
                <w:szCs w:val="20"/>
              </w:rPr>
              <w:t>69,31</w:t>
            </w:r>
          </w:p>
        </w:tc>
        <w:tc>
          <w:tcPr>
            <w:tcW w:w="1226" w:type="dxa"/>
            <w:tcBorders>
              <w:top w:val="nil"/>
              <w:left w:val="nil"/>
              <w:bottom w:val="single" w:sz="8" w:space="0" w:color="DDDDDD"/>
              <w:right w:val="single" w:sz="8" w:space="0" w:color="DDDDDD"/>
            </w:tcBorders>
            <w:shd w:val="clear" w:color="auto" w:fill="auto"/>
            <w:vAlign w:val="center"/>
          </w:tcPr>
          <w:p w14:paraId="11237E33" w14:textId="77777777" w:rsidR="00097466" w:rsidRDefault="00000000">
            <w:pPr>
              <w:spacing w:before="0" w:after="0" w:line="240" w:lineRule="auto"/>
              <w:jc w:val="left"/>
              <w:rPr>
                <w:color w:val="000000"/>
                <w:sz w:val="20"/>
                <w:szCs w:val="20"/>
              </w:rPr>
            </w:pPr>
            <w:r>
              <w:rPr>
                <w:color w:val="000000"/>
                <w:sz w:val="20"/>
                <w:szCs w:val="20"/>
              </w:rPr>
              <w:t>7,79</w:t>
            </w:r>
          </w:p>
        </w:tc>
        <w:tc>
          <w:tcPr>
            <w:tcW w:w="1117" w:type="dxa"/>
            <w:tcBorders>
              <w:top w:val="nil"/>
              <w:left w:val="nil"/>
              <w:bottom w:val="single" w:sz="8" w:space="0" w:color="DDDDDD"/>
              <w:right w:val="single" w:sz="8" w:space="0" w:color="DDDDDD"/>
            </w:tcBorders>
            <w:shd w:val="clear" w:color="auto" w:fill="auto"/>
            <w:vAlign w:val="center"/>
          </w:tcPr>
          <w:p w14:paraId="19AD11F1" w14:textId="77777777" w:rsidR="00097466" w:rsidRDefault="00000000">
            <w:pPr>
              <w:spacing w:before="0" w:after="0" w:line="240" w:lineRule="auto"/>
              <w:jc w:val="left"/>
              <w:rPr>
                <w:color w:val="000000"/>
                <w:sz w:val="20"/>
                <w:szCs w:val="20"/>
              </w:rPr>
            </w:pPr>
            <w:r>
              <w:rPr>
                <w:color w:val="000000"/>
                <w:sz w:val="20"/>
                <w:szCs w:val="20"/>
              </w:rPr>
              <w:t>77,1</w:t>
            </w:r>
          </w:p>
        </w:tc>
        <w:tc>
          <w:tcPr>
            <w:tcW w:w="1125" w:type="dxa"/>
            <w:tcBorders>
              <w:top w:val="nil"/>
              <w:left w:val="nil"/>
              <w:bottom w:val="single" w:sz="8" w:space="0" w:color="DDDDDD"/>
              <w:right w:val="single" w:sz="8" w:space="0" w:color="DDDDDD"/>
            </w:tcBorders>
            <w:shd w:val="clear" w:color="auto" w:fill="auto"/>
            <w:vAlign w:val="center"/>
          </w:tcPr>
          <w:p w14:paraId="1F9612DC" w14:textId="77777777" w:rsidR="00097466" w:rsidRDefault="00000000">
            <w:pPr>
              <w:spacing w:before="0" w:after="0" w:line="240" w:lineRule="auto"/>
              <w:jc w:val="left"/>
              <w:rPr>
                <w:color w:val="000000"/>
                <w:sz w:val="20"/>
                <w:szCs w:val="20"/>
              </w:rPr>
            </w:pPr>
            <w:r>
              <w:rPr>
                <w:color w:val="000000"/>
                <w:sz w:val="20"/>
                <w:szCs w:val="20"/>
              </w:rPr>
              <w:t>7,4</w:t>
            </w:r>
          </w:p>
        </w:tc>
        <w:tc>
          <w:tcPr>
            <w:tcW w:w="1125" w:type="dxa"/>
            <w:tcBorders>
              <w:top w:val="nil"/>
              <w:left w:val="nil"/>
              <w:bottom w:val="single" w:sz="8" w:space="0" w:color="DDDDDD"/>
              <w:right w:val="single" w:sz="8" w:space="0" w:color="DDDDDD"/>
            </w:tcBorders>
            <w:shd w:val="clear" w:color="auto" w:fill="auto"/>
            <w:vAlign w:val="center"/>
          </w:tcPr>
          <w:p w14:paraId="5B5E4043" w14:textId="77777777" w:rsidR="00097466" w:rsidRDefault="00000000">
            <w:pPr>
              <w:spacing w:before="0" w:after="0" w:line="240" w:lineRule="auto"/>
              <w:jc w:val="left"/>
              <w:rPr>
                <w:color w:val="000000"/>
                <w:sz w:val="20"/>
                <w:szCs w:val="20"/>
              </w:rPr>
            </w:pPr>
            <w:r>
              <w:rPr>
                <w:color w:val="000000"/>
                <w:sz w:val="20"/>
                <w:szCs w:val="20"/>
              </w:rPr>
              <w:t>8,62</w:t>
            </w:r>
          </w:p>
        </w:tc>
        <w:tc>
          <w:tcPr>
            <w:tcW w:w="1015" w:type="dxa"/>
            <w:tcBorders>
              <w:top w:val="nil"/>
              <w:left w:val="nil"/>
              <w:bottom w:val="single" w:sz="8" w:space="0" w:color="DDDDDD"/>
              <w:right w:val="single" w:sz="8" w:space="0" w:color="DDDDDD"/>
            </w:tcBorders>
            <w:shd w:val="clear" w:color="auto" w:fill="auto"/>
            <w:vAlign w:val="center"/>
          </w:tcPr>
          <w:p w14:paraId="49D428F9" w14:textId="77777777" w:rsidR="00097466" w:rsidRDefault="00000000" w:rsidP="002A3090">
            <w:pPr>
              <w:keepNext/>
              <w:spacing w:before="0" w:after="0" w:line="240" w:lineRule="auto"/>
              <w:jc w:val="left"/>
              <w:rPr>
                <w:color w:val="000000"/>
                <w:sz w:val="20"/>
                <w:szCs w:val="20"/>
              </w:rPr>
            </w:pPr>
            <w:r>
              <w:rPr>
                <w:color w:val="000000"/>
                <w:sz w:val="20"/>
                <w:szCs w:val="20"/>
              </w:rPr>
              <w:t>16,02</w:t>
            </w:r>
          </w:p>
        </w:tc>
      </w:tr>
    </w:tbl>
    <w:p w14:paraId="3D67D88E" w14:textId="6ED8E3B5" w:rsidR="002A3090" w:rsidRDefault="002A3090" w:rsidP="00C67F76">
      <w:pPr>
        <w:pStyle w:val="Descripcin"/>
      </w:pPr>
      <w:bookmarkStart w:id="161" w:name="_Toc230792267"/>
      <w:r>
        <w:t xml:space="preserve">Tabla </w:t>
      </w:r>
      <w:fldSimple w:instr=" SEQ Tabla \* ARABIC ">
        <w:r w:rsidR="00716AEA">
          <w:rPr>
            <w:noProof/>
          </w:rPr>
          <w:t>37</w:t>
        </w:r>
      </w:fldSimple>
      <w:r>
        <w:t xml:space="preserve">. </w:t>
      </w:r>
      <w:r w:rsidRPr="0077401F">
        <w:t>Varianza explicada (%) por componente y bloque en los cinco modelos DIABLO.</w:t>
      </w:r>
      <w:bookmarkEnd w:id="161"/>
    </w:p>
    <w:p w14:paraId="560D11BD" w14:textId="77777777" w:rsidR="00097466" w:rsidRDefault="00000000">
      <w:pPr>
        <w:pStyle w:val="Ttulo3"/>
        <w:numPr>
          <w:ilvl w:val="2"/>
          <w:numId w:val="17"/>
        </w:numPr>
      </w:pPr>
      <w:r>
        <w:t>Variables seleccionadas en el Componente 1</w:t>
      </w:r>
    </w:p>
    <w:p w14:paraId="4E6E5F7E" w14:textId="77777777" w:rsidR="00097466" w:rsidRDefault="00000000">
      <w:pPr>
        <w:pStyle w:val="Ttulo4"/>
        <w:numPr>
          <w:ilvl w:val="3"/>
          <w:numId w:val="17"/>
        </w:numPr>
      </w:pPr>
      <w:r>
        <w:t>Bloque transcriptómico</w:t>
      </w:r>
    </w:p>
    <w:p w14:paraId="7B524AD3" w14:textId="1F1ED052" w:rsidR="00097466" w:rsidRDefault="00000000">
      <w:r>
        <w:t>En el bloque transcriptómico, los 15 ISGs con mayor peso absoluto (</w:t>
      </w:r>
      <w:proofErr w:type="spellStart"/>
      <w:r>
        <w:t>loading</w:t>
      </w:r>
      <w:proofErr w:type="spellEnd"/>
      <w:r>
        <w:t>) en el Componente 1 de cada modelo se detallan en la Tabla 3</w:t>
      </w:r>
      <w:r w:rsidR="00A65E05">
        <w:t>8</w:t>
      </w:r>
      <w:r>
        <w:t>. Pese a la diversidad de desenlaces supervisados, se observa un núcleo común de ISGs con alta contribución transversal: TRIM38, IFITM1, EIFAK2, TAP1, PHF11, PARP9, SPATS2L y SP100 aparecen en las posiciones más destacadas en tres o más de los cinco modelos. Esta estabilidad sugiere que estos genes constituyen los principales ejes transcriptómicos de variación de la firma IFN-dependiente en la cohorte, independientemente del índice clínico empleado como supervisor.</w:t>
      </w:r>
    </w:p>
    <w:tbl>
      <w:tblPr>
        <w:tblW w:w="5000" w:type="pct"/>
        <w:tblCellMar>
          <w:left w:w="70" w:type="dxa"/>
          <w:right w:w="70" w:type="dxa"/>
        </w:tblCellMar>
        <w:tblLook w:val="04A0" w:firstRow="1" w:lastRow="0" w:firstColumn="1" w:lastColumn="0" w:noHBand="0" w:noVBand="1"/>
      </w:tblPr>
      <w:tblGrid>
        <w:gridCol w:w="842"/>
        <w:gridCol w:w="790"/>
        <w:gridCol w:w="842"/>
        <w:gridCol w:w="790"/>
        <w:gridCol w:w="945"/>
        <w:gridCol w:w="790"/>
        <w:gridCol w:w="956"/>
        <w:gridCol w:w="790"/>
        <w:gridCol w:w="955"/>
        <w:gridCol w:w="790"/>
      </w:tblGrid>
      <w:tr w:rsidR="005F6B95" w:rsidRPr="005F6B95" w14:paraId="2BD3E19A"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000000" w:fill="F2F2F2"/>
            <w:vAlign w:val="center"/>
            <w:hideMark/>
          </w:tcPr>
          <w:p w14:paraId="1F0D69A1" w14:textId="77777777" w:rsidR="005F6B95" w:rsidRPr="005F6B95" w:rsidRDefault="005F6B95" w:rsidP="00B93521">
            <w:pPr>
              <w:spacing w:before="0" w:after="0" w:line="240" w:lineRule="auto"/>
              <w:jc w:val="left"/>
              <w:rPr>
                <w:rFonts w:eastAsia="Times New Roman"/>
                <w:b/>
                <w:bCs/>
                <w:color w:val="000000"/>
                <w:sz w:val="20"/>
                <w:szCs w:val="20"/>
                <w:lang w:val="es-ES"/>
              </w:rPr>
            </w:pPr>
            <w:r w:rsidRPr="005F6B95">
              <w:rPr>
                <w:rFonts w:eastAsia="Times New Roman"/>
                <w:b/>
                <w:bCs/>
                <w:color w:val="000000"/>
                <w:sz w:val="20"/>
                <w:szCs w:val="20"/>
                <w:lang w:val="es-ES"/>
              </w:rPr>
              <w:t>SLEDAI</w:t>
            </w:r>
          </w:p>
        </w:tc>
        <w:tc>
          <w:tcPr>
            <w:tcW w:w="465" w:type="pct"/>
            <w:tcBorders>
              <w:top w:val="single" w:sz="8" w:space="0" w:color="DDDDDD"/>
              <w:left w:val="single" w:sz="4" w:space="0" w:color="D9D9D9" w:themeColor="background1" w:themeShade="D9"/>
              <w:bottom w:val="single" w:sz="8" w:space="0" w:color="DDDDDD"/>
              <w:right w:val="single" w:sz="8" w:space="0" w:color="DDDDDD"/>
            </w:tcBorders>
            <w:shd w:val="clear" w:color="000000" w:fill="F2F2F2"/>
            <w:vAlign w:val="center"/>
            <w:hideMark/>
          </w:tcPr>
          <w:p w14:paraId="609A0B65" w14:textId="77777777" w:rsidR="005F6B95" w:rsidRPr="005F6B95" w:rsidRDefault="005F6B95" w:rsidP="00B93521">
            <w:pPr>
              <w:spacing w:before="0" w:after="0" w:line="240" w:lineRule="auto"/>
              <w:jc w:val="left"/>
              <w:rPr>
                <w:rFonts w:eastAsia="Times New Roman"/>
                <w:b/>
                <w:bCs/>
                <w:color w:val="000000"/>
                <w:sz w:val="20"/>
                <w:szCs w:val="20"/>
                <w:lang w:val="es-ES"/>
              </w:rPr>
            </w:pPr>
            <w:proofErr w:type="spellStart"/>
            <w:r w:rsidRPr="005F6B95">
              <w:rPr>
                <w:rFonts w:eastAsia="Times New Roman"/>
                <w:b/>
                <w:bCs/>
                <w:color w:val="000000"/>
                <w:sz w:val="20"/>
                <w:szCs w:val="20"/>
                <w:lang w:val="es-ES"/>
              </w:rPr>
              <w:t>Loading</w:t>
            </w:r>
            <w:proofErr w:type="spellEnd"/>
          </w:p>
        </w:tc>
        <w:tc>
          <w:tcPr>
            <w:tcW w:w="496" w:type="pct"/>
            <w:tcBorders>
              <w:top w:val="single" w:sz="8" w:space="0" w:color="DDDDDD"/>
              <w:left w:val="nil"/>
              <w:bottom w:val="single" w:sz="8" w:space="0" w:color="DDDDDD"/>
              <w:right w:val="single" w:sz="8" w:space="0" w:color="DDDDDD"/>
            </w:tcBorders>
            <w:shd w:val="clear" w:color="000000" w:fill="F2F2F2"/>
            <w:vAlign w:val="center"/>
            <w:hideMark/>
          </w:tcPr>
          <w:p w14:paraId="10B40D97" w14:textId="77777777" w:rsidR="005F6B95" w:rsidRPr="005F6B95" w:rsidRDefault="005F6B95" w:rsidP="00B93521">
            <w:pPr>
              <w:spacing w:before="0" w:after="0" w:line="240" w:lineRule="auto"/>
              <w:jc w:val="left"/>
              <w:rPr>
                <w:rFonts w:eastAsia="Times New Roman"/>
                <w:b/>
                <w:bCs/>
                <w:color w:val="000000"/>
                <w:sz w:val="20"/>
                <w:szCs w:val="20"/>
                <w:lang w:val="es-ES"/>
              </w:rPr>
            </w:pPr>
            <w:r w:rsidRPr="005F6B95">
              <w:rPr>
                <w:rFonts w:eastAsia="Times New Roman"/>
                <w:b/>
                <w:bCs/>
                <w:color w:val="000000"/>
                <w:sz w:val="20"/>
                <w:szCs w:val="20"/>
                <w:lang w:val="es-ES"/>
              </w:rPr>
              <w:t>SLE-DAS</w:t>
            </w:r>
          </w:p>
        </w:tc>
        <w:tc>
          <w:tcPr>
            <w:tcW w:w="465" w:type="pct"/>
            <w:tcBorders>
              <w:top w:val="single" w:sz="8" w:space="0" w:color="DDDDDD"/>
              <w:left w:val="nil"/>
              <w:bottom w:val="single" w:sz="8" w:space="0" w:color="DDDDDD"/>
              <w:right w:val="single" w:sz="8" w:space="0" w:color="DDDDDD"/>
            </w:tcBorders>
            <w:shd w:val="clear" w:color="000000" w:fill="F2F2F2"/>
            <w:vAlign w:val="center"/>
            <w:hideMark/>
          </w:tcPr>
          <w:p w14:paraId="667A22E9" w14:textId="77777777" w:rsidR="005F6B95" w:rsidRPr="005F6B95" w:rsidRDefault="005F6B95" w:rsidP="00B93521">
            <w:pPr>
              <w:spacing w:before="0" w:after="0" w:line="240" w:lineRule="auto"/>
              <w:jc w:val="left"/>
              <w:rPr>
                <w:rFonts w:eastAsia="Times New Roman"/>
                <w:b/>
                <w:bCs/>
                <w:color w:val="000000"/>
                <w:sz w:val="20"/>
                <w:szCs w:val="20"/>
                <w:lang w:val="es-ES"/>
              </w:rPr>
            </w:pPr>
            <w:proofErr w:type="spellStart"/>
            <w:r w:rsidRPr="005F6B95">
              <w:rPr>
                <w:rFonts w:eastAsia="Times New Roman"/>
                <w:b/>
                <w:bCs/>
                <w:color w:val="000000"/>
                <w:sz w:val="20"/>
                <w:szCs w:val="20"/>
                <w:lang w:val="es-ES"/>
              </w:rPr>
              <w:t>Loading</w:t>
            </w:r>
            <w:proofErr w:type="spellEnd"/>
          </w:p>
        </w:tc>
        <w:tc>
          <w:tcPr>
            <w:tcW w:w="556" w:type="pct"/>
            <w:tcBorders>
              <w:top w:val="single" w:sz="8" w:space="0" w:color="DDDDDD"/>
              <w:left w:val="nil"/>
              <w:bottom w:val="single" w:sz="8" w:space="0" w:color="DDDDDD"/>
              <w:right w:val="single" w:sz="8" w:space="0" w:color="DDDDDD"/>
            </w:tcBorders>
            <w:shd w:val="clear" w:color="000000" w:fill="F2F2F2"/>
            <w:vAlign w:val="center"/>
            <w:hideMark/>
          </w:tcPr>
          <w:p w14:paraId="769A224D" w14:textId="77777777" w:rsidR="005F6B95" w:rsidRPr="005F6B95" w:rsidRDefault="005F6B95" w:rsidP="00B93521">
            <w:pPr>
              <w:spacing w:before="0" w:after="0" w:line="240" w:lineRule="auto"/>
              <w:jc w:val="left"/>
              <w:rPr>
                <w:rFonts w:eastAsia="Times New Roman"/>
                <w:b/>
                <w:bCs/>
                <w:color w:val="000000"/>
                <w:sz w:val="20"/>
                <w:szCs w:val="20"/>
                <w:lang w:val="es-ES"/>
              </w:rPr>
            </w:pPr>
            <w:r w:rsidRPr="005F6B95">
              <w:rPr>
                <w:rFonts w:eastAsia="Times New Roman"/>
                <w:b/>
                <w:bCs/>
                <w:color w:val="000000"/>
                <w:sz w:val="20"/>
                <w:szCs w:val="20"/>
                <w:lang w:val="es-ES"/>
              </w:rPr>
              <w:t>SLICC/SDI</w:t>
            </w:r>
          </w:p>
        </w:tc>
        <w:tc>
          <w:tcPr>
            <w:tcW w:w="465" w:type="pct"/>
            <w:tcBorders>
              <w:top w:val="single" w:sz="8" w:space="0" w:color="DDDDDD"/>
              <w:left w:val="nil"/>
              <w:bottom w:val="single" w:sz="8" w:space="0" w:color="DDDDDD"/>
              <w:right w:val="single" w:sz="8" w:space="0" w:color="DDDDDD"/>
            </w:tcBorders>
            <w:shd w:val="clear" w:color="000000" w:fill="F2F2F2"/>
            <w:vAlign w:val="center"/>
            <w:hideMark/>
          </w:tcPr>
          <w:p w14:paraId="1222E620" w14:textId="77777777" w:rsidR="005F6B95" w:rsidRPr="005F6B95" w:rsidRDefault="005F6B95" w:rsidP="00B93521">
            <w:pPr>
              <w:spacing w:before="0" w:after="0" w:line="240" w:lineRule="auto"/>
              <w:jc w:val="left"/>
              <w:rPr>
                <w:rFonts w:eastAsia="Times New Roman"/>
                <w:b/>
                <w:bCs/>
                <w:color w:val="000000"/>
                <w:sz w:val="20"/>
                <w:szCs w:val="20"/>
                <w:lang w:val="es-ES"/>
              </w:rPr>
            </w:pPr>
            <w:proofErr w:type="spellStart"/>
            <w:r w:rsidRPr="005F6B95">
              <w:rPr>
                <w:rFonts w:eastAsia="Times New Roman"/>
                <w:b/>
                <w:bCs/>
                <w:color w:val="000000"/>
                <w:sz w:val="20"/>
                <w:szCs w:val="20"/>
                <w:lang w:val="es-ES"/>
              </w:rPr>
              <w:t>Loading</w:t>
            </w:r>
            <w:proofErr w:type="spellEnd"/>
          </w:p>
        </w:tc>
        <w:tc>
          <w:tcPr>
            <w:tcW w:w="563" w:type="pct"/>
            <w:tcBorders>
              <w:top w:val="single" w:sz="8" w:space="0" w:color="DDDDDD"/>
              <w:left w:val="nil"/>
              <w:bottom w:val="single" w:sz="8" w:space="0" w:color="DDDDDD"/>
              <w:right w:val="single" w:sz="8" w:space="0" w:color="DDDDDD"/>
            </w:tcBorders>
            <w:shd w:val="clear" w:color="000000" w:fill="F2F2F2"/>
            <w:vAlign w:val="center"/>
            <w:hideMark/>
          </w:tcPr>
          <w:p w14:paraId="5FE320BB" w14:textId="77777777" w:rsidR="005F6B95" w:rsidRPr="005F6B95" w:rsidRDefault="005F6B95" w:rsidP="00B93521">
            <w:pPr>
              <w:spacing w:before="0" w:after="0" w:line="240" w:lineRule="auto"/>
              <w:jc w:val="left"/>
              <w:rPr>
                <w:rFonts w:eastAsia="Times New Roman"/>
                <w:b/>
                <w:bCs/>
                <w:color w:val="000000"/>
                <w:sz w:val="20"/>
                <w:szCs w:val="20"/>
                <w:lang w:val="es-ES"/>
              </w:rPr>
            </w:pPr>
            <w:r w:rsidRPr="005F6B95">
              <w:rPr>
                <w:rFonts w:eastAsia="Times New Roman"/>
                <w:b/>
                <w:bCs/>
                <w:color w:val="000000"/>
                <w:sz w:val="20"/>
                <w:szCs w:val="20"/>
                <w:lang w:val="es-ES"/>
              </w:rPr>
              <w:t>DORIS</w:t>
            </w:r>
          </w:p>
        </w:tc>
        <w:tc>
          <w:tcPr>
            <w:tcW w:w="465" w:type="pct"/>
            <w:tcBorders>
              <w:top w:val="single" w:sz="8" w:space="0" w:color="DDDDDD"/>
              <w:left w:val="nil"/>
              <w:bottom w:val="single" w:sz="8" w:space="0" w:color="DDDDDD"/>
              <w:right w:val="single" w:sz="8" w:space="0" w:color="DDDDDD"/>
            </w:tcBorders>
            <w:shd w:val="clear" w:color="000000" w:fill="F2F2F2"/>
            <w:vAlign w:val="center"/>
            <w:hideMark/>
          </w:tcPr>
          <w:p w14:paraId="276B8E3C" w14:textId="77777777" w:rsidR="005F6B95" w:rsidRPr="005F6B95" w:rsidRDefault="005F6B95" w:rsidP="00B93521">
            <w:pPr>
              <w:spacing w:before="0" w:after="0" w:line="240" w:lineRule="auto"/>
              <w:jc w:val="left"/>
              <w:rPr>
                <w:rFonts w:eastAsia="Times New Roman"/>
                <w:b/>
                <w:bCs/>
                <w:color w:val="000000"/>
                <w:sz w:val="20"/>
                <w:szCs w:val="20"/>
                <w:lang w:val="es-ES"/>
              </w:rPr>
            </w:pPr>
            <w:proofErr w:type="spellStart"/>
            <w:r w:rsidRPr="005F6B95">
              <w:rPr>
                <w:rFonts w:eastAsia="Times New Roman"/>
                <w:b/>
                <w:bCs/>
                <w:color w:val="000000"/>
                <w:sz w:val="20"/>
                <w:szCs w:val="20"/>
                <w:lang w:val="es-ES"/>
              </w:rPr>
              <w:t>Loading</w:t>
            </w:r>
            <w:proofErr w:type="spellEnd"/>
          </w:p>
        </w:tc>
        <w:tc>
          <w:tcPr>
            <w:tcW w:w="562" w:type="pct"/>
            <w:tcBorders>
              <w:top w:val="single" w:sz="8" w:space="0" w:color="DDDDDD"/>
              <w:left w:val="nil"/>
              <w:bottom w:val="single" w:sz="8" w:space="0" w:color="DDDDDD"/>
              <w:right w:val="single" w:sz="8" w:space="0" w:color="DDDDDD"/>
            </w:tcBorders>
            <w:shd w:val="clear" w:color="000000" w:fill="F2F2F2"/>
            <w:vAlign w:val="center"/>
            <w:hideMark/>
          </w:tcPr>
          <w:p w14:paraId="643C67A4" w14:textId="77777777" w:rsidR="005F6B95" w:rsidRPr="005F6B95" w:rsidRDefault="005F6B95" w:rsidP="00B93521">
            <w:pPr>
              <w:spacing w:before="0" w:after="0" w:line="240" w:lineRule="auto"/>
              <w:jc w:val="left"/>
              <w:rPr>
                <w:rFonts w:eastAsia="Times New Roman"/>
                <w:b/>
                <w:bCs/>
                <w:color w:val="000000"/>
                <w:sz w:val="20"/>
                <w:szCs w:val="20"/>
                <w:lang w:val="es-ES"/>
              </w:rPr>
            </w:pPr>
            <w:r w:rsidRPr="005F6B95">
              <w:rPr>
                <w:rFonts w:eastAsia="Times New Roman"/>
                <w:b/>
                <w:bCs/>
                <w:color w:val="000000"/>
                <w:sz w:val="20"/>
                <w:szCs w:val="20"/>
                <w:lang w:val="es-ES"/>
              </w:rPr>
              <w:t>Rem. Estricta</w:t>
            </w:r>
          </w:p>
        </w:tc>
        <w:tc>
          <w:tcPr>
            <w:tcW w:w="465" w:type="pct"/>
            <w:tcBorders>
              <w:top w:val="single" w:sz="8" w:space="0" w:color="DDDDDD"/>
              <w:left w:val="nil"/>
              <w:bottom w:val="single" w:sz="8" w:space="0" w:color="DDDDDD"/>
              <w:right w:val="single" w:sz="8" w:space="0" w:color="DDDDDD"/>
            </w:tcBorders>
            <w:shd w:val="clear" w:color="000000" w:fill="F2F2F2"/>
            <w:vAlign w:val="center"/>
            <w:hideMark/>
          </w:tcPr>
          <w:p w14:paraId="7C60E23B" w14:textId="77777777" w:rsidR="005F6B95" w:rsidRPr="005F6B95" w:rsidRDefault="005F6B95" w:rsidP="00B93521">
            <w:pPr>
              <w:spacing w:before="0" w:after="0" w:line="240" w:lineRule="auto"/>
              <w:jc w:val="left"/>
              <w:rPr>
                <w:rFonts w:eastAsia="Times New Roman"/>
                <w:b/>
                <w:bCs/>
                <w:color w:val="000000"/>
                <w:sz w:val="20"/>
                <w:szCs w:val="20"/>
                <w:lang w:val="es-ES"/>
              </w:rPr>
            </w:pPr>
            <w:proofErr w:type="spellStart"/>
            <w:r w:rsidRPr="005F6B95">
              <w:rPr>
                <w:rFonts w:eastAsia="Times New Roman"/>
                <w:b/>
                <w:bCs/>
                <w:color w:val="000000"/>
                <w:sz w:val="20"/>
                <w:szCs w:val="20"/>
                <w:lang w:val="es-ES"/>
              </w:rPr>
              <w:t>Loading</w:t>
            </w:r>
            <w:proofErr w:type="spellEnd"/>
          </w:p>
        </w:tc>
      </w:tr>
      <w:tr w:rsidR="005F6B95" w:rsidRPr="005F6B95" w14:paraId="730F85F1"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7A82A7A2" w14:textId="77777777" w:rsidR="005F6B95" w:rsidRDefault="005F6B95" w:rsidP="00B93521">
            <w:pPr>
              <w:spacing w:before="0" w:after="0" w:line="240" w:lineRule="auto"/>
              <w:jc w:val="left"/>
              <w:rPr>
                <w:b/>
                <w:bCs/>
                <w:color w:val="000000"/>
                <w:sz w:val="20"/>
                <w:szCs w:val="20"/>
              </w:rPr>
            </w:pPr>
            <w:r>
              <w:rPr>
                <w:b/>
                <w:bCs/>
                <w:color w:val="000000"/>
                <w:sz w:val="20"/>
                <w:szCs w:val="20"/>
              </w:rPr>
              <w:t>IFITM1</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0165F821" w14:textId="7C2A7251"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w:t>
            </w:r>
            <w:r w:rsidR="00C02D76">
              <w:rPr>
                <w:rFonts w:eastAsia="Times New Roman"/>
                <w:color w:val="000000"/>
                <w:sz w:val="20"/>
                <w:szCs w:val="20"/>
                <w:lang w:val="es-ES"/>
              </w:rPr>
              <w:t>70</w:t>
            </w:r>
          </w:p>
        </w:tc>
        <w:tc>
          <w:tcPr>
            <w:tcW w:w="496" w:type="pct"/>
            <w:tcBorders>
              <w:top w:val="nil"/>
              <w:left w:val="nil"/>
              <w:bottom w:val="single" w:sz="8" w:space="0" w:color="DDDDDD"/>
              <w:right w:val="single" w:sz="8" w:space="0" w:color="DDDDDD"/>
            </w:tcBorders>
            <w:shd w:val="clear" w:color="auto" w:fill="auto"/>
            <w:vAlign w:val="center"/>
            <w:hideMark/>
          </w:tcPr>
          <w:p w14:paraId="3FECAA48" w14:textId="77777777" w:rsidR="005F6B95" w:rsidRDefault="005F6B95" w:rsidP="00B93521">
            <w:pPr>
              <w:spacing w:before="0" w:after="0" w:line="240" w:lineRule="auto"/>
              <w:jc w:val="left"/>
              <w:rPr>
                <w:color w:val="000000"/>
                <w:sz w:val="20"/>
                <w:szCs w:val="20"/>
              </w:rPr>
            </w:pPr>
            <w:r>
              <w:rPr>
                <w:color w:val="000000"/>
                <w:sz w:val="20"/>
                <w:szCs w:val="20"/>
              </w:rPr>
              <w:t>IFI27</w:t>
            </w:r>
          </w:p>
        </w:tc>
        <w:tc>
          <w:tcPr>
            <w:tcW w:w="465" w:type="pct"/>
            <w:tcBorders>
              <w:top w:val="nil"/>
              <w:left w:val="nil"/>
              <w:bottom w:val="single" w:sz="8" w:space="0" w:color="DDDDDD"/>
              <w:right w:val="single" w:sz="8" w:space="0" w:color="DDDDDD"/>
            </w:tcBorders>
            <w:shd w:val="clear" w:color="auto" w:fill="auto"/>
            <w:vAlign w:val="center"/>
            <w:hideMark/>
          </w:tcPr>
          <w:p w14:paraId="754D7102"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0,5</w:t>
            </w:r>
          </w:p>
        </w:tc>
        <w:tc>
          <w:tcPr>
            <w:tcW w:w="556" w:type="pct"/>
            <w:tcBorders>
              <w:top w:val="nil"/>
              <w:left w:val="nil"/>
              <w:bottom w:val="single" w:sz="8" w:space="0" w:color="DDDDDD"/>
              <w:right w:val="single" w:sz="8" w:space="0" w:color="DDDDDD"/>
            </w:tcBorders>
            <w:shd w:val="clear" w:color="auto" w:fill="auto"/>
            <w:vAlign w:val="center"/>
            <w:hideMark/>
          </w:tcPr>
          <w:p w14:paraId="36F551C3" w14:textId="77777777" w:rsidR="005F6B95" w:rsidRDefault="005F6B95" w:rsidP="00B93521">
            <w:pPr>
              <w:spacing w:before="0" w:after="0" w:line="240" w:lineRule="auto"/>
              <w:jc w:val="left"/>
              <w:rPr>
                <w:b/>
                <w:bCs/>
                <w:color w:val="000000"/>
                <w:sz w:val="20"/>
                <w:szCs w:val="20"/>
              </w:rPr>
            </w:pPr>
            <w:r>
              <w:rPr>
                <w:b/>
                <w:bCs/>
                <w:color w:val="000000"/>
                <w:sz w:val="20"/>
                <w:szCs w:val="20"/>
              </w:rPr>
              <w:t>TRIM38</w:t>
            </w:r>
          </w:p>
        </w:tc>
        <w:tc>
          <w:tcPr>
            <w:tcW w:w="465" w:type="pct"/>
            <w:tcBorders>
              <w:top w:val="nil"/>
              <w:left w:val="nil"/>
              <w:bottom w:val="single" w:sz="8" w:space="0" w:color="DDDDDD"/>
              <w:right w:val="single" w:sz="8" w:space="0" w:color="DDDDDD"/>
            </w:tcBorders>
            <w:shd w:val="clear" w:color="auto" w:fill="auto"/>
            <w:vAlign w:val="center"/>
            <w:hideMark/>
          </w:tcPr>
          <w:p w14:paraId="7C4E7F60"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−0,56</w:t>
            </w:r>
          </w:p>
        </w:tc>
        <w:tc>
          <w:tcPr>
            <w:tcW w:w="563" w:type="pct"/>
            <w:tcBorders>
              <w:top w:val="nil"/>
              <w:left w:val="nil"/>
              <w:bottom w:val="single" w:sz="8" w:space="0" w:color="DDDDDD"/>
              <w:right w:val="single" w:sz="8" w:space="0" w:color="DDDDDD"/>
            </w:tcBorders>
            <w:shd w:val="clear" w:color="auto" w:fill="auto"/>
            <w:vAlign w:val="center"/>
            <w:hideMark/>
          </w:tcPr>
          <w:p w14:paraId="6A798866" w14:textId="77777777" w:rsidR="005F6B95" w:rsidRDefault="005F6B95" w:rsidP="00B93521">
            <w:pPr>
              <w:spacing w:before="0" w:after="0" w:line="240" w:lineRule="auto"/>
              <w:jc w:val="left"/>
              <w:rPr>
                <w:color w:val="000000"/>
                <w:sz w:val="20"/>
                <w:szCs w:val="20"/>
              </w:rPr>
            </w:pPr>
            <w:r>
              <w:rPr>
                <w:color w:val="000000"/>
                <w:sz w:val="20"/>
                <w:szCs w:val="20"/>
              </w:rPr>
              <w:t>IFI27</w:t>
            </w:r>
          </w:p>
        </w:tc>
        <w:tc>
          <w:tcPr>
            <w:tcW w:w="465" w:type="pct"/>
            <w:tcBorders>
              <w:top w:val="nil"/>
              <w:left w:val="nil"/>
              <w:bottom w:val="single" w:sz="8" w:space="0" w:color="DDDDDD"/>
              <w:right w:val="single" w:sz="8" w:space="0" w:color="DDDDDD"/>
            </w:tcBorders>
            <w:shd w:val="clear" w:color="auto" w:fill="auto"/>
            <w:vAlign w:val="center"/>
            <w:hideMark/>
          </w:tcPr>
          <w:p w14:paraId="53729B14"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0,57</w:t>
            </w:r>
          </w:p>
        </w:tc>
        <w:tc>
          <w:tcPr>
            <w:tcW w:w="562" w:type="pct"/>
            <w:tcBorders>
              <w:top w:val="nil"/>
              <w:left w:val="nil"/>
              <w:bottom w:val="single" w:sz="8" w:space="0" w:color="DDDDDD"/>
              <w:right w:val="single" w:sz="8" w:space="0" w:color="DDDDDD"/>
            </w:tcBorders>
            <w:shd w:val="clear" w:color="auto" w:fill="auto"/>
            <w:vAlign w:val="center"/>
            <w:hideMark/>
          </w:tcPr>
          <w:p w14:paraId="6EB428ED" w14:textId="77777777" w:rsidR="005F6B95" w:rsidRDefault="005F6B95" w:rsidP="00B93521">
            <w:pPr>
              <w:spacing w:before="0" w:after="0" w:line="240" w:lineRule="auto"/>
              <w:jc w:val="left"/>
              <w:rPr>
                <w:b/>
                <w:bCs/>
                <w:color w:val="000000"/>
                <w:sz w:val="20"/>
                <w:szCs w:val="20"/>
              </w:rPr>
            </w:pPr>
            <w:r>
              <w:rPr>
                <w:b/>
                <w:bCs/>
                <w:color w:val="000000"/>
                <w:sz w:val="20"/>
                <w:szCs w:val="20"/>
              </w:rPr>
              <w:t>TRIM38</w:t>
            </w:r>
          </w:p>
        </w:tc>
        <w:tc>
          <w:tcPr>
            <w:tcW w:w="465" w:type="pct"/>
            <w:tcBorders>
              <w:top w:val="nil"/>
              <w:left w:val="nil"/>
              <w:bottom w:val="single" w:sz="8" w:space="0" w:color="DDDDDD"/>
              <w:right w:val="single" w:sz="8" w:space="0" w:color="DDDDDD"/>
            </w:tcBorders>
            <w:shd w:val="clear" w:color="auto" w:fill="auto"/>
            <w:vAlign w:val="center"/>
            <w:hideMark/>
          </w:tcPr>
          <w:p w14:paraId="10930410"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−0,48</w:t>
            </w:r>
          </w:p>
        </w:tc>
      </w:tr>
      <w:tr w:rsidR="005F6B95" w:rsidRPr="005F6B95" w14:paraId="7C047BF3"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35926E3B" w14:textId="77777777" w:rsidR="005F6B95" w:rsidRDefault="005F6B95" w:rsidP="00B93521">
            <w:pPr>
              <w:spacing w:before="0" w:after="0" w:line="240" w:lineRule="auto"/>
              <w:jc w:val="left"/>
              <w:rPr>
                <w:b/>
                <w:bCs/>
                <w:color w:val="000000"/>
                <w:sz w:val="20"/>
                <w:szCs w:val="20"/>
              </w:rPr>
            </w:pPr>
            <w:r>
              <w:rPr>
                <w:b/>
                <w:bCs/>
                <w:color w:val="000000"/>
                <w:sz w:val="20"/>
                <w:szCs w:val="20"/>
              </w:rPr>
              <w:t>TRIM38</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4D9B94B1"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−0,50</w:t>
            </w:r>
          </w:p>
        </w:tc>
        <w:tc>
          <w:tcPr>
            <w:tcW w:w="496" w:type="pct"/>
            <w:tcBorders>
              <w:top w:val="nil"/>
              <w:left w:val="nil"/>
              <w:bottom w:val="single" w:sz="8" w:space="0" w:color="DDDDDD"/>
              <w:right w:val="single" w:sz="8" w:space="0" w:color="DDDDDD"/>
            </w:tcBorders>
            <w:shd w:val="clear" w:color="auto" w:fill="auto"/>
            <w:vAlign w:val="center"/>
            <w:hideMark/>
          </w:tcPr>
          <w:p w14:paraId="64A41A2C" w14:textId="77777777" w:rsidR="005F6B95" w:rsidRDefault="005F6B95" w:rsidP="00B93521">
            <w:pPr>
              <w:spacing w:before="0" w:after="0" w:line="240" w:lineRule="auto"/>
              <w:jc w:val="left"/>
              <w:rPr>
                <w:color w:val="000000"/>
                <w:sz w:val="20"/>
                <w:szCs w:val="20"/>
              </w:rPr>
            </w:pPr>
            <w:r>
              <w:rPr>
                <w:color w:val="000000"/>
                <w:sz w:val="20"/>
                <w:szCs w:val="20"/>
              </w:rPr>
              <w:t>USP18</w:t>
            </w:r>
          </w:p>
        </w:tc>
        <w:tc>
          <w:tcPr>
            <w:tcW w:w="465" w:type="pct"/>
            <w:tcBorders>
              <w:top w:val="nil"/>
              <w:left w:val="nil"/>
              <w:bottom w:val="single" w:sz="8" w:space="0" w:color="DDDDDD"/>
              <w:right w:val="single" w:sz="8" w:space="0" w:color="DDDDDD"/>
            </w:tcBorders>
            <w:shd w:val="clear" w:color="auto" w:fill="auto"/>
            <w:vAlign w:val="center"/>
            <w:hideMark/>
          </w:tcPr>
          <w:p w14:paraId="068CFBF4"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0,28</w:t>
            </w:r>
          </w:p>
        </w:tc>
        <w:tc>
          <w:tcPr>
            <w:tcW w:w="556" w:type="pct"/>
            <w:tcBorders>
              <w:top w:val="nil"/>
              <w:left w:val="nil"/>
              <w:bottom w:val="single" w:sz="8" w:space="0" w:color="DDDDDD"/>
              <w:right w:val="single" w:sz="8" w:space="0" w:color="DDDDDD"/>
            </w:tcBorders>
            <w:shd w:val="clear" w:color="auto" w:fill="auto"/>
            <w:vAlign w:val="center"/>
            <w:hideMark/>
          </w:tcPr>
          <w:p w14:paraId="69AA7DAE" w14:textId="77777777" w:rsidR="005F6B95" w:rsidRDefault="005F6B95" w:rsidP="00B93521">
            <w:pPr>
              <w:spacing w:before="0" w:after="0" w:line="240" w:lineRule="auto"/>
              <w:jc w:val="left"/>
              <w:rPr>
                <w:b/>
                <w:bCs/>
                <w:color w:val="000000"/>
                <w:sz w:val="20"/>
                <w:szCs w:val="20"/>
              </w:rPr>
            </w:pPr>
            <w:r>
              <w:rPr>
                <w:b/>
                <w:bCs/>
                <w:color w:val="000000"/>
                <w:sz w:val="20"/>
                <w:szCs w:val="20"/>
              </w:rPr>
              <w:t>PARP9</w:t>
            </w:r>
          </w:p>
        </w:tc>
        <w:tc>
          <w:tcPr>
            <w:tcW w:w="465" w:type="pct"/>
            <w:tcBorders>
              <w:top w:val="nil"/>
              <w:left w:val="nil"/>
              <w:bottom w:val="single" w:sz="8" w:space="0" w:color="DDDDDD"/>
              <w:right w:val="single" w:sz="8" w:space="0" w:color="DDDDDD"/>
            </w:tcBorders>
            <w:shd w:val="clear" w:color="auto" w:fill="auto"/>
            <w:vAlign w:val="center"/>
            <w:hideMark/>
          </w:tcPr>
          <w:p w14:paraId="4CA46556"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−0,37</w:t>
            </w:r>
          </w:p>
        </w:tc>
        <w:tc>
          <w:tcPr>
            <w:tcW w:w="563" w:type="pct"/>
            <w:tcBorders>
              <w:top w:val="nil"/>
              <w:left w:val="nil"/>
              <w:bottom w:val="single" w:sz="8" w:space="0" w:color="DDDDDD"/>
              <w:right w:val="single" w:sz="8" w:space="0" w:color="DDDDDD"/>
            </w:tcBorders>
            <w:shd w:val="clear" w:color="auto" w:fill="auto"/>
            <w:vAlign w:val="center"/>
            <w:hideMark/>
          </w:tcPr>
          <w:p w14:paraId="59D06803" w14:textId="77777777" w:rsidR="005F6B95" w:rsidRDefault="005F6B95" w:rsidP="00B93521">
            <w:pPr>
              <w:spacing w:before="0" w:after="0" w:line="240" w:lineRule="auto"/>
              <w:jc w:val="left"/>
              <w:rPr>
                <w:color w:val="000000"/>
                <w:sz w:val="20"/>
                <w:szCs w:val="20"/>
              </w:rPr>
            </w:pPr>
            <w:r>
              <w:rPr>
                <w:color w:val="000000"/>
                <w:sz w:val="20"/>
                <w:szCs w:val="20"/>
              </w:rPr>
              <w:t>LGALS3BP</w:t>
            </w:r>
          </w:p>
        </w:tc>
        <w:tc>
          <w:tcPr>
            <w:tcW w:w="465" w:type="pct"/>
            <w:tcBorders>
              <w:top w:val="nil"/>
              <w:left w:val="nil"/>
              <w:bottom w:val="single" w:sz="8" w:space="0" w:color="DDDDDD"/>
              <w:right w:val="single" w:sz="8" w:space="0" w:color="DDDDDD"/>
            </w:tcBorders>
            <w:shd w:val="clear" w:color="auto" w:fill="auto"/>
            <w:vAlign w:val="center"/>
            <w:hideMark/>
          </w:tcPr>
          <w:p w14:paraId="2B3317C7"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0,33</w:t>
            </w:r>
          </w:p>
        </w:tc>
        <w:tc>
          <w:tcPr>
            <w:tcW w:w="562" w:type="pct"/>
            <w:tcBorders>
              <w:top w:val="nil"/>
              <w:left w:val="nil"/>
              <w:bottom w:val="single" w:sz="8" w:space="0" w:color="DDDDDD"/>
              <w:right w:val="single" w:sz="8" w:space="0" w:color="DDDDDD"/>
            </w:tcBorders>
            <w:shd w:val="clear" w:color="auto" w:fill="auto"/>
            <w:vAlign w:val="center"/>
            <w:hideMark/>
          </w:tcPr>
          <w:p w14:paraId="6223FB37" w14:textId="77777777" w:rsidR="005F6B95" w:rsidRDefault="005F6B95" w:rsidP="00B93521">
            <w:pPr>
              <w:spacing w:before="0" w:after="0" w:line="240" w:lineRule="auto"/>
              <w:jc w:val="left"/>
              <w:rPr>
                <w:b/>
                <w:bCs/>
                <w:color w:val="000000"/>
                <w:sz w:val="20"/>
                <w:szCs w:val="20"/>
              </w:rPr>
            </w:pPr>
            <w:r>
              <w:rPr>
                <w:b/>
                <w:bCs/>
                <w:color w:val="000000"/>
                <w:sz w:val="20"/>
                <w:szCs w:val="20"/>
              </w:rPr>
              <w:t>IFITM1</w:t>
            </w:r>
          </w:p>
        </w:tc>
        <w:tc>
          <w:tcPr>
            <w:tcW w:w="465" w:type="pct"/>
            <w:tcBorders>
              <w:top w:val="nil"/>
              <w:left w:val="nil"/>
              <w:bottom w:val="single" w:sz="8" w:space="0" w:color="DDDDDD"/>
              <w:right w:val="single" w:sz="8" w:space="0" w:color="DDDDDD"/>
            </w:tcBorders>
            <w:shd w:val="clear" w:color="auto" w:fill="auto"/>
            <w:vAlign w:val="center"/>
            <w:hideMark/>
          </w:tcPr>
          <w:p w14:paraId="19696997"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−0,37</w:t>
            </w:r>
          </w:p>
        </w:tc>
      </w:tr>
      <w:tr w:rsidR="005F6B95" w:rsidRPr="005F6B95" w14:paraId="1170BD75"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53141F06" w14:textId="77777777" w:rsidR="005F6B95" w:rsidRDefault="005F6B95" w:rsidP="00B93521">
            <w:pPr>
              <w:spacing w:before="0" w:after="0" w:line="240" w:lineRule="auto"/>
              <w:jc w:val="left"/>
              <w:rPr>
                <w:b/>
                <w:bCs/>
                <w:color w:val="000000"/>
                <w:sz w:val="20"/>
                <w:szCs w:val="20"/>
              </w:rPr>
            </w:pPr>
            <w:r>
              <w:rPr>
                <w:b/>
                <w:bCs/>
                <w:color w:val="000000"/>
                <w:sz w:val="20"/>
                <w:szCs w:val="20"/>
              </w:rPr>
              <w:t>EIFAK2</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45F70BDC"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−0,43</w:t>
            </w:r>
          </w:p>
        </w:tc>
        <w:tc>
          <w:tcPr>
            <w:tcW w:w="496" w:type="pct"/>
            <w:tcBorders>
              <w:top w:val="nil"/>
              <w:left w:val="nil"/>
              <w:bottom w:val="single" w:sz="8" w:space="0" w:color="DDDDDD"/>
              <w:right w:val="single" w:sz="8" w:space="0" w:color="DDDDDD"/>
            </w:tcBorders>
            <w:shd w:val="clear" w:color="auto" w:fill="auto"/>
            <w:vAlign w:val="center"/>
            <w:hideMark/>
          </w:tcPr>
          <w:p w14:paraId="318ED93B" w14:textId="77777777" w:rsidR="005F6B95" w:rsidRDefault="005F6B95" w:rsidP="00B93521">
            <w:pPr>
              <w:spacing w:before="0" w:after="0" w:line="240" w:lineRule="auto"/>
              <w:jc w:val="left"/>
              <w:rPr>
                <w:b/>
                <w:bCs/>
                <w:color w:val="000000"/>
                <w:sz w:val="20"/>
                <w:szCs w:val="20"/>
              </w:rPr>
            </w:pPr>
            <w:r>
              <w:rPr>
                <w:b/>
                <w:bCs/>
                <w:color w:val="000000"/>
                <w:sz w:val="20"/>
                <w:szCs w:val="20"/>
              </w:rPr>
              <w:t>SP100</w:t>
            </w:r>
          </w:p>
        </w:tc>
        <w:tc>
          <w:tcPr>
            <w:tcW w:w="465" w:type="pct"/>
            <w:tcBorders>
              <w:top w:val="nil"/>
              <w:left w:val="nil"/>
              <w:bottom w:val="single" w:sz="8" w:space="0" w:color="DDDDDD"/>
              <w:right w:val="single" w:sz="8" w:space="0" w:color="DDDDDD"/>
            </w:tcBorders>
            <w:shd w:val="clear" w:color="auto" w:fill="auto"/>
            <w:vAlign w:val="center"/>
            <w:hideMark/>
          </w:tcPr>
          <w:p w14:paraId="50306BE6"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0,27</w:t>
            </w:r>
          </w:p>
        </w:tc>
        <w:tc>
          <w:tcPr>
            <w:tcW w:w="556" w:type="pct"/>
            <w:tcBorders>
              <w:top w:val="nil"/>
              <w:left w:val="nil"/>
              <w:bottom w:val="single" w:sz="8" w:space="0" w:color="DDDDDD"/>
              <w:right w:val="single" w:sz="8" w:space="0" w:color="DDDDDD"/>
            </w:tcBorders>
            <w:shd w:val="clear" w:color="auto" w:fill="auto"/>
            <w:vAlign w:val="center"/>
            <w:hideMark/>
          </w:tcPr>
          <w:p w14:paraId="6CA82A9F" w14:textId="77777777" w:rsidR="005F6B95" w:rsidRDefault="005F6B95" w:rsidP="00B93521">
            <w:pPr>
              <w:spacing w:before="0" w:after="0" w:line="240" w:lineRule="auto"/>
              <w:jc w:val="left"/>
              <w:rPr>
                <w:b/>
                <w:bCs/>
                <w:color w:val="000000"/>
                <w:sz w:val="20"/>
                <w:szCs w:val="20"/>
              </w:rPr>
            </w:pPr>
            <w:r>
              <w:rPr>
                <w:b/>
                <w:bCs/>
                <w:color w:val="000000"/>
                <w:sz w:val="20"/>
                <w:szCs w:val="20"/>
              </w:rPr>
              <w:t>TAP1</w:t>
            </w:r>
          </w:p>
        </w:tc>
        <w:tc>
          <w:tcPr>
            <w:tcW w:w="465" w:type="pct"/>
            <w:tcBorders>
              <w:top w:val="nil"/>
              <w:left w:val="nil"/>
              <w:bottom w:val="single" w:sz="8" w:space="0" w:color="DDDDDD"/>
              <w:right w:val="single" w:sz="8" w:space="0" w:color="DDDDDD"/>
            </w:tcBorders>
            <w:shd w:val="clear" w:color="auto" w:fill="auto"/>
            <w:vAlign w:val="center"/>
            <w:hideMark/>
          </w:tcPr>
          <w:p w14:paraId="0A780E53"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−0,28</w:t>
            </w:r>
          </w:p>
        </w:tc>
        <w:tc>
          <w:tcPr>
            <w:tcW w:w="563" w:type="pct"/>
            <w:tcBorders>
              <w:top w:val="nil"/>
              <w:left w:val="nil"/>
              <w:bottom w:val="single" w:sz="8" w:space="0" w:color="DDDDDD"/>
              <w:right w:val="single" w:sz="8" w:space="0" w:color="DDDDDD"/>
            </w:tcBorders>
            <w:shd w:val="clear" w:color="auto" w:fill="auto"/>
            <w:vAlign w:val="center"/>
            <w:hideMark/>
          </w:tcPr>
          <w:p w14:paraId="3ACA43AB" w14:textId="77777777" w:rsidR="005F6B95" w:rsidRDefault="005F6B95" w:rsidP="00B93521">
            <w:pPr>
              <w:spacing w:before="0" w:after="0" w:line="240" w:lineRule="auto"/>
              <w:jc w:val="left"/>
              <w:rPr>
                <w:color w:val="000000"/>
                <w:sz w:val="20"/>
                <w:szCs w:val="20"/>
              </w:rPr>
            </w:pPr>
            <w:r>
              <w:rPr>
                <w:color w:val="000000"/>
                <w:sz w:val="20"/>
                <w:szCs w:val="20"/>
              </w:rPr>
              <w:t>IFI44L</w:t>
            </w:r>
          </w:p>
        </w:tc>
        <w:tc>
          <w:tcPr>
            <w:tcW w:w="465" w:type="pct"/>
            <w:tcBorders>
              <w:top w:val="nil"/>
              <w:left w:val="nil"/>
              <w:bottom w:val="single" w:sz="8" w:space="0" w:color="DDDDDD"/>
              <w:right w:val="single" w:sz="8" w:space="0" w:color="DDDDDD"/>
            </w:tcBorders>
            <w:shd w:val="clear" w:color="auto" w:fill="auto"/>
            <w:vAlign w:val="center"/>
            <w:hideMark/>
          </w:tcPr>
          <w:p w14:paraId="7C92D5D4"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0,27</w:t>
            </w:r>
          </w:p>
        </w:tc>
        <w:tc>
          <w:tcPr>
            <w:tcW w:w="562" w:type="pct"/>
            <w:tcBorders>
              <w:top w:val="nil"/>
              <w:left w:val="nil"/>
              <w:bottom w:val="single" w:sz="8" w:space="0" w:color="DDDDDD"/>
              <w:right w:val="single" w:sz="8" w:space="0" w:color="DDDDDD"/>
            </w:tcBorders>
            <w:shd w:val="clear" w:color="auto" w:fill="auto"/>
            <w:vAlign w:val="center"/>
            <w:hideMark/>
          </w:tcPr>
          <w:p w14:paraId="282216A2" w14:textId="77777777" w:rsidR="005F6B95" w:rsidRDefault="005F6B95" w:rsidP="00B93521">
            <w:pPr>
              <w:spacing w:before="0" w:after="0" w:line="240" w:lineRule="auto"/>
              <w:jc w:val="left"/>
              <w:rPr>
                <w:b/>
                <w:bCs/>
                <w:color w:val="000000"/>
                <w:sz w:val="20"/>
                <w:szCs w:val="20"/>
              </w:rPr>
            </w:pPr>
            <w:r>
              <w:rPr>
                <w:b/>
                <w:bCs/>
                <w:color w:val="000000"/>
                <w:sz w:val="20"/>
                <w:szCs w:val="20"/>
              </w:rPr>
              <w:t>TAP1</w:t>
            </w:r>
          </w:p>
        </w:tc>
        <w:tc>
          <w:tcPr>
            <w:tcW w:w="465" w:type="pct"/>
            <w:tcBorders>
              <w:top w:val="nil"/>
              <w:left w:val="nil"/>
              <w:bottom w:val="single" w:sz="8" w:space="0" w:color="DDDDDD"/>
              <w:right w:val="single" w:sz="8" w:space="0" w:color="DDDDDD"/>
            </w:tcBorders>
            <w:shd w:val="clear" w:color="auto" w:fill="auto"/>
            <w:vAlign w:val="center"/>
            <w:hideMark/>
          </w:tcPr>
          <w:p w14:paraId="3ECB1EFE"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−0,31</w:t>
            </w:r>
          </w:p>
        </w:tc>
      </w:tr>
      <w:tr w:rsidR="005F6B95" w:rsidRPr="005F6B95" w14:paraId="3C0A66DA"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2D20FA69" w14:textId="77777777" w:rsidR="005F6B95" w:rsidRDefault="005F6B95" w:rsidP="00B93521">
            <w:pPr>
              <w:spacing w:before="0" w:after="0" w:line="240" w:lineRule="auto"/>
              <w:jc w:val="left"/>
              <w:rPr>
                <w:b/>
                <w:bCs/>
                <w:color w:val="000000"/>
                <w:sz w:val="20"/>
                <w:szCs w:val="20"/>
              </w:rPr>
            </w:pPr>
            <w:r>
              <w:rPr>
                <w:b/>
                <w:bCs/>
                <w:color w:val="000000"/>
                <w:sz w:val="20"/>
                <w:szCs w:val="20"/>
              </w:rPr>
              <w:t>TAP1</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65335DDE" w14:textId="1B328524"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w:t>
            </w:r>
            <w:r w:rsidR="00C02D76">
              <w:rPr>
                <w:rFonts w:eastAsia="Times New Roman"/>
                <w:color w:val="000000"/>
                <w:sz w:val="20"/>
                <w:szCs w:val="20"/>
                <w:lang w:val="es-ES"/>
              </w:rPr>
              <w:t>8</w:t>
            </w:r>
          </w:p>
        </w:tc>
        <w:tc>
          <w:tcPr>
            <w:tcW w:w="496" w:type="pct"/>
            <w:tcBorders>
              <w:top w:val="nil"/>
              <w:left w:val="nil"/>
              <w:bottom w:val="single" w:sz="8" w:space="0" w:color="DDDDDD"/>
              <w:right w:val="single" w:sz="8" w:space="0" w:color="DDDDDD"/>
            </w:tcBorders>
            <w:shd w:val="clear" w:color="auto" w:fill="auto"/>
            <w:vAlign w:val="center"/>
            <w:hideMark/>
          </w:tcPr>
          <w:p w14:paraId="7EA4F1AD" w14:textId="77777777" w:rsidR="005F6B95" w:rsidRDefault="005F6B95" w:rsidP="00B93521">
            <w:pPr>
              <w:spacing w:before="0" w:after="0" w:line="240" w:lineRule="auto"/>
              <w:jc w:val="left"/>
              <w:rPr>
                <w:b/>
                <w:bCs/>
                <w:color w:val="000000"/>
                <w:sz w:val="20"/>
                <w:szCs w:val="20"/>
              </w:rPr>
            </w:pPr>
            <w:r>
              <w:rPr>
                <w:b/>
                <w:bCs/>
                <w:color w:val="000000"/>
                <w:sz w:val="20"/>
                <w:szCs w:val="20"/>
              </w:rPr>
              <w:t>EIFAK2</w:t>
            </w:r>
          </w:p>
        </w:tc>
        <w:tc>
          <w:tcPr>
            <w:tcW w:w="465" w:type="pct"/>
            <w:tcBorders>
              <w:top w:val="nil"/>
              <w:left w:val="nil"/>
              <w:bottom w:val="single" w:sz="8" w:space="0" w:color="DDDDDD"/>
              <w:right w:val="single" w:sz="8" w:space="0" w:color="DDDDDD"/>
            </w:tcBorders>
            <w:shd w:val="clear" w:color="auto" w:fill="auto"/>
            <w:vAlign w:val="center"/>
            <w:hideMark/>
          </w:tcPr>
          <w:p w14:paraId="18D8667F"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0,26</w:t>
            </w:r>
          </w:p>
        </w:tc>
        <w:tc>
          <w:tcPr>
            <w:tcW w:w="556" w:type="pct"/>
            <w:tcBorders>
              <w:top w:val="nil"/>
              <w:left w:val="nil"/>
              <w:bottom w:val="single" w:sz="8" w:space="0" w:color="DDDDDD"/>
              <w:right w:val="single" w:sz="8" w:space="0" w:color="DDDDDD"/>
            </w:tcBorders>
            <w:shd w:val="clear" w:color="auto" w:fill="auto"/>
            <w:vAlign w:val="center"/>
            <w:hideMark/>
          </w:tcPr>
          <w:p w14:paraId="40E0D84C" w14:textId="77777777" w:rsidR="005F6B95" w:rsidRDefault="005F6B95" w:rsidP="00B93521">
            <w:pPr>
              <w:spacing w:before="0" w:after="0" w:line="240" w:lineRule="auto"/>
              <w:jc w:val="left"/>
              <w:rPr>
                <w:b/>
                <w:bCs/>
                <w:color w:val="000000"/>
                <w:sz w:val="20"/>
                <w:szCs w:val="20"/>
              </w:rPr>
            </w:pPr>
            <w:r>
              <w:rPr>
                <w:b/>
                <w:bCs/>
                <w:color w:val="000000"/>
                <w:sz w:val="20"/>
                <w:szCs w:val="20"/>
              </w:rPr>
              <w:t>IFITM1</w:t>
            </w:r>
          </w:p>
        </w:tc>
        <w:tc>
          <w:tcPr>
            <w:tcW w:w="465" w:type="pct"/>
            <w:tcBorders>
              <w:top w:val="nil"/>
              <w:left w:val="nil"/>
              <w:bottom w:val="single" w:sz="8" w:space="0" w:color="DDDDDD"/>
              <w:right w:val="single" w:sz="8" w:space="0" w:color="DDDDDD"/>
            </w:tcBorders>
            <w:shd w:val="clear" w:color="auto" w:fill="auto"/>
            <w:vAlign w:val="center"/>
            <w:hideMark/>
          </w:tcPr>
          <w:p w14:paraId="0CD6C45D"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−0,26</w:t>
            </w:r>
          </w:p>
        </w:tc>
        <w:tc>
          <w:tcPr>
            <w:tcW w:w="563" w:type="pct"/>
            <w:tcBorders>
              <w:top w:val="nil"/>
              <w:left w:val="nil"/>
              <w:bottom w:val="single" w:sz="8" w:space="0" w:color="DDDDDD"/>
              <w:right w:val="single" w:sz="8" w:space="0" w:color="DDDDDD"/>
            </w:tcBorders>
            <w:shd w:val="clear" w:color="auto" w:fill="auto"/>
            <w:vAlign w:val="center"/>
            <w:hideMark/>
          </w:tcPr>
          <w:p w14:paraId="2637D4B7" w14:textId="77777777" w:rsidR="005F6B95" w:rsidRDefault="005F6B95" w:rsidP="00B93521">
            <w:pPr>
              <w:spacing w:before="0" w:after="0" w:line="240" w:lineRule="auto"/>
              <w:jc w:val="left"/>
              <w:rPr>
                <w:color w:val="000000"/>
                <w:sz w:val="20"/>
                <w:szCs w:val="20"/>
              </w:rPr>
            </w:pPr>
            <w:r>
              <w:rPr>
                <w:color w:val="000000"/>
                <w:sz w:val="20"/>
                <w:szCs w:val="20"/>
              </w:rPr>
              <w:t>IFI44</w:t>
            </w:r>
          </w:p>
        </w:tc>
        <w:tc>
          <w:tcPr>
            <w:tcW w:w="465" w:type="pct"/>
            <w:tcBorders>
              <w:top w:val="nil"/>
              <w:left w:val="nil"/>
              <w:bottom w:val="single" w:sz="8" w:space="0" w:color="DDDDDD"/>
              <w:right w:val="single" w:sz="8" w:space="0" w:color="DDDDDD"/>
            </w:tcBorders>
            <w:shd w:val="clear" w:color="auto" w:fill="auto"/>
            <w:vAlign w:val="center"/>
            <w:hideMark/>
          </w:tcPr>
          <w:p w14:paraId="46E83B69"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0,24</w:t>
            </w:r>
          </w:p>
        </w:tc>
        <w:tc>
          <w:tcPr>
            <w:tcW w:w="562" w:type="pct"/>
            <w:tcBorders>
              <w:top w:val="nil"/>
              <w:left w:val="nil"/>
              <w:bottom w:val="single" w:sz="8" w:space="0" w:color="DDDDDD"/>
              <w:right w:val="single" w:sz="8" w:space="0" w:color="DDDDDD"/>
            </w:tcBorders>
            <w:shd w:val="clear" w:color="auto" w:fill="auto"/>
            <w:vAlign w:val="center"/>
            <w:hideMark/>
          </w:tcPr>
          <w:p w14:paraId="563BF732" w14:textId="77777777" w:rsidR="005F6B95" w:rsidRDefault="005F6B95" w:rsidP="00B93521">
            <w:pPr>
              <w:spacing w:before="0" w:after="0" w:line="240" w:lineRule="auto"/>
              <w:jc w:val="left"/>
              <w:rPr>
                <w:b/>
                <w:bCs/>
                <w:color w:val="000000"/>
                <w:sz w:val="20"/>
                <w:szCs w:val="20"/>
              </w:rPr>
            </w:pPr>
            <w:r>
              <w:rPr>
                <w:b/>
                <w:bCs/>
                <w:color w:val="000000"/>
                <w:sz w:val="20"/>
                <w:szCs w:val="20"/>
              </w:rPr>
              <w:t>PARP9</w:t>
            </w:r>
          </w:p>
        </w:tc>
        <w:tc>
          <w:tcPr>
            <w:tcW w:w="465" w:type="pct"/>
            <w:tcBorders>
              <w:top w:val="nil"/>
              <w:left w:val="nil"/>
              <w:bottom w:val="single" w:sz="8" w:space="0" w:color="DDDDDD"/>
              <w:right w:val="single" w:sz="8" w:space="0" w:color="DDDDDD"/>
            </w:tcBorders>
            <w:shd w:val="clear" w:color="auto" w:fill="auto"/>
            <w:vAlign w:val="center"/>
            <w:hideMark/>
          </w:tcPr>
          <w:p w14:paraId="55872104"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−0,31</w:t>
            </w:r>
          </w:p>
        </w:tc>
      </w:tr>
      <w:tr w:rsidR="005F6B95" w:rsidRPr="005F6B95" w14:paraId="25C34F04"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76188F36" w14:textId="77777777" w:rsidR="005F6B95" w:rsidRDefault="005F6B95" w:rsidP="00B93521">
            <w:pPr>
              <w:spacing w:before="0" w:after="0" w:line="240" w:lineRule="auto"/>
              <w:jc w:val="left"/>
              <w:rPr>
                <w:b/>
                <w:bCs/>
                <w:color w:val="000000"/>
                <w:sz w:val="20"/>
                <w:szCs w:val="20"/>
              </w:rPr>
            </w:pPr>
            <w:r>
              <w:rPr>
                <w:b/>
                <w:bCs/>
                <w:color w:val="000000"/>
                <w:sz w:val="20"/>
                <w:szCs w:val="20"/>
              </w:rPr>
              <w:t>PHF11</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273AF88A" w14:textId="74907AB4"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w:t>
            </w:r>
            <w:r w:rsidR="00C02D76">
              <w:rPr>
                <w:rFonts w:eastAsia="Times New Roman"/>
                <w:color w:val="000000"/>
                <w:sz w:val="20"/>
                <w:szCs w:val="20"/>
                <w:lang w:val="es-ES"/>
              </w:rPr>
              <w:t>5</w:t>
            </w:r>
          </w:p>
        </w:tc>
        <w:tc>
          <w:tcPr>
            <w:tcW w:w="496" w:type="pct"/>
            <w:tcBorders>
              <w:top w:val="nil"/>
              <w:left w:val="nil"/>
              <w:bottom w:val="single" w:sz="8" w:space="0" w:color="DDDDDD"/>
              <w:right w:val="single" w:sz="8" w:space="0" w:color="DDDDDD"/>
            </w:tcBorders>
            <w:shd w:val="clear" w:color="auto" w:fill="auto"/>
            <w:vAlign w:val="center"/>
            <w:hideMark/>
          </w:tcPr>
          <w:p w14:paraId="1C5D8B98" w14:textId="77777777" w:rsidR="005F6B95" w:rsidRDefault="005F6B95" w:rsidP="00B93521">
            <w:pPr>
              <w:spacing w:before="0" w:after="0" w:line="240" w:lineRule="auto"/>
              <w:jc w:val="left"/>
              <w:rPr>
                <w:b/>
                <w:bCs/>
                <w:color w:val="000000"/>
                <w:sz w:val="20"/>
                <w:szCs w:val="20"/>
              </w:rPr>
            </w:pPr>
            <w:r>
              <w:rPr>
                <w:b/>
                <w:bCs/>
                <w:color w:val="000000"/>
                <w:sz w:val="20"/>
                <w:szCs w:val="20"/>
              </w:rPr>
              <w:t>SPATS2L</w:t>
            </w:r>
          </w:p>
        </w:tc>
        <w:tc>
          <w:tcPr>
            <w:tcW w:w="465" w:type="pct"/>
            <w:tcBorders>
              <w:top w:val="nil"/>
              <w:left w:val="nil"/>
              <w:bottom w:val="single" w:sz="8" w:space="0" w:color="DDDDDD"/>
              <w:right w:val="single" w:sz="8" w:space="0" w:color="DDDDDD"/>
            </w:tcBorders>
            <w:shd w:val="clear" w:color="auto" w:fill="auto"/>
            <w:vAlign w:val="center"/>
            <w:hideMark/>
          </w:tcPr>
          <w:p w14:paraId="4BC1084E"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0,26</w:t>
            </w:r>
          </w:p>
        </w:tc>
        <w:tc>
          <w:tcPr>
            <w:tcW w:w="556" w:type="pct"/>
            <w:tcBorders>
              <w:top w:val="nil"/>
              <w:left w:val="nil"/>
              <w:bottom w:val="single" w:sz="8" w:space="0" w:color="DDDDDD"/>
              <w:right w:val="single" w:sz="8" w:space="0" w:color="DDDDDD"/>
            </w:tcBorders>
            <w:shd w:val="clear" w:color="auto" w:fill="auto"/>
            <w:vAlign w:val="center"/>
            <w:hideMark/>
          </w:tcPr>
          <w:p w14:paraId="47687A1E" w14:textId="77777777" w:rsidR="005F6B95" w:rsidRDefault="005F6B95" w:rsidP="00B93521">
            <w:pPr>
              <w:spacing w:before="0" w:after="0" w:line="240" w:lineRule="auto"/>
              <w:jc w:val="left"/>
              <w:rPr>
                <w:color w:val="000000"/>
                <w:sz w:val="20"/>
                <w:szCs w:val="20"/>
              </w:rPr>
            </w:pPr>
            <w:r>
              <w:rPr>
                <w:color w:val="000000"/>
                <w:sz w:val="20"/>
                <w:szCs w:val="20"/>
              </w:rPr>
              <w:t>SP140</w:t>
            </w:r>
          </w:p>
        </w:tc>
        <w:tc>
          <w:tcPr>
            <w:tcW w:w="465" w:type="pct"/>
            <w:tcBorders>
              <w:top w:val="nil"/>
              <w:left w:val="nil"/>
              <w:bottom w:val="single" w:sz="8" w:space="0" w:color="DDDDDD"/>
              <w:right w:val="single" w:sz="8" w:space="0" w:color="DDDDDD"/>
            </w:tcBorders>
            <w:shd w:val="clear" w:color="auto" w:fill="auto"/>
            <w:vAlign w:val="center"/>
            <w:hideMark/>
          </w:tcPr>
          <w:p w14:paraId="0E21AC50"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−0,24</w:t>
            </w:r>
          </w:p>
        </w:tc>
        <w:tc>
          <w:tcPr>
            <w:tcW w:w="563" w:type="pct"/>
            <w:tcBorders>
              <w:top w:val="nil"/>
              <w:left w:val="nil"/>
              <w:bottom w:val="single" w:sz="8" w:space="0" w:color="DDDDDD"/>
              <w:right w:val="single" w:sz="8" w:space="0" w:color="DDDDDD"/>
            </w:tcBorders>
            <w:shd w:val="clear" w:color="auto" w:fill="auto"/>
            <w:vAlign w:val="center"/>
            <w:hideMark/>
          </w:tcPr>
          <w:p w14:paraId="3CDC439E" w14:textId="77777777" w:rsidR="005F6B95" w:rsidRDefault="005F6B95" w:rsidP="00B93521">
            <w:pPr>
              <w:spacing w:before="0" w:after="0" w:line="240" w:lineRule="auto"/>
              <w:jc w:val="left"/>
              <w:rPr>
                <w:color w:val="000000"/>
                <w:sz w:val="20"/>
                <w:szCs w:val="20"/>
              </w:rPr>
            </w:pPr>
            <w:r>
              <w:rPr>
                <w:color w:val="000000"/>
                <w:sz w:val="20"/>
                <w:szCs w:val="20"/>
              </w:rPr>
              <w:t>EPSTI1</w:t>
            </w:r>
          </w:p>
        </w:tc>
        <w:tc>
          <w:tcPr>
            <w:tcW w:w="465" w:type="pct"/>
            <w:tcBorders>
              <w:top w:val="nil"/>
              <w:left w:val="nil"/>
              <w:bottom w:val="single" w:sz="8" w:space="0" w:color="DDDDDD"/>
              <w:right w:val="single" w:sz="8" w:space="0" w:color="DDDDDD"/>
            </w:tcBorders>
            <w:shd w:val="clear" w:color="auto" w:fill="auto"/>
            <w:vAlign w:val="center"/>
            <w:hideMark/>
          </w:tcPr>
          <w:p w14:paraId="691AD3F8"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0,22</w:t>
            </w:r>
          </w:p>
        </w:tc>
        <w:tc>
          <w:tcPr>
            <w:tcW w:w="562" w:type="pct"/>
            <w:tcBorders>
              <w:top w:val="nil"/>
              <w:left w:val="nil"/>
              <w:bottom w:val="single" w:sz="8" w:space="0" w:color="DDDDDD"/>
              <w:right w:val="single" w:sz="8" w:space="0" w:color="DDDDDD"/>
            </w:tcBorders>
            <w:shd w:val="clear" w:color="auto" w:fill="auto"/>
            <w:vAlign w:val="center"/>
            <w:hideMark/>
          </w:tcPr>
          <w:p w14:paraId="4542CD8D" w14:textId="77777777" w:rsidR="005F6B95" w:rsidRDefault="005F6B95" w:rsidP="00B93521">
            <w:pPr>
              <w:spacing w:before="0" w:after="0" w:line="240" w:lineRule="auto"/>
              <w:jc w:val="left"/>
              <w:rPr>
                <w:b/>
                <w:bCs/>
                <w:color w:val="000000"/>
                <w:sz w:val="20"/>
                <w:szCs w:val="20"/>
              </w:rPr>
            </w:pPr>
            <w:r>
              <w:rPr>
                <w:b/>
                <w:bCs/>
                <w:color w:val="000000"/>
                <w:sz w:val="20"/>
                <w:szCs w:val="20"/>
              </w:rPr>
              <w:t>EIFAK2</w:t>
            </w:r>
          </w:p>
        </w:tc>
        <w:tc>
          <w:tcPr>
            <w:tcW w:w="465" w:type="pct"/>
            <w:tcBorders>
              <w:top w:val="nil"/>
              <w:left w:val="nil"/>
              <w:bottom w:val="single" w:sz="8" w:space="0" w:color="DDDDDD"/>
              <w:right w:val="single" w:sz="8" w:space="0" w:color="DDDDDD"/>
            </w:tcBorders>
            <w:shd w:val="clear" w:color="auto" w:fill="auto"/>
            <w:vAlign w:val="center"/>
            <w:hideMark/>
          </w:tcPr>
          <w:p w14:paraId="2ED468C0"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−0,28</w:t>
            </w:r>
          </w:p>
        </w:tc>
      </w:tr>
      <w:tr w:rsidR="005F6B95" w:rsidRPr="005F6B95" w14:paraId="25CCCE11"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50BB07F2" w14:textId="77777777" w:rsidR="005F6B95" w:rsidRDefault="005F6B95" w:rsidP="00B93521">
            <w:pPr>
              <w:spacing w:before="0" w:after="0" w:line="240" w:lineRule="auto"/>
              <w:jc w:val="left"/>
              <w:rPr>
                <w:b/>
                <w:bCs/>
                <w:color w:val="000000"/>
                <w:sz w:val="20"/>
                <w:szCs w:val="20"/>
              </w:rPr>
            </w:pPr>
            <w:r>
              <w:rPr>
                <w:b/>
                <w:bCs/>
                <w:color w:val="000000"/>
                <w:sz w:val="20"/>
                <w:szCs w:val="20"/>
              </w:rPr>
              <w:t>PARP9</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322CB14C"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−0,12</w:t>
            </w:r>
          </w:p>
        </w:tc>
        <w:tc>
          <w:tcPr>
            <w:tcW w:w="496" w:type="pct"/>
            <w:tcBorders>
              <w:top w:val="nil"/>
              <w:left w:val="nil"/>
              <w:bottom w:val="single" w:sz="8" w:space="0" w:color="DDDDDD"/>
              <w:right w:val="single" w:sz="8" w:space="0" w:color="DDDDDD"/>
            </w:tcBorders>
            <w:shd w:val="clear" w:color="auto" w:fill="auto"/>
            <w:vAlign w:val="center"/>
            <w:hideMark/>
          </w:tcPr>
          <w:p w14:paraId="779A770A" w14:textId="77777777" w:rsidR="005F6B95" w:rsidRDefault="005F6B95" w:rsidP="00B93521">
            <w:pPr>
              <w:spacing w:before="0" w:after="0" w:line="240" w:lineRule="auto"/>
              <w:jc w:val="left"/>
              <w:rPr>
                <w:color w:val="000000"/>
                <w:sz w:val="20"/>
                <w:szCs w:val="20"/>
              </w:rPr>
            </w:pPr>
            <w:r>
              <w:rPr>
                <w:color w:val="000000"/>
                <w:sz w:val="20"/>
                <w:szCs w:val="20"/>
              </w:rPr>
              <w:t>IFI44</w:t>
            </w:r>
          </w:p>
        </w:tc>
        <w:tc>
          <w:tcPr>
            <w:tcW w:w="465" w:type="pct"/>
            <w:tcBorders>
              <w:top w:val="nil"/>
              <w:left w:val="nil"/>
              <w:bottom w:val="single" w:sz="8" w:space="0" w:color="DDDDDD"/>
              <w:right w:val="single" w:sz="8" w:space="0" w:color="DDDDDD"/>
            </w:tcBorders>
            <w:shd w:val="clear" w:color="auto" w:fill="auto"/>
            <w:vAlign w:val="center"/>
            <w:hideMark/>
          </w:tcPr>
          <w:p w14:paraId="7BD5B0F1"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0,25</w:t>
            </w:r>
          </w:p>
        </w:tc>
        <w:tc>
          <w:tcPr>
            <w:tcW w:w="556" w:type="pct"/>
            <w:tcBorders>
              <w:top w:val="nil"/>
              <w:left w:val="nil"/>
              <w:bottom w:val="single" w:sz="8" w:space="0" w:color="DDDDDD"/>
              <w:right w:val="single" w:sz="8" w:space="0" w:color="DDDDDD"/>
            </w:tcBorders>
            <w:shd w:val="clear" w:color="auto" w:fill="auto"/>
            <w:vAlign w:val="center"/>
            <w:hideMark/>
          </w:tcPr>
          <w:p w14:paraId="4FF2068F" w14:textId="77777777" w:rsidR="005F6B95" w:rsidRDefault="005F6B95" w:rsidP="00B93521">
            <w:pPr>
              <w:spacing w:before="0" w:after="0" w:line="240" w:lineRule="auto"/>
              <w:jc w:val="left"/>
              <w:rPr>
                <w:color w:val="000000"/>
                <w:sz w:val="20"/>
                <w:szCs w:val="20"/>
              </w:rPr>
            </w:pPr>
            <w:r>
              <w:rPr>
                <w:color w:val="000000"/>
                <w:sz w:val="20"/>
                <w:szCs w:val="20"/>
              </w:rPr>
              <w:t>ZBP1</w:t>
            </w:r>
          </w:p>
        </w:tc>
        <w:tc>
          <w:tcPr>
            <w:tcW w:w="465" w:type="pct"/>
            <w:tcBorders>
              <w:top w:val="nil"/>
              <w:left w:val="nil"/>
              <w:bottom w:val="single" w:sz="8" w:space="0" w:color="DDDDDD"/>
              <w:right w:val="single" w:sz="8" w:space="0" w:color="DDDDDD"/>
            </w:tcBorders>
            <w:shd w:val="clear" w:color="auto" w:fill="auto"/>
            <w:vAlign w:val="center"/>
            <w:hideMark/>
          </w:tcPr>
          <w:p w14:paraId="12F28347"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−0,24</w:t>
            </w:r>
          </w:p>
        </w:tc>
        <w:tc>
          <w:tcPr>
            <w:tcW w:w="563" w:type="pct"/>
            <w:tcBorders>
              <w:top w:val="nil"/>
              <w:left w:val="nil"/>
              <w:bottom w:val="single" w:sz="8" w:space="0" w:color="DDDDDD"/>
              <w:right w:val="single" w:sz="8" w:space="0" w:color="DDDDDD"/>
            </w:tcBorders>
            <w:shd w:val="clear" w:color="auto" w:fill="auto"/>
            <w:vAlign w:val="center"/>
            <w:hideMark/>
          </w:tcPr>
          <w:p w14:paraId="7CA300C6" w14:textId="77777777" w:rsidR="005F6B95" w:rsidRDefault="005F6B95" w:rsidP="00B93521">
            <w:pPr>
              <w:spacing w:before="0" w:after="0" w:line="240" w:lineRule="auto"/>
              <w:jc w:val="left"/>
              <w:rPr>
                <w:b/>
                <w:bCs/>
                <w:color w:val="000000"/>
                <w:sz w:val="20"/>
                <w:szCs w:val="20"/>
              </w:rPr>
            </w:pPr>
            <w:r>
              <w:rPr>
                <w:b/>
                <w:bCs/>
                <w:color w:val="000000"/>
                <w:sz w:val="20"/>
                <w:szCs w:val="20"/>
              </w:rPr>
              <w:t>SPATS2L</w:t>
            </w:r>
          </w:p>
        </w:tc>
        <w:tc>
          <w:tcPr>
            <w:tcW w:w="465" w:type="pct"/>
            <w:tcBorders>
              <w:top w:val="nil"/>
              <w:left w:val="nil"/>
              <w:bottom w:val="single" w:sz="8" w:space="0" w:color="DDDDDD"/>
              <w:right w:val="single" w:sz="8" w:space="0" w:color="DDDDDD"/>
            </w:tcBorders>
            <w:shd w:val="clear" w:color="auto" w:fill="auto"/>
            <w:vAlign w:val="center"/>
            <w:hideMark/>
          </w:tcPr>
          <w:p w14:paraId="14619ECC"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0,21</w:t>
            </w:r>
          </w:p>
        </w:tc>
        <w:tc>
          <w:tcPr>
            <w:tcW w:w="562" w:type="pct"/>
            <w:tcBorders>
              <w:top w:val="nil"/>
              <w:left w:val="nil"/>
              <w:bottom w:val="single" w:sz="8" w:space="0" w:color="DDDDDD"/>
              <w:right w:val="single" w:sz="8" w:space="0" w:color="DDDDDD"/>
            </w:tcBorders>
            <w:shd w:val="clear" w:color="auto" w:fill="auto"/>
            <w:vAlign w:val="center"/>
            <w:hideMark/>
          </w:tcPr>
          <w:p w14:paraId="0015BD1F" w14:textId="77777777" w:rsidR="005F6B95" w:rsidRDefault="005F6B95" w:rsidP="00B93521">
            <w:pPr>
              <w:spacing w:before="0" w:after="0" w:line="240" w:lineRule="auto"/>
              <w:jc w:val="left"/>
              <w:rPr>
                <w:color w:val="000000"/>
                <w:sz w:val="20"/>
                <w:szCs w:val="20"/>
              </w:rPr>
            </w:pPr>
            <w:r>
              <w:rPr>
                <w:color w:val="000000"/>
                <w:sz w:val="20"/>
                <w:szCs w:val="20"/>
              </w:rPr>
              <w:t>CEACAM1</w:t>
            </w:r>
          </w:p>
        </w:tc>
        <w:tc>
          <w:tcPr>
            <w:tcW w:w="465" w:type="pct"/>
            <w:tcBorders>
              <w:top w:val="nil"/>
              <w:left w:val="nil"/>
              <w:bottom w:val="single" w:sz="8" w:space="0" w:color="DDDDDD"/>
              <w:right w:val="single" w:sz="8" w:space="0" w:color="DDDDDD"/>
            </w:tcBorders>
            <w:shd w:val="clear" w:color="auto" w:fill="auto"/>
            <w:vAlign w:val="center"/>
            <w:hideMark/>
          </w:tcPr>
          <w:p w14:paraId="5D050CE6"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−0,27</w:t>
            </w:r>
          </w:p>
        </w:tc>
      </w:tr>
      <w:tr w:rsidR="005F6B95" w:rsidRPr="005F6B95" w14:paraId="322ED765"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3D0A229D" w14:textId="77777777" w:rsidR="005F6B95" w:rsidRDefault="005F6B95" w:rsidP="00B93521">
            <w:pPr>
              <w:spacing w:before="0" w:after="0" w:line="240" w:lineRule="auto"/>
              <w:jc w:val="left"/>
              <w:rPr>
                <w:b/>
                <w:bCs/>
                <w:color w:val="000000"/>
                <w:sz w:val="20"/>
                <w:szCs w:val="20"/>
              </w:rPr>
            </w:pPr>
            <w:r>
              <w:rPr>
                <w:b/>
                <w:bCs/>
                <w:color w:val="000000"/>
                <w:sz w:val="20"/>
                <w:szCs w:val="20"/>
              </w:rPr>
              <w:t>SPATS2L</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48DEC2F7" w14:textId="102FA8A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−0,0</w:t>
            </w:r>
            <w:r w:rsidR="00C02D76">
              <w:rPr>
                <w:rFonts w:eastAsia="Times New Roman"/>
                <w:color w:val="000000"/>
                <w:sz w:val="20"/>
                <w:szCs w:val="20"/>
                <w:lang w:val="es-ES"/>
              </w:rPr>
              <w:t>9</w:t>
            </w:r>
          </w:p>
        </w:tc>
        <w:tc>
          <w:tcPr>
            <w:tcW w:w="496" w:type="pct"/>
            <w:tcBorders>
              <w:top w:val="nil"/>
              <w:left w:val="nil"/>
              <w:bottom w:val="single" w:sz="8" w:space="0" w:color="DDDDDD"/>
              <w:right w:val="single" w:sz="8" w:space="0" w:color="DDDDDD"/>
            </w:tcBorders>
            <w:shd w:val="clear" w:color="auto" w:fill="auto"/>
            <w:vAlign w:val="center"/>
            <w:hideMark/>
          </w:tcPr>
          <w:p w14:paraId="24EA6715" w14:textId="77777777" w:rsidR="005F6B95" w:rsidRDefault="005F6B95" w:rsidP="00B93521">
            <w:pPr>
              <w:spacing w:before="0" w:after="0" w:line="240" w:lineRule="auto"/>
              <w:jc w:val="left"/>
              <w:rPr>
                <w:color w:val="000000"/>
                <w:sz w:val="20"/>
                <w:szCs w:val="20"/>
              </w:rPr>
            </w:pPr>
            <w:r>
              <w:rPr>
                <w:color w:val="000000"/>
                <w:sz w:val="20"/>
                <w:szCs w:val="20"/>
              </w:rPr>
              <w:t>PLSCR1</w:t>
            </w:r>
          </w:p>
        </w:tc>
        <w:tc>
          <w:tcPr>
            <w:tcW w:w="465" w:type="pct"/>
            <w:tcBorders>
              <w:top w:val="nil"/>
              <w:left w:val="nil"/>
              <w:bottom w:val="single" w:sz="8" w:space="0" w:color="DDDDDD"/>
              <w:right w:val="single" w:sz="8" w:space="0" w:color="DDDDDD"/>
            </w:tcBorders>
            <w:shd w:val="clear" w:color="auto" w:fill="auto"/>
            <w:vAlign w:val="center"/>
            <w:hideMark/>
          </w:tcPr>
          <w:p w14:paraId="4F8152F1"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0,23</w:t>
            </w:r>
          </w:p>
        </w:tc>
        <w:tc>
          <w:tcPr>
            <w:tcW w:w="556" w:type="pct"/>
            <w:tcBorders>
              <w:top w:val="nil"/>
              <w:left w:val="nil"/>
              <w:bottom w:val="single" w:sz="8" w:space="0" w:color="DDDDDD"/>
              <w:right w:val="single" w:sz="8" w:space="0" w:color="DDDDDD"/>
            </w:tcBorders>
            <w:shd w:val="clear" w:color="auto" w:fill="auto"/>
            <w:vAlign w:val="center"/>
            <w:hideMark/>
          </w:tcPr>
          <w:p w14:paraId="2F57B7E0" w14:textId="77777777" w:rsidR="005F6B95" w:rsidRDefault="005F6B95" w:rsidP="00B93521">
            <w:pPr>
              <w:spacing w:before="0" w:after="0" w:line="240" w:lineRule="auto"/>
              <w:jc w:val="left"/>
              <w:rPr>
                <w:b/>
                <w:bCs/>
                <w:color w:val="000000"/>
                <w:sz w:val="20"/>
                <w:szCs w:val="20"/>
              </w:rPr>
            </w:pPr>
            <w:r>
              <w:rPr>
                <w:b/>
                <w:bCs/>
                <w:color w:val="000000"/>
                <w:sz w:val="20"/>
                <w:szCs w:val="20"/>
              </w:rPr>
              <w:t>EIFAK2</w:t>
            </w:r>
          </w:p>
        </w:tc>
        <w:tc>
          <w:tcPr>
            <w:tcW w:w="465" w:type="pct"/>
            <w:tcBorders>
              <w:top w:val="nil"/>
              <w:left w:val="nil"/>
              <w:bottom w:val="single" w:sz="8" w:space="0" w:color="DDDDDD"/>
              <w:right w:val="single" w:sz="8" w:space="0" w:color="DDDDDD"/>
            </w:tcBorders>
            <w:shd w:val="clear" w:color="auto" w:fill="auto"/>
            <w:vAlign w:val="center"/>
            <w:hideMark/>
          </w:tcPr>
          <w:p w14:paraId="5335DB6C"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−0,23</w:t>
            </w:r>
          </w:p>
        </w:tc>
        <w:tc>
          <w:tcPr>
            <w:tcW w:w="563" w:type="pct"/>
            <w:tcBorders>
              <w:top w:val="nil"/>
              <w:left w:val="nil"/>
              <w:bottom w:val="single" w:sz="8" w:space="0" w:color="DDDDDD"/>
              <w:right w:val="single" w:sz="8" w:space="0" w:color="DDDDDD"/>
            </w:tcBorders>
            <w:shd w:val="clear" w:color="auto" w:fill="auto"/>
            <w:vAlign w:val="center"/>
            <w:hideMark/>
          </w:tcPr>
          <w:p w14:paraId="542FB046" w14:textId="77777777" w:rsidR="005F6B95" w:rsidRDefault="005F6B95" w:rsidP="00B93521">
            <w:pPr>
              <w:spacing w:before="0" w:after="0" w:line="240" w:lineRule="auto"/>
              <w:jc w:val="left"/>
              <w:rPr>
                <w:color w:val="000000"/>
                <w:sz w:val="20"/>
                <w:szCs w:val="20"/>
              </w:rPr>
            </w:pPr>
            <w:r>
              <w:rPr>
                <w:color w:val="000000"/>
                <w:sz w:val="20"/>
                <w:szCs w:val="20"/>
              </w:rPr>
              <w:t>IFI35</w:t>
            </w:r>
          </w:p>
        </w:tc>
        <w:tc>
          <w:tcPr>
            <w:tcW w:w="465" w:type="pct"/>
            <w:tcBorders>
              <w:top w:val="nil"/>
              <w:left w:val="nil"/>
              <w:bottom w:val="single" w:sz="8" w:space="0" w:color="DDDDDD"/>
              <w:right w:val="single" w:sz="8" w:space="0" w:color="DDDDDD"/>
            </w:tcBorders>
            <w:shd w:val="clear" w:color="auto" w:fill="auto"/>
            <w:vAlign w:val="center"/>
            <w:hideMark/>
          </w:tcPr>
          <w:p w14:paraId="448A58CD"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w:t>
            </w:r>
          </w:p>
        </w:tc>
        <w:tc>
          <w:tcPr>
            <w:tcW w:w="562" w:type="pct"/>
            <w:tcBorders>
              <w:top w:val="nil"/>
              <w:left w:val="nil"/>
              <w:bottom w:val="single" w:sz="8" w:space="0" w:color="DDDDDD"/>
              <w:right w:val="single" w:sz="8" w:space="0" w:color="DDDDDD"/>
            </w:tcBorders>
            <w:shd w:val="clear" w:color="auto" w:fill="auto"/>
            <w:vAlign w:val="center"/>
            <w:hideMark/>
          </w:tcPr>
          <w:p w14:paraId="0A7D957B" w14:textId="77777777" w:rsidR="005F6B95" w:rsidRDefault="005F6B95" w:rsidP="00B93521">
            <w:pPr>
              <w:spacing w:before="0" w:after="0" w:line="240" w:lineRule="auto"/>
              <w:jc w:val="left"/>
              <w:rPr>
                <w:color w:val="000000"/>
                <w:sz w:val="20"/>
                <w:szCs w:val="20"/>
              </w:rPr>
            </w:pPr>
            <w:r>
              <w:rPr>
                <w:color w:val="000000"/>
                <w:sz w:val="20"/>
                <w:szCs w:val="20"/>
              </w:rPr>
              <w:t>TNFAIP6</w:t>
            </w:r>
          </w:p>
        </w:tc>
        <w:tc>
          <w:tcPr>
            <w:tcW w:w="465" w:type="pct"/>
            <w:tcBorders>
              <w:top w:val="nil"/>
              <w:left w:val="nil"/>
              <w:bottom w:val="single" w:sz="8" w:space="0" w:color="DDDDDD"/>
              <w:right w:val="single" w:sz="8" w:space="0" w:color="DDDDDD"/>
            </w:tcBorders>
            <w:shd w:val="clear" w:color="auto" w:fill="auto"/>
            <w:vAlign w:val="center"/>
            <w:hideMark/>
          </w:tcPr>
          <w:p w14:paraId="0EDC3D78"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−0,25</w:t>
            </w:r>
          </w:p>
        </w:tc>
      </w:tr>
      <w:tr w:rsidR="005F6B95" w:rsidRPr="005F6B95" w14:paraId="11B5858B"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4A0A1D60" w14:textId="77777777" w:rsidR="005F6B95" w:rsidRDefault="005F6B95" w:rsidP="00B93521">
            <w:pPr>
              <w:spacing w:before="0" w:after="0" w:line="240" w:lineRule="auto"/>
              <w:jc w:val="left"/>
              <w:rPr>
                <w:b/>
                <w:bCs/>
                <w:color w:val="000000"/>
                <w:sz w:val="20"/>
                <w:szCs w:val="20"/>
              </w:rPr>
            </w:pPr>
            <w:r>
              <w:rPr>
                <w:b/>
                <w:bCs/>
                <w:color w:val="000000"/>
                <w:sz w:val="20"/>
                <w:szCs w:val="20"/>
              </w:rPr>
              <w:t>SP100</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0115C3FF" w14:textId="079D608F"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−0,0</w:t>
            </w:r>
            <w:r w:rsidR="00C02D76">
              <w:rPr>
                <w:rFonts w:eastAsia="Times New Roman"/>
                <w:color w:val="000000"/>
                <w:sz w:val="20"/>
                <w:szCs w:val="20"/>
                <w:lang w:val="es-ES"/>
              </w:rPr>
              <w:t>5</w:t>
            </w:r>
          </w:p>
        </w:tc>
        <w:tc>
          <w:tcPr>
            <w:tcW w:w="496" w:type="pct"/>
            <w:tcBorders>
              <w:top w:val="nil"/>
              <w:left w:val="nil"/>
              <w:bottom w:val="single" w:sz="8" w:space="0" w:color="DDDDDD"/>
              <w:right w:val="single" w:sz="8" w:space="0" w:color="DDDDDD"/>
            </w:tcBorders>
            <w:shd w:val="clear" w:color="auto" w:fill="auto"/>
            <w:vAlign w:val="center"/>
            <w:hideMark/>
          </w:tcPr>
          <w:p w14:paraId="3B0CB221" w14:textId="77777777" w:rsidR="005F6B95" w:rsidRDefault="005F6B95" w:rsidP="00B93521">
            <w:pPr>
              <w:spacing w:before="0" w:after="0" w:line="240" w:lineRule="auto"/>
              <w:jc w:val="left"/>
              <w:rPr>
                <w:color w:val="000000"/>
                <w:sz w:val="20"/>
                <w:szCs w:val="20"/>
              </w:rPr>
            </w:pPr>
            <w:r>
              <w:rPr>
                <w:color w:val="000000"/>
                <w:sz w:val="20"/>
                <w:szCs w:val="20"/>
              </w:rPr>
              <w:t>IFI44L</w:t>
            </w:r>
          </w:p>
        </w:tc>
        <w:tc>
          <w:tcPr>
            <w:tcW w:w="465" w:type="pct"/>
            <w:tcBorders>
              <w:top w:val="nil"/>
              <w:left w:val="nil"/>
              <w:bottom w:val="single" w:sz="8" w:space="0" w:color="DDDDDD"/>
              <w:right w:val="single" w:sz="8" w:space="0" w:color="DDDDDD"/>
            </w:tcBorders>
            <w:shd w:val="clear" w:color="auto" w:fill="auto"/>
            <w:vAlign w:val="center"/>
            <w:hideMark/>
          </w:tcPr>
          <w:p w14:paraId="711A6112"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0,21</w:t>
            </w:r>
          </w:p>
        </w:tc>
        <w:tc>
          <w:tcPr>
            <w:tcW w:w="556" w:type="pct"/>
            <w:tcBorders>
              <w:top w:val="nil"/>
              <w:left w:val="nil"/>
              <w:bottom w:val="single" w:sz="8" w:space="0" w:color="DDDDDD"/>
              <w:right w:val="single" w:sz="8" w:space="0" w:color="DDDDDD"/>
            </w:tcBorders>
            <w:shd w:val="clear" w:color="auto" w:fill="auto"/>
            <w:vAlign w:val="center"/>
            <w:hideMark/>
          </w:tcPr>
          <w:p w14:paraId="1C0AE6FA" w14:textId="77777777" w:rsidR="005F6B95" w:rsidRDefault="005F6B95" w:rsidP="00B93521">
            <w:pPr>
              <w:spacing w:before="0" w:after="0" w:line="240" w:lineRule="auto"/>
              <w:jc w:val="left"/>
              <w:rPr>
                <w:color w:val="000000"/>
                <w:sz w:val="20"/>
                <w:szCs w:val="20"/>
              </w:rPr>
            </w:pPr>
            <w:r>
              <w:rPr>
                <w:color w:val="000000"/>
                <w:sz w:val="20"/>
                <w:szCs w:val="20"/>
              </w:rPr>
              <w:t>DDX60</w:t>
            </w:r>
          </w:p>
        </w:tc>
        <w:tc>
          <w:tcPr>
            <w:tcW w:w="465" w:type="pct"/>
            <w:tcBorders>
              <w:top w:val="nil"/>
              <w:left w:val="nil"/>
              <w:bottom w:val="single" w:sz="8" w:space="0" w:color="DDDDDD"/>
              <w:right w:val="single" w:sz="8" w:space="0" w:color="DDDDDD"/>
            </w:tcBorders>
            <w:shd w:val="clear" w:color="auto" w:fill="auto"/>
            <w:vAlign w:val="center"/>
            <w:hideMark/>
          </w:tcPr>
          <w:p w14:paraId="694BCCF9"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−0,21</w:t>
            </w:r>
          </w:p>
        </w:tc>
        <w:tc>
          <w:tcPr>
            <w:tcW w:w="563" w:type="pct"/>
            <w:tcBorders>
              <w:top w:val="nil"/>
              <w:left w:val="nil"/>
              <w:bottom w:val="single" w:sz="8" w:space="0" w:color="DDDDDD"/>
              <w:right w:val="single" w:sz="8" w:space="0" w:color="DDDDDD"/>
            </w:tcBorders>
            <w:shd w:val="clear" w:color="auto" w:fill="auto"/>
            <w:vAlign w:val="center"/>
            <w:hideMark/>
          </w:tcPr>
          <w:p w14:paraId="1C036997" w14:textId="77777777" w:rsidR="005F6B95" w:rsidRDefault="005F6B95" w:rsidP="00B93521">
            <w:pPr>
              <w:spacing w:before="0" w:after="0" w:line="240" w:lineRule="auto"/>
              <w:jc w:val="left"/>
              <w:rPr>
                <w:color w:val="000000"/>
                <w:sz w:val="20"/>
                <w:szCs w:val="20"/>
              </w:rPr>
            </w:pPr>
            <w:r>
              <w:rPr>
                <w:color w:val="000000"/>
                <w:sz w:val="20"/>
                <w:szCs w:val="20"/>
              </w:rPr>
              <w:t>SIGLEC1</w:t>
            </w:r>
          </w:p>
        </w:tc>
        <w:tc>
          <w:tcPr>
            <w:tcW w:w="465" w:type="pct"/>
            <w:tcBorders>
              <w:top w:val="nil"/>
              <w:left w:val="nil"/>
              <w:bottom w:val="single" w:sz="8" w:space="0" w:color="DDDDDD"/>
              <w:right w:val="single" w:sz="8" w:space="0" w:color="DDDDDD"/>
            </w:tcBorders>
            <w:shd w:val="clear" w:color="auto" w:fill="auto"/>
            <w:vAlign w:val="center"/>
            <w:hideMark/>
          </w:tcPr>
          <w:p w14:paraId="49F6865E"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0,19</w:t>
            </w:r>
          </w:p>
        </w:tc>
        <w:tc>
          <w:tcPr>
            <w:tcW w:w="562" w:type="pct"/>
            <w:tcBorders>
              <w:top w:val="nil"/>
              <w:left w:val="nil"/>
              <w:bottom w:val="single" w:sz="8" w:space="0" w:color="DDDDDD"/>
              <w:right w:val="single" w:sz="8" w:space="0" w:color="DDDDDD"/>
            </w:tcBorders>
            <w:shd w:val="clear" w:color="auto" w:fill="auto"/>
            <w:vAlign w:val="center"/>
            <w:hideMark/>
          </w:tcPr>
          <w:p w14:paraId="118DAD0D" w14:textId="77777777" w:rsidR="005F6B95" w:rsidRDefault="005F6B95" w:rsidP="00B93521">
            <w:pPr>
              <w:spacing w:before="0" w:after="0" w:line="240" w:lineRule="auto"/>
              <w:jc w:val="left"/>
              <w:rPr>
                <w:b/>
                <w:bCs/>
                <w:color w:val="000000"/>
                <w:sz w:val="20"/>
                <w:szCs w:val="20"/>
              </w:rPr>
            </w:pPr>
            <w:r>
              <w:rPr>
                <w:b/>
                <w:bCs/>
                <w:color w:val="000000"/>
                <w:sz w:val="20"/>
                <w:szCs w:val="20"/>
              </w:rPr>
              <w:t>SP100</w:t>
            </w:r>
          </w:p>
        </w:tc>
        <w:tc>
          <w:tcPr>
            <w:tcW w:w="465" w:type="pct"/>
            <w:tcBorders>
              <w:top w:val="nil"/>
              <w:left w:val="nil"/>
              <w:bottom w:val="single" w:sz="8" w:space="0" w:color="DDDDDD"/>
              <w:right w:val="single" w:sz="8" w:space="0" w:color="DDDDDD"/>
            </w:tcBorders>
            <w:shd w:val="clear" w:color="auto" w:fill="auto"/>
            <w:vAlign w:val="center"/>
            <w:hideMark/>
          </w:tcPr>
          <w:p w14:paraId="03348A97"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−0,18</w:t>
            </w:r>
          </w:p>
        </w:tc>
      </w:tr>
      <w:tr w:rsidR="005F6B95" w:rsidRPr="005F6B95" w14:paraId="6D641792"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7BD0F24C" w14:textId="77777777" w:rsidR="005F6B95" w:rsidRDefault="005F6B95" w:rsidP="00B93521">
            <w:pPr>
              <w:spacing w:before="0" w:after="0" w:line="240" w:lineRule="auto"/>
              <w:jc w:val="left"/>
              <w:rPr>
                <w:color w:val="000000"/>
                <w:sz w:val="20"/>
                <w:szCs w:val="20"/>
              </w:rPr>
            </w:pPr>
            <w:r>
              <w:rPr>
                <w:color w:val="000000"/>
                <w:sz w:val="20"/>
                <w:szCs w:val="20"/>
              </w:rPr>
              <w:t>PLSCR1</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19EC456C"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−0,04</w:t>
            </w:r>
          </w:p>
        </w:tc>
        <w:tc>
          <w:tcPr>
            <w:tcW w:w="496" w:type="pct"/>
            <w:tcBorders>
              <w:top w:val="nil"/>
              <w:left w:val="nil"/>
              <w:bottom w:val="single" w:sz="8" w:space="0" w:color="DDDDDD"/>
              <w:right w:val="single" w:sz="8" w:space="0" w:color="DDDDDD"/>
            </w:tcBorders>
            <w:shd w:val="clear" w:color="auto" w:fill="auto"/>
            <w:vAlign w:val="center"/>
            <w:hideMark/>
          </w:tcPr>
          <w:p w14:paraId="183004CC" w14:textId="77777777" w:rsidR="005F6B95" w:rsidRDefault="005F6B95" w:rsidP="00B93521">
            <w:pPr>
              <w:spacing w:before="0" w:after="0" w:line="240" w:lineRule="auto"/>
              <w:jc w:val="left"/>
              <w:rPr>
                <w:color w:val="000000"/>
                <w:sz w:val="20"/>
                <w:szCs w:val="20"/>
              </w:rPr>
            </w:pPr>
            <w:r>
              <w:rPr>
                <w:color w:val="000000"/>
                <w:sz w:val="20"/>
                <w:szCs w:val="20"/>
              </w:rPr>
              <w:t>IFIT5</w:t>
            </w:r>
          </w:p>
        </w:tc>
        <w:tc>
          <w:tcPr>
            <w:tcW w:w="465" w:type="pct"/>
            <w:tcBorders>
              <w:top w:val="nil"/>
              <w:left w:val="nil"/>
              <w:bottom w:val="single" w:sz="8" w:space="0" w:color="DDDDDD"/>
              <w:right w:val="single" w:sz="8" w:space="0" w:color="DDDDDD"/>
            </w:tcBorders>
            <w:shd w:val="clear" w:color="auto" w:fill="auto"/>
            <w:vAlign w:val="center"/>
            <w:hideMark/>
          </w:tcPr>
          <w:p w14:paraId="0534C14F"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0,19</w:t>
            </w:r>
          </w:p>
        </w:tc>
        <w:tc>
          <w:tcPr>
            <w:tcW w:w="556" w:type="pct"/>
            <w:tcBorders>
              <w:top w:val="nil"/>
              <w:left w:val="nil"/>
              <w:bottom w:val="single" w:sz="8" w:space="0" w:color="DDDDDD"/>
              <w:right w:val="single" w:sz="8" w:space="0" w:color="DDDDDD"/>
            </w:tcBorders>
            <w:shd w:val="clear" w:color="auto" w:fill="auto"/>
            <w:vAlign w:val="center"/>
            <w:hideMark/>
          </w:tcPr>
          <w:p w14:paraId="53E893D8" w14:textId="77777777" w:rsidR="005F6B95" w:rsidRDefault="005F6B95" w:rsidP="00B93521">
            <w:pPr>
              <w:spacing w:before="0" w:after="0" w:line="240" w:lineRule="auto"/>
              <w:jc w:val="left"/>
              <w:rPr>
                <w:b/>
                <w:bCs/>
                <w:color w:val="000000"/>
                <w:sz w:val="20"/>
                <w:szCs w:val="20"/>
              </w:rPr>
            </w:pPr>
            <w:r>
              <w:rPr>
                <w:b/>
                <w:bCs/>
                <w:color w:val="000000"/>
                <w:sz w:val="20"/>
                <w:szCs w:val="20"/>
              </w:rPr>
              <w:t>SPATS2L</w:t>
            </w:r>
          </w:p>
        </w:tc>
        <w:tc>
          <w:tcPr>
            <w:tcW w:w="465" w:type="pct"/>
            <w:tcBorders>
              <w:top w:val="nil"/>
              <w:left w:val="nil"/>
              <w:bottom w:val="single" w:sz="8" w:space="0" w:color="DDDDDD"/>
              <w:right w:val="single" w:sz="8" w:space="0" w:color="DDDDDD"/>
            </w:tcBorders>
            <w:shd w:val="clear" w:color="auto" w:fill="auto"/>
            <w:vAlign w:val="center"/>
            <w:hideMark/>
          </w:tcPr>
          <w:p w14:paraId="1C7C9C63"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−0,20</w:t>
            </w:r>
          </w:p>
        </w:tc>
        <w:tc>
          <w:tcPr>
            <w:tcW w:w="563" w:type="pct"/>
            <w:tcBorders>
              <w:top w:val="nil"/>
              <w:left w:val="nil"/>
              <w:bottom w:val="single" w:sz="8" w:space="0" w:color="DDDDDD"/>
              <w:right w:val="single" w:sz="8" w:space="0" w:color="DDDDDD"/>
            </w:tcBorders>
            <w:shd w:val="clear" w:color="auto" w:fill="auto"/>
            <w:vAlign w:val="center"/>
            <w:hideMark/>
          </w:tcPr>
          <w:p w14:paraId="73885069" w14:textId="77777777" w:rsidR="005F6B95" w:rsidRDefault="005F6B95" w:rsidP="00B93521">
            <w:pPr>
              <w:spacing w:before="0" w:after="0" w:line="240" w:lineRule="auto"/>
              <w:jc w:val="left"/>
              <w:rPr>
                <w:color w:val="000000"/>
                <w:sz w:val="20"/>
                <w:szCs w:val="20"/>
              </w:rPr>
            </w:pPr>
            <w:r>
              <w:rPr>
                <w:color w:val="000000"/>
                <w:sz w:val="20"/>
                <w:szCs w:val="20"/>
              </w:rPr>
              <w:t>RTP4</w:t>
            </w:r>
          </w:p>
        </w:tc>
        <w:tc>
          <w:tcPr>
            <w:tcW w:w="465" w:type="pct"/>
            <w:tcBorders>
              <w:top w:val="nil"/>
              <w:left w:val="nil"/>
              <w:bottom w:val="single" w:sz="8" w:space="0" w:color="DDDDDD"/>
              <w:right w:val="single" w:sz="8" w:space="0" w:color="DDDDDD"/>
            </w:tcBorders>
            <w:shd w:val="clear" w:color="auto" w:fill="auto"/>
            <w:vAlign w:val="center"/>
            <w:hideMark/>
          </w:tcPr>
          <w:p w14:paraId="4F81D32A"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0,18</w:t>
            </w:r>
          </w:p>
        </w:tc>
        <w:tc>
          <w:tcPr>
            <w:tcW w:w="562" w:type="pct"/>
            <w:tcBorders>
              <w:top w:val="nil"/>
              <w:left w:val="nil"/>
              <w:bottom w:val="single" w:sz="8" w:space="0" w:color="DDDDDD"/>
              <w:right w:val="single" w:sz="8" w:space="0" w:color="DDDDDD"/>
            </w:tcBorders>
            <w:shd w:val="clear" w:color="auto" w:fill="auto"/>
            <w:vAlign w:val="center"/>
            <w:hideMark/>
          </w:tcPr>
          <w:p w14:paraId="428ED863" w14:textId="77777777" w:rsidR="005F6B95" w:rsidRDefault="005F6B95" w:rsidP="00B93521">
            <w:pPr>
              <w:spacing w:before="0" w:after="0" w:line="240" w:lineRule="auto"/>
              <w:jc w:val="left"/>
              <w:rPr>
                <w:color w:val="000000"/>
                <w:sz w:val="20"/>
                <w:szCs w:val="20"/>
              </w:rPr>
            </w:pPr>
            <w:r>
              <w:rPr>
                <w:color w:val="000000"/>
                <w:sz w:val="20"/>
                <w:szCs w:val="20"/>
              </w:rPr>
              <w:t>IFI16</w:t>
            </w:r>
          </w:p>
        </w:tc>
        <w:tc>
          <w:tcPr>
            <w:tcW w:w="465" w:type="pct"/>
            <w:tcBorders>
              <w:top w:val="nil"/>
              <w:left w:val="nil"/>
              <w:bottom w:val="single" w:sz="8" w:space="0" w:color="DDDDDD"/>
              <w:right w:val="single" w:sz="8" w:space="0" w:color="DDDDDD"/>
            </w:tcBorders>
            <w:shd w:val="clear" w:color="auto" w:fill="auto"/>
            <w:vAlign w:val="center"/>
            <w:hideMark/>
          </w:tcPr>
          <w:p w14:paraId="7D10178B"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−0,16</w:t>
            </w:r>
          </w:p>
        </w:tc>
      </w:tr>
      <w:tr w:rsidR="005F6B95" w:rsidRPr="005F6B95" w14:paraId="0525CB5D"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33E9216B" w14:textId="77777777" w:rsidR="005F6B95" w:rsidRDefault="005F6B95" w:rsidP="00B93521">
            <w:pPr>
              <w:spacing w:before="0" w:after="0" w:line="240" w:lineRule="auto"/>
              <w:jc w:val="left"/>
              <w:rPr>
                <w:color w:val="000000"/>
                <w:sz w:val="20"/>
                <w:szCs w:val="20"/>
              </w:rPr>
            </w:pPr>
            <w:r>
              <w:rPr>
                <w:color w:val="000000"/>
                <w:sz w:val="20"/>
                <w:szCs w:val="20"/>
              </w:rPr>
              <w:t>IFI16</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11B3D692"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−0,02</w:t>
            </w:r>
          </w:p>
        </w:tc>
        <w:tc>
          <w:tcPr>
            <w:tcW w:w="496" w:type="pct"/>
            <w:tcBorders>
              <w:top w:val="nil"/>
              <w:left w:val="nil"/>
              <w:bottom w:val="single" w:sz="8" w:space="0" w:color="DDDDDD"/>
              <w:right w:val="single" w:sz="8" w:space="0" w:color="DDDDDD"/>
            </w:tcBorders>
            <w:shd w:val="clear" w:color="auto" w:fill="auto"/>
            <w:vAlign w:val="center"/>
            <w:hideMark/>
          </w:tcPr>
          <w:p w14:paraId="3B3B6A91" w14:textId="77777777" w:rsidR="005F6B95" w:rsidRDefault="005F6B95" w:rsidP="00B93521">
            <w:pPr>
              <w:spacing w:before="0" w:after="0" w:line="240" w:lineRule="auto"/>
              <w:jc w:val="left"/>
              <w:rPr>
                <w:color w:val="000000"/>
                <w:sz w:val="20"/>
                <w:szCs w:val="20"/>
              </w:rPr>
            </w:pPr>
            <w:r>
              <w:rPr>
                <w:color w:val="000000"/>
                <w:sz w:val="20"/>
                <w:szCs w:val="20"/>
              </w:rPr>
              <w:t>IFIT1</w:t>
            </w:r>
          </w:p>
        </w:tc>
        <w:tc>
          <w:tcPr>
            <w:tcW w:w="465" w:type="pct"/>
            <w:tcBorders>
              <w:top w:val="nil"/>
              <w:left w:val="nil"/>
              <w:bottom w:val="single" w:sz="8" w:space="0" w:color="DDDDDD"/>
              <w:right w:val="single" w:sz="8" w:space="0" w:color="DDDDDD"/>
            </w:tcBorders>
            <w:shd w:val="clear" w:color="auto" w:fill="auto"/>
            <w:vAlign w:val="center"/>
            <w:hideMark/>
          </w:tcPr>
          <w:p w14:paraId="71741A1C"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0,18</w:t>
            </w:r>
          </w:p>
        </w:tc>
        <w:tc>
          <w:tcPr>
            <w:tcW w:w="556" w:type="pct"/>
            <w:tcBorders>
              <w:top w:val="nil"/>
              <w:left w:val="nil"/>
              <w:bottom w:val="single" w:sz="8" w:space="0" w:color="DDDDDD"/>
              <w:right w:val="single" w:sz="8" w:space="0" w:color="DDDDDD"/>
            </w:tcBorders>
            <w:shd w:val="clear" w:color="auto" w:fill="auto"/>
            <w:vAlign w:val="center"/>
            <w:hideMark/>
          </w:tcPr>
          <w:p w14:paraId="0E1A916C" w14:textId="77777777" w:rsidR="005F6B95" w:rsidRDefault="005F6B95" w:rsidP="00B93521">
            <w:pPr>
              <w:spacing w:before="0" w:after="0" w:line="240" w:lineRule="auto"/>
              <w:jc w:val="left"/>
              <w:rPr>
                <w:b/>
                <w:bCs/>
                <w:color w:val="000000"/>
                <w:sz w:val="20"/>
                <w:szCs w:val="20"/>
              </w:rPr>
            </w:pPr>
            <w:r>
              <w:rPr>
                <w:b/>
                <w:bCs/>
                <w:color w:val="000000"/>
                <w:sz w:val="20"/>
                <w:szCs w:val="20"/>
              </w:rPr>
              <w:t>PHF11</w:t>
            </w:r>
          </w:p>
        </w:tc>
        <w:tc>
          <w:tcPr>
            <w:tcW w:w="465" w:type="pct"/>
            <w:tcBorders>
              <w:top w:val="nil"/>
              <w:left w:val="nil"/>
              <w:bottom w:val="single" w:sz="8" w:space="0" w:color="DDDDDD"/>
              <w:right w:val="single" w:sz="8" w:space="0" w:color="DDDDDD"/>
            </w:tcBorders>
            <w:shd w:val="clear" w:color="auto" w:fill="auto"/>
            <w:vAlign w:val="center"/>
            <w:hideMark/>
          </w:tcPr>
          <w:p w14:paraId="2C49896B"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−0,20</w:t>
            </w:r>
          </w:p>
        </w:tc>
        <w:tc>
          <w:tcPr>
            <w:tcW w:w="563" w:type="pct"/>
            <w:tcBorders>
              <w:top w:val="nil"/>
              <w:left w:val="nil"/>
              <w:bottom w:val="single" w:sz="8" w:space="0" w:color="DDDDDD"/>
              <w:right w:val="single" w:sz="8" w:space="0" w:color="DDDDDD"/>
            </w:tcBorders>
            <w:shd w:val="clear" w:color="auto" w:fill="auto"/>
            <w:vAlign w:val="center"/>
            <w:hideMark/>
          </w:tcPr>
          <w:p w14:paraId="1C2995A8" w14:textId="77777777" w:rsidR="005F6B95" w:rsidRDefault="005F6B95" w:rsidP="00B93521">
            <w:pPr>
              <w:spacing w:before="0" w:after="0" w:line="240" w:lineRule="auto"/>
              <w:jc w:val="left"/>
              <w:rPr>
                <w:color w:val="000000"/>
                <w:sz w:val="20"/>
                <w:szCs w:val="20"/>
              </w:rPr>
            </w:pPr>
            <w:r>
              <w:rPr>
                <w:color w:val="000000"/>
                <w:sz w:val="20"/>
                <w:szCs w:val="20"/>
              </w:rPr>
              <w:t>USP18</w:t>
            </w:r>
          </w:p>
        </w:tc>
        <w:tc>
          <w:tcPr>
            <w:tcW w:w="465" w:type="pct"/>
            <w:tcBorders>
              <w:top w:val="nil"/>
              <w:left w:val="nil"/>
              <w:bottom w:val="single" w:sz="8" w:space="0" w:color="DDDDDD"/>
              <w:right w:val="single" w:sz="8" w:space="0" w:color="DDDDDD"/>
            </w:tcBorders>
            <w:shd w:val="clear" w:color="auto" w:fill="auto"/>
            <w:vAlign w:val="center"/>
            <w:hideMark/>
          </w:tcPr>
          <w:p w14:paraId="025F01F6"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0,18</w:t>
            </w:r>
          </w:p>
        </w:tc>
        <w:tc>
          <w:tcPr>
            <w:tcW w:w="562" w:type="pct"/>
            <w:tcBorders>
              <w:top w:val="nil"/>
              <w:left w:val="nil"/>
              <w:bottom w:val="single" w:sz="8" w:space="0" w:color="DDDDDD"/>
              <w:right w:val="single" w:sz="8" w:space="0" w:color="DDDDDD"/>
            </w:tcBorders>
            <w:shd w:val="clear" w:color="auto" w:fill="auto"/>
            <w:vAlign w:val="center"/>
            <w:hideMark/>
          </w:tcPr>
          <w:p w14:paraId="11DAE920" w14:textId="77777777" w:rsidR="005F6B95" w:rsidRDefault="005F6B95" w:rsidP="00B93521">
            <w:pPr>
              <w:spacing w:before="0" w:after="0" w:line="240" w:lineRule="auto"/>
              <w:jc w:val="left"/>
              <w:rPr>
                <w:b/>
                <w:bCs/>
                <w:color w:val="000000"/>
                <w:sz w:val="20"/>
                <w:szCs w:val="20"/>
              </w:rPr>
            </w:pPr>
            <w:r>
              <w:rPr>
                <w:b/>
                <w:bCs/>
                <w:color w:val="000000"/>
                <w:sz w:val="20"/>
                <w:szCs w:val="20"/>
              </w:rPr>
              <w:t>PHF11</w:t>
            </w:r>
          </w:p>
        </w:tc>
        <w:tc>
          <w:tcPr>
            <w:tcW w:w="465" w:type="pct"/>
            <w:tcBorders>
              <w:top w:val="nil"/>
              <w:left w:val="nil"/>
              <w:bottom w:val="single" w:sz="8" w:space="0" w:color="DDDDDD"/>
              <w:right w:val="single" w:sz="8" w:space="0" w:color="DDDDDD"/>
            </w:tcBorders>
            <w:shd w:val="clear" w:color="auto" w:fill="auto"/>
            <w:vAlign w:val="center"/>
            <w:hideMark/>
          </w:tcPr>
          <w:p w14:paraId="162E314B"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−0,15</w:t>
            </w:r>
          </w:p>
        </w:tc>
      </w:tr>
      <w:tr w:rsidR="005F6B95" w:rsidRPr="005F6B95" w14:paraId="554FB9D5"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15F75C58"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4D9E603A"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w:t>
            </w:r>
          </w:p>
        </w:tc>
        <w:tc>
          <w:tcPr>
            <w:tcW w:w="496" w:type="pct"/>
            <w:tcBorders>
              <w:top w:val="nil"/>
              <w:left w:val="nil"/>
              <w:bottom w:val="single" w:sz="8" w:space="0" w:color="DDDDDD"/>
              <w:right w:val="single" w:sz="8" w:space="0" w:color="DDDDDD"/>
            </w:tcBorders>
            <w:shd w:val="clear" w:color="auto" w:fill="auto"/>
            <w:vAlign w:val="center"/>
            <w:hideMark/>
          </w:tcPr>
          <w:p w14:paraId="4FDE7D1E" w14:textId="77777777" w:rsidR="005F6B95" w:rsidRDefault="005F6B95" w:rsidP="00B93521">
            <w:pPr>
              <w:spacing w:before="0" w:after="0" w:line="240" w:lineRule="auto"/>
              <w:jc w:val="left"/>
              <w:rPr>
                <w:b/>
                <w:bCs/>
                <w:color w:val="000000"/>
                <w:sz w:val="20"/>
                <w:szCs w:val="20"/>
              </w:rPr>
            </w:pPr>
            <w:r>
              <w:rPr>
                <w:b/>
                <w:bCs/>
                <w:color w:val="000000"/>
                <w:sz w:val="20"/>
                <w:szCs w:val="20"/>
              </w:rPr>
              <w:t>IFITM1</w:t>
            </w:r>
          </w:p>
        </w:tc>
        <w:tc>
          <w:tcPr>
            <w:tcW w:w="465" w:type="pct"/>
            <w:tcBorders>
              <w:top w:val="nil"/>
              <w:left w:val="nil"/>
              <w:bottom w:val="single" w:sz="8" w:space="0" w:color="DDDDDD"/>
              <w:right w:val="single" w:sz="8" w:space="0" w:color="DDDDDD"/>
            </w:tcBorders>
            <w:shd w:val="clear" w:color="auto" w:fill="auto"/>
            <w:vAlign w:val="center"/>
            <w:hideMark/>
          </w:tcPr>
          <w:p w14:paraId="2572BEE4"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0,17</w:t>
            </w:r>
          </w:p>
        </w:tc>
        <w:tc>
          <w:tcPr>
            <w:tcW w:w="556" w:type="pct"/>
            <w:tcBorders>
              <w:top w:val="nil"/>
              <w:left w:val="nil"/>
              <w:bottom w:val="single" w:sz="8" w:space="0" w:color="DDDDDD"/>
              <w:right w:val="single" w:sz="8" w:space="0" w:color="DDDDDD"/>
            </w:tcBorders>
            <w:shd w:val="clear" w:color="auto" w:fill="auto"/>
            <w:vAlign w:val="center"/>
            <w:hideMark/>
          </w:tcPr>
          <w:p w14:paraId="3E12063F" w14:textId="77777777" w:rsidR="005F6B95" w:rsidRDefault="005F6B95" w:rsidP="00B93521">
            <w:pPr>
              <w:spacing w:before="0" w:after="0" w:line="240" w:lineRule="auto"/>
              <w:jc w:val="left"/>
              <w:rPr>
                <w:color w:val="000000"/>
                <w:sz w:val="20"/>
                <w:szCs w:val="20"/>
              </w:rPr>
            </w:pPr>
            <w:r>
              <w:rPr>
                <w:color w:val="000000"/>
                <w:sz w:val="20"/>
                <w:szCs w:val="20"/>
              </w:rPr>
              <w:t>SAMD9L</w:t>
            </w:r>
          </w:p>
        </w:tc>
        <w:tc>
          <w:tcPr>
            <w:tcW w:w="465" w:type="pct"/>
            <w:tcBorders>
              <w:top w:val="nil"/>
              <w:left w:val="nil"/>
              <w:bottom w:val="single" w:sz="8" w:space="0" w:color="DDDDDD"/>
              <w:right w:val="single" w:sz="8" w:space="0" w:color="DDDDDD"/>
            </w:tcBorders>
            <w:shd w:val="clear" w:color="auto" w:fill="auto"/>
            <w:vAlign w:val="center"/>
            <w:hideMark/>
          </w:tcPr>
          <w:p w14:paraId="54867B6C"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−0,16</w:t>
            </w:r>
          </w:p>
        </w:tc>
        <w:tc>
          <w:tcPr>
            <w:tcW w:w="563" w:type="pct"/>
            <w:tcBorders>
              <w:top w:val="nil"/>
              <w:left w:val="nil"/>
              <w:bottom w:val="single" w:sz="8" w:space="0" w:color="DDDDDD"/>
              <w:right w:val="single" w:sz="8" w:space="0" w:color="DDDDDD"/>
            </w:tcBorders>
            <w:shd w:val="clear" w:color="auto" w:fill="auto"/>
            <w:vAlign w:val="center"/>
            <w:hideMark/>
          </w:tcPr>
          <w:p w14:paraId="4639C496" w14:textId="77777777" w:rsidR="005F6B95" w:rsidRDefault="005F6B95" w:rsidP="00B93521">
            <w:pPr>
              <w:spacing w:before="0" w:after="0" w:line="240" w:lineRule="auto"/>
              <w:jc w:val="left"/>
              <w:rPr>
                <w:color w:val="000000"/>
                <w:sz w:val="20"/>
                <w:szCs w:val="20"/>
              </w:rPr>
            </w:pPr>
            <w:r>
              <w:rPr>
                <w:color w:val="000000"/>
                <w:sz w:val="20"/>
                <w:szCs w:val="20"/>
              </w:rPr>
              <w:t>OAS2</w:t>
            </w:r>
          </w:p>
        </w:tc>
        <w:tc>
          <w:tcPr>
            <w:tcW w:w="465" w:type="pct"/>
            <w:tcBorders>
              <w:top w:val="nil"/>
              <w:left w:val="nil"/>
              <w:bottom w:val="single" w:sz="8" w:space="0" w:color="DDDDDD"/>
              <w:right w:val="single" w:sz="8" w:space="0" w:color="DDDDDD"/>
            </w:tcBorders>
            <w:shd w:val="clear" w:color="auto" w:fill="auto"/>
            <w:vAlign w:val="center"/>
            <w:hideMark/>
          </w:tcPr>
          <w:p w14:paraId="31378CFA"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0,17</w:t>
            </w:r>
          </w:p>
        </w:tc>
        <w:tc>
          <w:tcPr>
            <w:tcW w:w="562" w:type="pct"/>
            <w:tcBorders>
              <w:top w:val="nil"/>
              <w:left w:val="nil"/>
              <w:bottom w:val="single" w:sz="8" w:space="0" w:color="DDDDDD"/>
              <w:right w:val="single" w:sz="8" w:space="0" w:color="DDDDDD"/>
            </w:tcBorders>
            <w:shd w:val="clear" w:color="auto" w:fill="auto"/>
            <w:vAlign w:val="center"/>
            <w:hideMark/>
          </w:tcPr>
          <w:p w14:paraId="3B282E88" w14:textId="77777777" w:rsidR="005F6B95" w:rsidRDefault="005F6B95" w:rsidP="00B93521">
            <w:pPr>
              <w:spacing w:before="0" w:after="0" w:line="240" w:lineRule="auto"/>
              <w:jc w:val="left"/>
              <w:rPr>
                <w:b/>
                <w:bCs/>
                <w:color w:val="000000"/>
                <w:sz w:val="20"/>
                <w:szCs w:val="20"/>
              </w:rPr>
            </w:pPr>
            <w:r>
              <w:rPr>
                <w:b/>
                <w:bCs/>
                <w:color w:val="000000"/>
                <w:sz w:val="20"/>
                <w:szCs w:val="20"/>
              </w:rPr>
              <w:t>SPATS2L</w:t>
            </w:r>
          </w:p>
        </w:tc>
        <w:tc>
          <w:tcPr>
            <w:tcW w:w="465" w:type="pct"/>
            <w:tcBorders>
              <w:top w:val="nil"/>
              <w:left w:val="nil"/>
              <w:bottom w:val="single" w:sz="8" w:space="0" w:color="DDDDDD"/>
              <w:right w:val="single" w:sz="8" w:space="0" w:color="DDDDDD"/>
            </w:tcBorders>
            <w:shd w:val="clear" w:color="auto" w:fill="auto"/>
            <w:vAlign w:val="center"/>
            <w:hideMark/>
          </w:tcPr>
          <w:p w14:paraId="0F8DFDD6"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−0,15</w:t>
            </w:r>
          </w:p>
        </w:tc>
      </w:tr>
      <w:tr w:rsidR="005F6B95" w:rsidRPr="005F6B95" w14:paraId="7EAB559A"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6E98F7F8"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lastRenderedPageBreak/>
              <w:t>—</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7D6DCBE4"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w:t>
            </w:r>
          </w:p>
        </w:tc>
        <w:tc>
          <w:tcPr>
            <w:tcW w:w="496" w:type="pct"/>
            <w:tcBorders>
              <w:top w:val="nil"/>
              <w:left w:val="nil"/>
              <w:bottom w:val="single" w:sz="8" w:space="0" w:color="DDDDDD"/>
              <w:right w:val="single" w:sz="8" w:space="0" w:color="DDDDDD"/>
            </w:tcBorders>
            <w:shd w:val="clear" w:color="auto" w:fill="auto"/>
            <w:vAlign w:val="center"/>
            <w:hideMark/>
          </w:tcPr>
          <w:p w14:paraId="7833F21F" w14:textId="77777777" w:rsidR="005F6B95" w:rsidRDefault="005F6B95" w:rsidP="00B93521">
            <w:pPr>
              <w:spacing w:before="0" w:after="0" w:line="240" w:lineRule="auto"/>
              <w:jc w:val="left"/>
              <w:rPr>
                <w:color w:val="000000"/>
                <w:sz w:val="20"/>
                <w:szCs w:val="20"/>
              </w:rPr>
            </w:pPr>
            <w:r>
              <w:rPr>
                <w:color w:val="000000"/>
                <w:sz w:val="20"/>
                <w:szCs w:val="20"/>
              </w:rPr>
              <w:t>RSAD2</w:t>
            </w:r>
          </w:p>
        </w:tc>
        <w:tc>
          <w:tcPr>
            <w:tcW w:w="465" w:type="pct"/>
            <w:tcBorders>
              <w:top w:val="nil"/>
              <w:left w:val="nil"/>
              <w:bottom w:val="single" w:sz="8" w:space="0" w:color="DDDDDD"/>
              <w:right w:val="single" w:sz="8" w:space="0" w:color="DDDDDD"/>
            </w:tcBorders>
            <w:shd w:val="clear" w:color="auto" w:fill="auto"/>
            <w:vAlign w:val="center"/>
            <w:hideMark/>
          </w:tcPr>
          <w:p w14:paraId="7BDC78AF"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0,16</w:t>
            </w:r>
          </w:p>
        </w:tc>
        <w:tc>
          <w:tcPr>
            <w:tcW w:w="556" w:type="pct"/>
            <w:tcBorders>
              <w:top w:val="nil"/>
              <w:left w:val="nil"/>
              <w:bottom w:val="single" w:sz="8" w:space="0" w:color="DDDDDD"/>
              <w:right w:val="single" w:sz="8" w:space="0" w:color="DDDDDD"/>
            </w:tcBorders>
            <w:shd w:val="clear" w:color="auto" w:fill="auto"/>
            <w:vAlign w:val="center"/>
            <w:hideMark/>
          </w:tcPr>
          <w:p w14:paraId="540EC14B" w14:textId="77777777" w:rsidR="005F6B95" w:rsidRDefault="005F6B95" w:rsidP="00B93521">
            <w:pPr>
              <w:spacing w:before="0" w:after="0" w:line="240" w:lineRule="auto"/>
              <w:jc w:val="left"/>
              <w:rPr>
                <w:color w:val="000000"/>
                <w:sz w:val="20"/>
                <w:szCs w:val="20"/>
              </w:rPr>
            </w:pPr>
            <w:r>
              <w:rPr>
                <w:color w:val="000000"/>
                <w:sz w:val="20"/>
                <w:szCs w:val="20"/>
              </w:rPr>
              <w:t>RTP4</w:t>
            </w:r>
          </w:p>
        </w:tc>
        <w:tc>
          <w:tcPr>
            <w:tcW w:w="465" w:type="pct"/>
            <w:tcBorders>
              <w:top w:val="nil"/>
              <w:left w:val="nil"/>
              <w:bottom w:val="single" w:sz="8" w:space="0" w:color="DDDDDD"/>
              <w:right w:val="single" w:sz="8" w:space="0" w:color="DDDDDD"/>
            </w:tcBorders>
            <w:shd w:val="clear" w:color="auto" w:fill="auto"/>
            <w:vAlign w:val="center"/>
            <w:hideMark/>
          </w:tcPr>
          <w:p w14:paraId="551A2D7E"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−0,15</w:t>
            </w:r>
          </w:p>
        </w:tc>
        <w:tc>
          <w:tcPr>
            <w:tcW w:w="563" w:type="pct"/>
            <w:tcBorders>
              <w:top w:val="nil"/>
              <w:left w:val="nil"/>
              <w:bottom w:val="single" w:sz="8" w:space="0" w:color="DDDDDD"/>
              <w:right w:val="single" w:sz="8" w:space="0" w:color="DDDDDD"/>
            </w:tcBorders>
            <w:shd w:val="clear" w:color="auto" w:fill="auto"/>
            <w:vAlign w:val="center"/>
            <w:hideMark/>
          </w:tcPr>
          <w:p w14:paraId="68500D0B" w14:textId="77777777" w:rsidR="005F6B95" w:rsidRDefault="005F6B95" w:rsidP="00B93521">
            <w:pPr>
              <w:spacing w:before="0" w:after="0" w:line="240" w:lineRule="auto"/>
              <w:jc w:val="left"/>
              <w:rPr>
                <w:color w:val="000000"/>
                <w:sz w:val="20"/>
                <w:szCs w:val="20"/>
              </w:rPr>
            </w:pPr>
            <w:r>
              <w:rPr>
                <w:color w:val="000000"/>
                <w:sz w:val="20"/>
                <w:szCs w:val="20"/>
              </w:rPr>
              <w:t>RSAD2</w:t>
            </w:r>
          </w:p>
        </w:tc>
        <w:tc>
          <w:tcPr>
            <w:tcW w:w="465" w:type="pct"/>
            <w:tcBorders>
              <w:top w:val="nil"/>
              <w:left w:val="nil"/>
              <w:bottom w:val="single" w:sz="8" w:space="0" w:color="DDDDDD"/>
              <w:right w:val="single" w:sz="8" w:space="0" w:color="DDDDDD"/>
            </w:tcBorders>
            <w:shd w:val="clear" w:color="auto" w:fill="auto"/>
            <w:vAlign w:val="center"/>
            <w:hideMark/>
          </w:tcPr>
          <w:p w14:paraId="621149C4"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0,14</w:t>
            </w:r>
          </w:p>
        </w:tc>
        <w:tc>
          <w:tcPr>
            <w:tcW w:w="562" w:type="pct"/>
            <w:tcBorders>
              <w:top w:val="nil"/>
              <w:left w:val="nil"/>
              <w:bottom w:val="single" w:sz="8" w:space="0" w:color="DDDDDD"/>
              <w:right w:val="single" w:sz="8" w:space="0" w:color="DDDDDD"/>
            </w:tcBorders>
            <w:shd w:val="clear" w:color="auto" w:fill="auto"/>
            <w:vAlign w:val="center"/>
            <w:hideMark/>
          </w:tcPr>
          <w:p w14:paraId="4C47DE30" w14:textId="77777777" w:rsidR="005F6B95" w:rsidRDefault="005F6B95" w:rsidP="00B93521">
            <w:pPr>
              <w:spacing w:before="0" w:after="0" w:line="240" w:lineRule="auto"/>
              <w:jc w:val="left"/>
              <w:rPr>
                <w:color w:val="000000"/>
                <w:sz w:val="20"/>
                <w:szCs w:val="20"/>
              </w:rPr>
            </w:pPr>
            <w:r>
              <w:rPr>
                <w:color w:val="000000"/>
                <w:sz w:val="20"/>
                <w:szCs w:val="20"/>
              </w:rPr>
              <w:t>TNFSF10</w:t>
            </w:r>
          </w:p>
        </w:tc>
        <w:tc>
          <w:tcPr>
            <w:tcW w:w="465" w:type="pct"/>
            <w:tcBorders>
              <w:top w:val="nil"/>
              <w:left w:val="nil"/>
              <w:bottom w:val="single" w:sz="8" w:space="0" w:color="DDDDDD"/>
              <w:right w:val="single" w:sz="8" w:space="0" w:color="DDDDDD"/>
            </w:tcBorders>
            <w:shd w:val="clear" w:color="auto" w:fill="auto"/>
            <w:vAlign w:val="center"/>
            <w:hideMark/>
          </w:tcPr>
          <w:p w14:paraId="7C23A62F"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−0,13</w:t>
            </w:r>
          </w:p>
        </w:tc>
      </w:tr>
      <w:tr w:rsidR="005F6B95" w:rsidRPr="005F6B95" w14:paraId="5B3B79D0"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0DFFF0F4"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2ECB8BCC"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w:t>
            </w:r>
          </w:p>
        </w:tc>
        <w:tc>
          <w:tcPr>
            <w:tcW w:w="496" w:type="pct"/>
            <w:tcBorders>
              <w:top w:val="nil"/>
              <w:left w:val="nil"/>
              <w:bottom w:val="single" w:sz="8" w:space="0" w:color="DDDDDD"/>
              <w:right w:val="single" w:sz="8" w:space="0" w:color="DDDDDD"/>
            </w:tcBorders>
            <w:shd w:val="clear" w:color="auto" w:fill="auto"/>
            <w:vAlign w:val="center"/>
            <w:hideMark/>
          </w:tcPr>
          <w:p w14:paraId="51BECBB4" w14:textId="77777777" w:rsidR="005F6B95" w:rsidRDefault="005F6B95" w:rsidP="00B93521">
            <w:pPr>
              <w:spacing w:before="0" w:after="0" w:line="240" w:lineRule="auto"/>
              <w:jc w:val="left"/>
              <w:rPr>
                <w:color w:val="000000"/>
                <w:sz w:val="20"/>
                <w:szCs w:val="20"/>
              </w:rPr>
            </w:pPr>
            <w:r>
              <w:rPr>
                <w:color w:val="000000"/>
                <w:sz w:val="20"/>
                <w:szCs w:val="20"/>
              </w:rPr>
              <w:t>DDX60</w:t>
            </w:r>
          </w:p>
        </w:tc>
        <w:tc>
          <w:tcPr>
            <w:tcW w:w="465" w:type="pct"/>
            <w:tcBorders>
              <w:top w:val="nil"/>
              <w:left w:val="nil"/>
              <w:bottom w:val="single" w:sz="8" w:space="0" w:color="DDDDDD"/>
              <w:right w:val="single" w:sz="8" w:space="0" w:color="DDDDDD"/>
            </w:tcBorders>
            <w:shd w:val="clear" w:color="auto" w:fill="auto"/>
            <w:vAlign w:val="center"/>
            <w:hideMark/>
          </w:tcPr>
          <w:p w14:paraId="1F9993E1"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0,15</w:t>
            </w:r>
          </w:p>
        </w:tc>
        <w:tc>
          <w:tcPr>
            <w:tcW w:w="556" w:type="pct"/>
            <w:tcBorders>
              <w:top w:val="nil"/>
              <w:left w:val="nil"/>
              <w:bottom w:val="single" w:sz="8" w:space="0" w:color="DDDDDD"/>
              <w:right w:val="single" w:sz="8" w:space="0" w:color="DDDDDD"/>
            </w:tcBorders>
            <w:shd w:val="clear" w:color="auto" w:fill="auto"/>
            <w:vAlign w:val="center"/>
            <w:hideMark/>
          </w:tcPr>
          <w:p w14:paraId="61CAF042" w14:textId="77777777" w:rsidR="005F6B95" w:rsidRDefault="005F6B95" w:rsidP="00B93521">
            <w:pPr>
              <w:spacing w:before="0" w:after="0" w:line="240" w:lineRule="auto"/>
              <w:jc w:val="left"/>
              <w:rPr>
                <w:color w:val="000000"/>
                <w:sz w:val="20"/>
                <w:szCs w:val="20"/>
              </w:rPr>
            </w:pPr>
            <w:r>
              <w:rPr>
                <w:color w:val="000000"/>
                <w:sz w:val="20"/>
                <w:szCs w:val="20"/>
              </w:rPr>
              <w:t>IFI16</w:t>
            </w:r>
          </w:p>
        </w:tc>
        <w:tc>
          <w:tcPr>
            <w:tcW w:w="465" w:type="pct"/>
            <w:tcBorders>
              <w:top w:val="nil"/>
              <w:left w:val="nil"/>
              <w:bottom w:val="single" w:sz="8" w:space="0" w:color="DDDDDD"/>
              <w:right w:val="single" w:sz="8" w:space="0" w:color="DDDDDD"/>
            </w:tcBorders>
            <w:shd w:val="clear" w:color="auto" w:fill="auto"/>
            <w:vAlign w:val="center"/>
            <w:hideMark/>
          </w:tcPr>
          <w:p w14:paraId="417005CB"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−0,15</w:t>
            </w:r>
          </w:p>
        </w:tc>
        <w:tc>
          <w:tcPr>
            <w:tcW w:w="563" w:type="pct"/>
            <w:tcBorders>
              <w:top w:val="nil"/>
              <w:left w:val="nil"/>
              <w:bottom w:val="single" w:sz="8" w:space="0" w:color="DDDDDD"/>
              <w:right w:val="single" w:sz="8" w:space="0" w:color="DDDDDD"/>
            </w:tcBorders>
            <w:shd w:val="clear" w:color="auto" w:fill="auto"/>
            <w:vAlign w:val="center"/>
            <w:hideMark/>
          </w:tcPr>
          <w:p w14:paraId="019B1338" w14:textId="77777777" w:rsidR="005F6B95" w:rsidRDefault="005F6B95" w:rsidP="00B93521">
            <w:pPr>
              <w:spacing w:before="0" w:after="0" w:line="240" w:lineRule="auto"/>
              <w:jc w:val="left"/>
              <w:rPr>
                <w:color w:val="000000"/>
                <w:sz w:val="20"/>
                <w:szCs w:val="20"/>
              </w:rPr>
            </w:pPr>
            <w:r>
              <w:rPr>
                <w:color w:val="000000"/>
                <w:sz w:val="20"/>
                <w:szCs w:val="20"/>
              </w:rPr>
              <w:t>HERC6</w:t>
            </w:r>
          </w:p>
        </w:tc>
        <w:tc>
          <w:tcPr>
            <w:tcW w:w="465" w:type="pct"/>
            <w:tcBorders>
              <w:top w:val="nil"/>
              <w:left w:val="nil"/>
              <w:bottom w:val="single" w:sz="8" w:space="0" w:color="DDDDDD"/>
              <w:right w:val="single" w:sz="8" w:space="0" w:color="DDDDDD"/>
            </w:tcBorders>
            <w:shd w:val="clear" w:color="auto" w:fill="auto"/>
            <w:vAlign w:val="center"/>
            <w:hideMark/>
          </w:tcPr>
          <w:p w14:paraId="353CEFFC"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0,14</w:t>
            </w:r>
          </w:p>
        </w:tc>
        <w:tc>
          <w:tcPr>
            <w:tcW w:w="562" w:type="pct"/>
            <w:tcBorders>
              <w:top w:val="nil"/>
              <w:left w:val="nil"/>
              <w:bottom w:val="single" w:sz="8" w:space="0" w:color="DDDDDD"/>
              <w:right w:val="single" w:sz="8" w:space="0" w:color="DDDDDD"/>
            </w:tcBorders>
            <w:shd w:val="clear" w:color="auto" w:fill="auto"/>
            <w:vAlign w:val="center"/>
            <w:hideMark/>
          </w:tcPr>
          <w:p w14:paraId="7DCF6991" w14:textId="77777777" w:rsidR="005F6B95" w:rsidRDefault="005F6B95" w:rsidP="00B93521">
            <w:pPr>
              <w:spacing w:before="0" w:after="0" w:line="240" w:lineRule="auto"/>
              <w:jc w:val="left"/>
              <w:rPr>
                <w:color w:val="000000"/>
                <w:sz w:val="20"/>
                <w:szCs w:val="20"/>
              </w:rPr>
            </w:pPr>
            <w:r>
              <w:rPr>
                <w:color w:val="000000"/>
                <w:sz w:val="20"/>
                <w:szCs w:val="20"/>
              </w:rPr>
              <w:t>UB2L6</w:t>
            </w:r>
          </w:p>
        </w:tc>
        <w:tc>
          <w:tcPr>
            <w:tcW w:w="465" w:type="pct"/>
            <w:tcBorders>
              <w:top w:val="nil"/>
              <w:left w:val="nil"/>
              <w:bottom w:val="single" w:sz="8" w:space="0" w:color="DDDDDD"/>
              <w:right w:val="single" w:sz="8" w:space="0" w:color="DDDDDD"/>
            </w:tcBorders>
            <w:shd w:val="clear" w:color="auto" w:fill="auto"/>
            <w:vAlign w:val="center"/>
            <w:hideMark/>
          </w:tcPr>
          <w:p w14:paraId="1911CEE9"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−0,12</w:t>
            </w:r>
          </w:p>
        </w:tc>
      </w:tr>
      <w:tr w:rsidR="005F6B95" w:rsidRPr="005F6B95" w14:paraId="106FAD0E"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13BD111C"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57460BE7"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w:t>
            </w:r>
          </w:p>
        </w:tc>
        <w:tc>
          <w:tcPr>
            <w:tcW w:w="496" w:type="pct"/>
            <w:tcBorders>
              <w:top w:val="nil"/>
              <w:left w:val="nil"/>
              <w:bottom w:val="single" w:sz="8" w:space="0" w:color="DDDDDD"/>
              <w:right w:val="single" w:sz="8" w:space="0" w:color="DDDDDD"/>
            </w:tcBorders>
            <w:shd w:val="clear" w:color="auto" w:fill="auto"/>
            <w:vAlign w:val="center"/>
            <w:hideMark/>
          </w:tcPr>
          <w:p w14:paraId="3543879E" w14:textId="77777777" w:rsidR="005F6B95" w:rsidRDefault="005F6B95" w:rsidP="00B93521">
            <w:pPr>
              <w:spacing w:before="0" w:after="0" w:line="240" w:lineRule="auto"/>
              <w:jc w:val="left"/>
              <w:rPr>
                <w:color w:val="000000"/>
                <w:sz w:val="20"/>
                <w:szCs w:val="20"/>
              </w:rPr>
            </w:pPr>
            <w:r>
              <w:rPr>
                <w:color w:val="000000"/>
                <w:sz w:val="20"/>
                <w:szCs w:val="20"/>
              </w:rPr>
              <w:t>EPSTI1</w:t>
            </w:r>
          </w:p>
        </w:tc>
        <w:tc>
          <w:tcPr>
            <w:tcW w:w="465" w:type="pct"/>
            <w:tcBorders>
              <w:top w:val="nil"/>
              <w:left w:val="nil"/>
              <w:bottom w:val="single" w:sz="8" w:space="0" w:color="DDDDDD"/>
              <w:right w:val="single" w:sz="8" w:space="0" w:color="DDDDDD"/>
            </w:tcBorders>
            <w:shd w:val="clear" w:color="auto" w:fill="auto"/>
            <w:vAlign w:val="center"/>
            <w:hideMark/>
          </w:tcPr>
          <w:p w14:paraId="7AB6850C"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0,15</w:t>
            </w:r>
          </w:p>
        </w:tc>
        <w:tc>
          <w:tcPr>
            <w:tcW w:w="556" w:type="pct"/>
            <w:tcBorders>
              <w:top w:val="nil"/>
              <w:left w:val="nil"/>
              <w:bottom w:val="single" w:sz="8" w:space="0" w:color="DDDDDD"/>
              <w:right w:val="single" w:sz="8" w:space="0" w:color="DDDDDD"/>
            </w:tcBorders>
            <w:shd w:val="clear" w:color="auto" w:fill="auto"/>
            <w:vAlign w:val="center"/>
            <w:hideMark/>
          </w:tcPr>
          <w:p w14:paraId="471B1698" w14:textId="77777777" w:rsidR="005F6B95" w:rsidRDefault="005F6B95" w:rsidP="00B93521">
            <w:pPr>
              <w:spacing w:before="0" w:after="0" w:line="240" w:lineRule="auto"/>
              <w:jc w:val="left"/>
              <w:rPr>
                <w:color w:val="000000"/>
                <w:sz w:val="20"/>
                <w:szCs w:val="20"/>
              </w:rPr>
            </w:pPr>
            <w:r>
              <w:rPr>
                <w:color w:val="000000"/>
                <w:sz w:val="20"/>
                <w:szCs w:val="20"/>
              </w:rPr>
              <w:t>PARP12</w:t>
            </w:r>
          </w:p>
        </w:tc>
        <w:tc>
          <w:tcPr>
            <w:tcW w:w="465" w:type="pct"/>
            <w:tcBorders>
              <w:top w:val="nil"/>
              <w:left w:val="nil"/>
              <w:bottom w:val="single" w:sz="8" w:space="0" w:color="DDDDDD"/>
              <w:right w:val="single" w:sz="8" w:space="0" w:color="DDDDDD"/>
            </w:tcBorders>
            <w:shd w:val="clear" w:color="auto" w:fill="auto"/>
            <w:vAlign w:val="center"/>
            <w:hideMark/>
          </w:tcPr>
          <w:p w14:paraId="753E9B29"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−0,12</w:t>
            </w:r>
          </w:p>
        </w:tc>
        <w:tc>
          <w:tcPr>
            <w:tcW w:w="563" w:type="pct"/>
            <w:tcBorders>
              <w:top w:val="nil"/>
              <w:left w:val="nil"/>
              <w:bottom w:val="single" w:sz="8" w:space="0" w:color="DDDDDD"/>
              <w:right w:val="single" w:sz="8" w:space="0" w:color="DDDDDD"/>
            </w:tcBorders>
            <w:shd w:val="clear" w:color="auto" w:fill="auto"/>
            <w:vAlign w:val="center"/>
            <w:hideMark/>
          </w:tcPr>
          <w:p w14:paraId="7DD35AD8" w14:textId="77777777" w:rsidR="005F6B95" w:rsidRDefault="005F6B95" w:rsidP="00B93521">
            <w:pPr>
              <w:spacing w:before="0" w:after="0" w:line="240" w:lineRule="auto"/>
              <w:jc w:val="left"/>
              <w:rPr>
                <w:color w:val="000000"/>
                <w:sz w:val="20"/>
                <w:szCs w:val="20"/>
              </w:rPr>
            </w:pPr>
            <w:r>
              <w:rPr>
                <w:color w:val="000000"/>
                <w:sz w:val="20"/>
                <w:szCs w:val="20"/>
              </w:rPr>
              <w:t>CMPK2</w:t>
            </w:r>
          </w:p>
        </w:tc>
        <w:tc>
          <w:tcPr>
            <w:tcW w:w="465" w:type="pct"/>
            <w:tcBorders>
              <w:top w:val="nil"/>
              <w:left w:val="nil"/>
              <w:bottom w:val="single" w:sz="8" w:space="0" w:color="DDDDDD"/>
              <w:right w:val="single" w:sz="8" w:space="0" w:color="DDDDDD"/>
            </w:tcBorders>
            <w:shd w:val="clear" w:color="auto" w:fill="auto"/>
            <w:vAlign w:val="center"/>
            <w:hideMark/>
          </w:tcPr>
          <w:p w14:paraId="3051007D"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0,13</w:t>
            </w:r>
          </w:p>
        </w:tc>
        <w:tc>
          <w:tcPr>
            <w:tcW w:w="562" w:type="pct"/>
            <w:tcBorders>
              <w:top w:val="nil"/>
              <w:left w:val="nil"/>
              <w:bottom w:val="single" w:sz="8" w:space="0" w:color="DDDDDD"/>
              <w:right w:val="single" w:sz="8" w:space="0" w:color="DDDDDD"/>
            </w:tcBorders>
            <w:shd w:val="clear" w:color="auto" w:fill="auto"/>
            <w:vAlign w:val="center"/>
            <w:hideMark/>
          </w:tcPr>
          <w:p w14:paraId="2E8C842B" w14:textId="77777777" w:rsidR="005F6B95" w:rsidRDefault="005F6B95" w:rsidP="00B93521">
            <w:pPr>
              <w:spacing w:before="0" w:after="0" w:line="240" w:lineRule="auto"/>
              <w:jc w:val="left"/>
              <w:rPr>
                <w:color w:val="000000"/>
                <w:sz w:val="20"/>
                <w:szCs w:val="20"/>
              </w:rPr>
            </w:pPr>
            <w:r>
              <w:rPr>
                <w:color w:val="000000"/>
                <w:sz w:val="20"/>
                <w:szCs w:val="20"/>
              </w:rPr>
              <w:t>ZBP1</w:t>
            </w:r>
          </w:p>
        </w:tc>
        <w:tc>
          <w:tcPr>
            <w:tcW w:w="465" w:type="pct"/>
            <w:tcBorders>
              <w:top w:val="nil"/>
              <w:left w:val="nil"/>
              <w:bottom w:val="single" w:sz="8" w:space="0" w:color="DDDDDD"/>
              <w:right w:val="single" w:sz="8" w:space="0" w:color="DDDDDD"/>
            </w:tcBorders>
            <w:shd w:val="clear" w:color="auto" w:fill="auto"/>
            <w:vAlign w:val="center"/>
            <w:hideMark/>
          </w:tcPr>
          <w:p w14:paraId="5FB72768"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−0,12</w:t>
            </w:r>
          </w:p>
        </w:tc>
      </w:tr>
      <w:tr w:rsidR="005F6B95" w:rsidRPr="005F6B95" w14:paraId="47E3AD74" w14:textId="77777777" w:rsidTr="005F6B95">
        <w:trPr>
          <w:trHeight w:val="340"/>
        </w:trPr>
        <w:tc>
          <w:tcPr>
            <w:tcW w:w="499"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274EB79F"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w:t>
            </w:r>
          </w:p>
        </w:tc>
        <w:tc>
          <w:tcPr>
            <w:tcW w:w="465" w:type="pct"/>
            <w:tcBorders>
              <w:top w:val="nil"/>
              <w:left w:val="single" w:sz="4" w:space="0" w:color="D9D9D9" w:themeColor="background1" w:themeShade="D9"/>
              <w:bottom w:val="single" w:sz="8" w:space="0" w:color="DDDDDD"/>
              <w:right w:val="single" w:sz="8" w:space="0" w:color="DDDDDD"/>
            </w:tcBorders>
            <w:shd w:val="clear" w:color="auto" w:fill="auto"/>
            <w:vAlign w:val="center"/>
            <w:hideMark/>
          </w:tcPr>
          <w:p w14:paraId="11E717D2"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w:t>
            </w:r>
          </w:p>
        </w:tc>
        <w:tc>
          <w:tcPr>
            <w:tcW w:w="496" w:type="pct"/>
            <w:tcBorders>
              <w:top w:val="nil"/>
              <w:left w:val="nil"/>
              <w:bottom w:val="single" w:sz="8" w:space="0" w:color="DDDDDD"/>
              <w:right w:val="single" w:sz="8" w:space="0" w:color="DDDDDD"/>
            </w:tcBorders>
            <w:shd w:val="clear" w:color="auto" w:fill="auto"/>
            <w:vAlign w:val="center"/>
            <w:hideMark/>
          </w:tcPr>
          <w:p w14:paraId="69898A95" w14:textId="77777777" w:rsidR="005F6B95" w:rsidRDefault="005F6B95" w:rsidP="00B93521">
            <w:pPr>
              <w:spacing w:before="0" w:after="0" w:line="240" w:lineRule="auto"/>
              <w:jc w:val="left"/>
              <w:rPr>
                <w:color w:val="000000"/>
                <w:sz w:val="20"/>
                <w:szCs w:val="20"/>
              </w:rPr>
            </w:pPr>
            <w:r>
              <w:rPr>
                <w:color w:val="000000"/>
                <w:sz w:val="20"/>
                <w:szCs w:val="20"/>
              </w:rPr>
              <w:t>ISG15</w:t>
            </w:r>
          </w:p>
        </w:tc>
        <w:tc>
          <w:tcPr>
            <w:tcW w:w="465" w:type="pct"/>
            <w:tcBorders>
              <w:top w:val="nil"/>
              <w:left w:val="nil"/>
              <w:bottom w:val="single" w:sz="8" w:space="0" w:color="DDDDDD"/>
              <w:right w:val="single" w:sz="8" w:space="0" w:color="DDDDDD"/>
            </w:tcBorders>
            <w:shd w:val="clear" w:color="auto" w:fill="auto"/>
            <w:vAlign w:val="center"/>
            <w:hideMark/>
          </w:tcPr>
          <w:p w14:paraId="5C967847"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0,15</w:t>
            </w:r>
          </w:p>
        </w:tc>
        <w:tc>
          <w:tcPr>
            <w:tcW w:w="556" w:type="pct"/>
            <w:tcBorders>
              <w:top w:val="nil"/>
              <w:left w:val="nil"/>
              <w:bottom w:val="single" w:sz="8" w:space="0" w:color="DDDDDD"/>
              <w:right w:val="single" w:sz="8" w:space="0" w:color="DDDDDD"/>
            </w:tcBorders>
            <w:shd w:val="clear" w:color="auto" w:fill="auto"/>
            <w:vAlign w:val="center"/>
            <w:hideMark/>
          </w:tcPr>
          <w:p w14:paraId="13912931" w14:textId="77777777" w:rsidR="005F6B95" w:rsidRDefault="005F6B95" w:rsidP="00B93521">
            <w:pPr>
              <w:spacing w:before="0" w:after="0" w:line="240" w:lineRule="auto"/>
              <w:jc w:val="left"/>
              <w:rPr>
                <w:color w:val="000000"/>
                <w:sz w:val="20"/>
                <w:szCs w:val="20"/>
              </w:rPr>
            </w:pPr>
            <w:r>
              <w:rPr>
                <w:color w:val="000000"/>
                <w:sz w:val="20"/>
                <w:szCs w:val="20"/>
              </w:rPr>
              <w:t>IFIT5</w:t>
            </w:r>
          </w:p>
        </w:tc>
        <w:tc>
          <w:tcPr>
            <w:tcW w:w="465" w:type="pct"/>
            <w:tcBorders>
              <w:top w:val="nil"/>
              <w:left w:val="nil"/>
              <w:bottom w:val="single" w:sz="8" w:space="0" w:color="DDDDDD"/>
              <w:right w:val="single" w:sz="8" w:space="0" w:color="DDDDDD"/>
            </w:tcBorders>
            <w:shd w:val="clear" w:color="auto" w:fill="auto"/>
            <w:vAlign w:val="center"/>
            <w:hideMark/>
          </w:tcPr>
          <w:p w14:paraId="42E5F7C5"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−0,08</w:t>
            </w:r>
          </w:p>
        </w:tc>
        <w:tc>
          <w:tcPr>
            <w:tcW w:w="563" w:type="pct"/>
            <w:tcBorders>
              <w:top w:val="nil"/>
              <w:left w:val="nil"/>
              <w:bottom w:val="single" w:sz="8" w:space="0" w:color="DDDDDD"/>
              <w:right w:val="single" w:sz="8" w:space="0" w:color="DDDDDD"/>
            </w:tcBorders>
            <w:shd w:val="clear" w:color="auto" w:fill="auto"/>
            <w:vAlign w:val="center"/>
            <w:hideMark/>
          </w:tcPr>
          <w:p w14:paraId="0B5F1889" w14:textId="77777777" w:rsidR="005F6B95" w:rsidRDefault="005F6B95" w:rsidP="00B93521">
            <w:pPr>
              <w:spacing w:before="0" w:after="0" w:line="240" w:lineRule="auto"/>
              <w:jc w:val="left"/>
              <w:rPr>
                <w:color w:val="000000"/>
                <w:sz w:val="20"/>
                <w:szCs w:val="20"/>
              </w:rPr>
            </w:pPr>
            <w:r>
              <w:rPr>
                <w:color w:val="000000"/>
                <w:sz w:val="20"/>
                <w:szCs w:val="20"/>
              </w:rPr>
              <w:t>DDX60</w:t>
            </w:r>
          </w:p>
        </w:tc>
        <w:tc>
          <w:tcPr>
            <w:tcW w:w="465" w:type="pct"/>
            <w:tcBorders>
              <w:top w:val="nil"/>
              <w:left w:val="nil"/>
              <w:bottom w:val="single" w:sz="8" w:space="0" w:color="DDDDDD"/>
              <w:right w:val="single" w:sz="8" w:space="0" w:color="DDDDDD"/>
            </w:tcBorders>
            <w:shd w:val="clear" w:color="auto" w:fill="auto"/>
            <w:vAlign w:val="center"/>
            <w:hideMark/>
          </w:tcPr>
          <w:p w14:paraId="5A3CFCAF" w14:textId="77777777" w:rsidR="005F6B95" w:rsidRPr="005F6B95" w:rsidRDefault="005F6B95" w:rsidP="00B93521">
            <w:pPr>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0,12</w:t>
            </w:r>
          </w:p>
        </w:tc>
        <w:tc>
          <w:tcPr>
            <w:tcW w:w="562" w:type="pct"/>
            <w:tcBorders>
              <w:top w:val="nil"/>
              <w:left w:val="nil"/>
              <w:bottom w:val="single" w:sz="8" w:space="0" w:color="DDDDDD"/>
              <w:right w:val="single" w:sz="8" w:space="0" w:color="DDDDDD"/>
            </w:tcBorders>
            <w:shd w:val="clear" w:color="auto" w:fill="auto"/>
            <w:vAlign w:val="center"/>
            <w:hideMark/>
          </w:tcPr>
          <w:p w14:paraId="70B6B943" w14:textId="77777777" w:rsidR="005F6B95" w:rsidRDefault="005F6B95" w:rsidP="00B93521">
            <w:pPr>
              <w:keepNext/>
              <w:spacing w:before="0" w:after="0" w:line="240" w:lineRule="auto"/>
              <w:jc w:val="left"/>
              <w:rPr>
                <w:color w:val="000000"/>
                <w:sz w:val="20"/>
                <w:szCs w:val="20"/>
              </w:rPr>
            </w:pPr>
            <w:r>
              <w:rPr>
                <w:color w:val="000000"/>
                <w:sz w:val="20"/>
                <w:szCs w:val="20"/>
              </w:rPr>
              <w:t>PLSCR1</w:t>
            </w:r>
          </w:p>
        </w:tc>
        <w:tc>
          <w:tcPr>
            <w:tcW w:w="465" w:type="pct"/>
            <w:tcBorders>
              <w:top w:val="nil"/>
              <w:left w:val="nil"/>
              <w:bottom w:val="single" w:sz="8" w:space="0" w:color="DDDDDD"/>
              <w:right w:val="single" w:sz="8" w:space="0" w:color="DDDDDD"/>
            </w:tcBorders>
            <w:shd w:val="clear" w:color="auto" w:fill="auto"/>
            <w:vAlign w:val="center"/>
            <w:hideMark/>
          </w:tcPr>
          <w:p w14:paraId="2CEE2A90" w14:textId="77777777" w:rsidR="005F6B95" w:rsidRPr="005F6B95" w:rsidRDefault="005F6B95" w:rsidP="002A3090">
            <w:pPr>
              <w:keepNext/>
              <w:spacing w:before="0" w:after="0" w:line="240" w:lineRule="auto"/>
              <w:jc w:val="left"/>
              <w:rPr>
                <w:rFonts w:eastAsia="Times New Roman"/>
                <w:color w:val="000000"/>
                <w:sz w:val="20"/>
                <w:szCs w:val="20"/>
                <w:lang w:val="es-ES"/>
              </w:rPr>
            </w:pPr>
            <w:r w:rsidRPr="005F6B95">
              <w:rPr>
                <w:rFonts w:eastAsia="Times New Roman"/>
                <w:color w:val="000000"/>
                <w:sz w:val="20"/>
                <w:szCs w:val="20"/>
                <w:lang w:val="es-ES"/>
              </w:rPr>
              <w:t>−0,11</w:t>
            </w:r>
          </w:p>
        </w:tc>
      </w:tr>
    </w:tbl>
    <w:p w14:paraId="64722F67" w14:textId="791EB719" w:rsidR="00731B2C" w:rsidRPr="00D953E8" w:rsidRDefault="002A3090" w:rsidP="00C67F76">
      <w:pPr>
        <w:pStyle w:val="Descripcin"/>
      </w:pPr>
      <w:bookmarkStart w:id="162" w:name="_Toc230792268"/>
      <w:r>
        <w:t xml:space="preserve">Tabla </w:t>
      </w:r>
      <w:fldSimple w:instr=" SEQ Tabla \* ARABIC ">
        <w:r w:rsidR="00716AEA">
          <w:rPr>
            <w:noProof/>
          </w:rPr>
          <w:t>38</w:t>
        </w:r>
      </w:fldSimple>
      <w:r>
        <w:t xml:space="preserve">. </w:t>
      </w:r>
      <w:r w:rsidRPr="00B32166">
        <w:t>Top 15 ISGs seleccionados en el Componente 1 por modelo DIABLO.</w:t>
      </w:r>
      <w:bookmarkEnd w:id="162"/>
    </w:p>
    <w:p w14:paraId="0ED8C26F" w14:textId="138040F7" w:rsidR="00CE3B03" w:rsidRDefault="00CE3B03" w:rsidP="00CE3B03">
      <w:pPr>
        <w:spacing w:before="120" w:after="120"/>
      </w:pPr>
      <w:r>
        <w:t xml:space="preserve">La interpretación de los </w:t>
      </w:r>
      <w:proofErr w:type="spellStart"/>
      <w:r>
        <w:t>loadings</w:t>
      </w:r>
      <w:proofErr w:type="spellEnd"/>
      <w:r>
        <w:t xml:space="preserve"> debe atender tanto a su magnitud absoluta como a la consistencia de signos dentro de cada modelo. En cuanto a la magnitud, cuanto mayor es el valor absoluto del </w:t>
      </w:r>
      <w:proofErr w:type="spellStart"/>
      <w:r>
        <w:t>loading</w:t>
      </w:r>
      <w:proofErr w:type="spellEnd"/>
      <w:r>
        <w:t xml:space="preserve">, mayor es el peso de ese gen en la firma discriminativa: IFITM1 alcanza un </w:t>
      </w:r>
      <w:proofErr w:type="spellStart"/>
      <w:r>
        <w:t>loading</w:t>
      </w:r>
      <w:proofErr w:type="spellEnd"/>
      <w:r>
        <w:t xml:space="preserve"> de |−0,</w:t>
      </w:r>
      <w:r w:rsidR="00DA7151">
        <w:t>70</w:t>
      </w:r>
      <w:r>
        <w:t>| en el modelo SLEDAI</w:t>
      </w:r>
      <w:r>
        <w:rPr>
          <w:rFonts w:ascii="Cambria Math" w:hAnsi="Cambria Math" w:cs="Cambria Math"/>
        </w:rPr>
        <w:t>‑</w:t>
      </w:r>
      <w:r>
        <w:t xml:space="preserve">2K, convirtiéndose en el gen transcriptómico más discriminante de todos los modelos analizados. En cuanto a la consistencia de signos, el hecho de que todos los ISGs presenten el mismo signo dentro de cada modelo indica que forman un módulo cohesivo: todos </w:t>
      </w:r>
      <w:proofErr w:type="spellStart"/>
      <w:r>
        <w:t>co</w:t>
      </w:r>
      <w:proofErr w:type="spellEnd"/>
      <w:r>
        <w:t>-varían en la misma dirección en el espacio latente, lo que es coherente con la naturaleza coordinada de la respuesta de interferón tipo I en el LES.</w:t>
      </w:r>
    </w:p>
    <w:p w14:paraId="2CA7DD10" w14:textId="77777777" w:rsidR="00CE3B03" w:rsidRDefault="00CE3B03" w:rsidP="00CE3B03">
      <w:pPr>
        <w:spacing w:before="120" w:after="120"/>
      </w:pPr>
      <w:r>
        <w:t xml:space="preserve">Cabe destacar un matiz interpretativo respecto al signo de los </w:t>
      </w:r>
      <w:proofErr w:type="spellStart"/>
      <w:r>
        <w:t>loadings</w:t>
      </w:r>
      <w:proofErr w:type="spellEnd"/>
      <w:r>
        <w:t>: en los modelos supervisados por SLEDAI</w:t>
      </w:r>
      <w:r>
        <w:rPr>
          <w:rFonts w:ascii="Cambria Math" w:hAnsi="Cambria Math" w:cs="Cambria Math"/>
        </w:rPr>
        <w:t>‑</w:t>
      </w:r>
      <w:r>
        <w:t>2K, SLICC/SDI y remisión estricta, los ISGs de mayor contribución presentan signo negativo en el Comp1, mientras que en los modelos de SLE</w:t>
      </w:r>
      <w:r>
        <w:rPr>
          <w:rFonts w:ascii="Cambria Math" w:hAnsi="Cambria Math" w:cs="Cambria Math"/>
        </w:rPr>
        <w:t>‑</w:t>
      </w:r>
      <w:r>
        <w:t xml:space="preserve">DAS y DORIS el signo es positivo. Esta inversión de signo, habitual en los métodos </w:t>
      </w:r>
      <w:proofErr w:type="spellStart"/>
      <w:r>
        <w:t>sPLS</w:t>
      </w:r>
      <w:proofErr w:type="spellEnd"/>
      <w:r>
        <w:rPr>
          <w:rFonts w:ascii="Cambria Math" w:hAnsi="Cambria Math" w:cs="Cambria Math"/>
        </w:rPr>
        <w:t>‑</w:t>
      </w:r>
      <w:r>
        <w:t>DA al ser arbitraria la orientación de los ejes latentes, no altera la interpretación biológica: en todos los casos los mismos ISGs de la firma de IFN tipo I constituyen el principal eje discriminativo.</w:t>
      </w:r>
    </w:p>
    <w:p w14:paraId="3ED88641" w14:textId="77777777" w:rsidR="00CE3B03" w:rsidRPr="00CE3B03" w:rsidRDefault="00CE3B03" w:rsidP="00CE3B03">
      <w:pPr>
        <w:spacing w:before="120" w:after="120"/>
      </w:pPr>
      <w:r>
        <w:t>Resulta especialmente llamativo que los modelos supervisados por DORIS y SLE</w:t>
      </w:r>
      <w:r>
        <w:rPr>
          <w:rFonts w:ascii="Cambria Math" w:hAnsi="Cambria Math" w:cs="Cambria Math"/>
        </w:rPr>
        <w:t>‑</w:t>
      </w:r>
      <w:r>
        <w:t>DAS seleccionan ISGs canónicos de alta activación IFN como IFI27 (</w:t>
      </w:r>
      <w:proofErr w:type="spellStart"/>
      <w:r>
        <w:t>loading</w:t>
      </w:r>
      <w:proofErr w:type="spellEnd"/>
      <w:r>
        <w:t xml:space="preserve"> 0,57 y 0,50, respectivamente) como variable transcriptómica más contribuyente, mientras que los modelos supervisados por SLEDAI</w:t>
      </w:r>
      <w:r>
        <w:rPr>
          <w:rFonts w:ascii="Cambria Math" w:hAnsi="Cambria Math" w:cs="Cambria Math"/>
        </w:rPr>
        <w:t>‑</w:t>
      </w:r>
      <w:r>
        <w:t>2K y remisión estricta priorizan genes relacionados con la respuesta antiviral y la presentación antigénica (IFITM1, TRIM38, TAP1, EIFAK2). Esta diferencia en el perfil de ISGs seleccionados sugiere que los distintos índices de actividad capturan matices biológicos complementarios dentro de la firma de IFN tipo I: IFI27 y USP18 se asocian preferentemente a la activación de IFN</w:t>
      </w:r>
      <w:r>
        <w:rPr>
          <w:rFonts w:ascii="Cambria Math" w:hAnsi="Cambria Math" w:cs="Cambria Math"/>
        </w:rPr>
        <w:t>‑</w:t>
      </w:r>
      <w:r>
        <w:t>α sérico elevado, capturada por SLE</w:t>
      </w:r>
      <w:r>
        <w:rPr>
          <w:rFonts w:ascii="Cambria Math" w:hAnsi="Cambria Math" w:cs="Cambria Math"/>
        </w:rPr>
        <w:t>‑</w:t>
      </w:r>
      <w:r>
        <w:t>DAS y DORIS, mientras que IFITM1, TRIM38 y TAP1 reflejan la interfaz entre la firma transcriptómica y la actividad clínica aguda medida por el SLEDAI</w:t>
      </w:r>
      <w:r>
        <w:rPr>
          <w:rFonts w:ascii="Cambria Math" w:hAnsi="Cambria Math" w:cs="Cambria Math"/>
        </w:rPr>
        <w:t>‑</w:t>
      </w:r>
      <w:r>
        <w:t>2K.</w:t>
      </w:r>
    </w:p>
    <w:p w14:paraId="13A3447B" w14:textId="77777777" w:rsidR="00097466" w:rsidRDefault="00000000">
      <w:pPr>
        <w:pStyle w:val="Ttulo4"/>
        <w:numPr>
          <w:ilvl w:val="3"/>
          <w:numId w:val="17"/>
        </w:numPr>
      </w:pPr>
      <w:r>
        <w:t>Bloque proteómico</w:t>
      </w:r>
    </w:p>
    <w:p w14:paraId="7986E67E" w14:textId="729D1776" w:rsidR="00097466" w:rsidRDefault="00000000">
      <w:r>
        <w:t xml:space="preserve">Los </w:t>
      </w:r>
      <w:proofErr w:type="spellStart"/>
      <w:r>
        <w:t>loadings</w:t>
      </w:r>
      <w:proofErr w:type="spellEnd"/>
      <w:r>
        <w:t xml:space="preserve"> de las variables proteómicas seleccionadas en el Componente 1 se resumen en la Tabla</w:t>
      </w:r>
      <w:r w:rsidR="00A65E05">
        <w:t xml:space="preserve"> </w:t>
      </w:r>
      <w:r>
        <w:t>3</w:t>
      </w:r>
      <w:r w:rsidR="00A65E05">
        <w:t>9</w:t>
      </w:r>
      <w:r>
        <w:t xml:space="preserve">. </w:t>
      </w:r>
      <w:r w:rsidR="00CE3B03" w:rsidRPr="00CE3B03">
        <w:t>El bloque proteómico presenta un patrón de selección marcadamente distinto al transcriptómico, tanto en el número de variables seleccionadas como en su naturaleza biológica. La variable proteómica de mayor peso en el Componente 1 es IFN</w:t>
      </w:r>
      <w:r w:rsidR="00CE3B03" w:rsidRPr="00CE3B03">
        <w:rPr>
          <w:rFonts w:ascii="Cambria Math" w:hAnsi="Cambria Math" w:cs="Cambria Math"/>
        </w:rPr>
        <w:t>‑</w:t>
      </w:r>
      <w:r w:rsidR="00CE3B03" w:rsidRPr="00CE3B03">
        <w:t>α sérico en todos los modelos</w:t>
      </w:r>
      <w:r w:rsidR="00CE3B03">
        <w:t xml:space="preserve"> </w:t>
      </w:r>
      <w:r>
        <w:t>(rango 0,75–0,88), confirmando su papel como biomarcador proteómico central del eje latente integrado. Este hallazgo es coherente con los análisis de regresión logística previos, en los que IFN-α sérico fue el predictor independiente de mayor magnitud para la clasificación IFN-</w:t>
      </w:r>
      <w:proofErr w:type="spellStart"/>
      <w:r>
        <w:t>high</w:t>
      </w:r>
      <w:proofErr w:type="spellEnd"/>
      <w:r>
        <w:t>/IFN-low.</w:t>
      </w:r>
    </w:p>
    <w:tbl>
      <w:tblPr>
        <w:tblStyle w:val="aff1"/>
        <w:tblW w:w="8485" w:type="dxa"/>
        <w:tblInd w:w="0" w:type="dxa"/>
        <w:tblLayout w:type="fixed"/>
        <w:tblLook w:val="0400" w:firstRow="0" w:lastRow="0" w:firstColumn="0" w:lastColumn="0" w:noHBand="0" w:noVBand="1"/>
      </w:tblPr>
      <w:tblGrid>
        <w:gridCol w:w="2260"/>
        <w:gridCol w:w="1288"/>
        <w:gridCol w:w="1066"/>
        <w:gridCol w:w="1229"/>
        <w:gridCol w:w="1037"/>
        <w:gridCol w:w="1605"/>
      </w:tblGrid>
      <w:tr w:rsidR="00097466" w14:paraId="7EEFA701" w14:textId="77777777">
        <w:trPr>
          <w:trHeight w:val="397"/>
        </w:trPr>
        <w:tc>
          <w:tcPr>
            <w:tcW w:w="2260"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47455860" w14:textId="77777777" w:rsidR="00097466" w:rsidRDefault="00000000">
            <w:pPr>
              <w:spacing w:before="0" w:after="0" w:line="240" w:lineRule="auto"/>
              <w:jc w:val="left"/>
              <w:rPr>
                <w:b/>
                <w:bCs/>
                <w:color w:val="000000"/>
                <w:sz w:val="20"/>
                <w:szCs w:val="20"/>
              </w:rPr>
            </w:pPr>
            <w:r>
              <w:rPr>
                <w:b/>
                <w:bCs/>
                <w:color w:val="000000"/>
                <w:sz w:val="20"/>
                <w:szCs w:val="20"/>
              </w:rPr>
              <w:lastRenderedPageBreak/>
              <w:t>Proteína sérica</w:t>
            </w:r>
          </w:p>
        </w:tc>
        <w:tc>
          <w:tcPr>
            <w:tcW w:w="1288" w:type="dxa"/>
            <w:tcBorders>
              <w:top w:val="single" w:sz="8" w:space="0" w:color="DDDDDD"/>
              <w:left w:val="nil"/>
              <w:bottom w:val="single" w:sz="8" w:space="0" w:color="DDDDDD"/>
              <w:right w:val="single" w:sz="8" w:space="0" w:color="DDDDDD"/>
            </w:tcBorders>
            <w:shd w:val="clear" w:color="auto" w:fill="F2F2F2"/>
            <w:vAlign w:val="center"/>
          </w:tcPr>
          <w:p w14:paraId="4A5C243B" w14:textId="77777777" w:rsidR="00097466" w:rsidRDefault="00000000">
            <w:pPr>
              <w:spacing w:before="0" w:after="0" w:line="240" w:lineRule="auto"/>
              <w:jc w:val="left"/>
              <w:rPr>
                <w:b/>
                <w:bCs/>
                <w:color w:val="000000"/>
                <w:sz w:val="20"/>
                <w:szCs w:val="20"/>
              </w:rPr>
            </w:pPr>
            <w:r>
              <w:rPr>
                <w:b/>
                <w:bCs/>
                <w:color w:val="000000"/>
                <w:sz w:val="20"/>
                <w:szCs w:val="20"/>
              </w:rPr>
              <w:t>SLEDAI-2K</w:t>
            </w:r>
          </w:p>
        </w:tc>
        <w:tc>
          <w:tcPr>
            <w:tcW w:w="1066" w:type="dxa"/>
            <w:tcBorders>
              <w:top w:val="single" w:sz="8" w:space="0" w:color="DDDDDD"/>
              <w:left w:val="nil"/>
              <w:bottom w:val="single" w:sz="8" w:space="0" w:color="DDDDDD"/>
              <w:right w:val="single" w:sz="8" w:space="0" w:color="DDDDDD"/>
            </w:tcBorders>
            <w:shd w:val="clear" w:color="auto" w:fill="F2F2F2"/>
            <w:vAlign w:val="center"/>
          </w:tcPr>
          <w:p w14:paraId="4BE6BE9B" w14:textId="77777777" w:rsidR="00097466" w:rsidRDefault="00000000">
            <w:pPr>
              <w:spacing w:before="0" w:after="0" w:line="240" w:lineRule="auto"/>
              <w:jc w:val="left"/>
              <w:rPr>
                <w:b/>
                <w:bCs/>
                <w:color w:val="000000"/>
                <w:sz w:val="20"/>
                <w:szCs w:val="20"/>
              </w:rPr>
            </w:pPr>
            <w:r>
              <w:rPr>
                <w:b/>
                <w:bCs/>
                <w:color w:val="000000"/>
                <w:sz w:val="20"/>
                <w:szCs w:val="20"/>
              </w:rPr>
              <w:t>SLE-DAS</w:t>
            </w:r>
          </w:p>
        </w:tc>
        <w:tc>
          <w:tcPr>
            <w:tcW w:w="1229" w:type="dxa"/>
            <w:tcBorders>
              <w:top w:val="single" w:sz="8" w:space="0" w:color="DDDDDD"/>
              <w:left w:val="nil"/>
              <w:bottom w:val="single" w:sz="8" w:space="0" w:color="DDDDDD"/>
              <w:right w:val="single" w:sz="8" w:space="0" w:color="DDDDDD"/>
            </w:tcBorders>
            <w:shd w:val="clear" w:color="auto" w:fill="F2F2F2"/>
            <w:vAlign w:val="center"/>
          </w:tcPr>
          <w:p w14:paraId="6E2B0B9C" w14:textId="77777777" w:rsidR="00097466" w:rsidRDefault="00000000">
            <w:pPr>
              <w:spacing w:before="0" w:after="0" w:line="240" w:lineRule="auto"/>
              <w:jc w:val="left"/>
              <w:rPr>
                <w:b/>
                <w:bCs/>
                <w:color w:val="000000"/>
                <w:sz w:val="20"/>
                <w:szCs w:val="20"/>
              </w:rPr>
            </w:pPr>
            <w:r>
              <w:rPr>
                <w:b/>
                <w:bCs/>
                <w:color w:val="000000"/>
                <w:sz w:val="20"/>
                <w:szCs w:val="20"/>
              </w:rPr>
              <w:t>SLICC/SDI</w:t>
            </w:r>
          </w:p>
        </w:tc>
        <w:tc>
          <w:tcPr>
            <w:tcW w:w="1037" w:type="dxa"/>
            <w:tcBorders>
              <w:top w:val="single" w:sz="8" w:space="0" w:color="DDDDDD"/>
              <w:left w:val="nil"/>
              <w:bottom w:val="single" w:sz="8" w:space="0" w:color="DDDDDD"/>
              <w:right w:val="single" w:sz="8" w:space="0" w:color="DDDDDD"/>
            </w:tcBorders>
            <w:shd w:val="clear" w:color="auto" w:fill="F2F2F2"/>
            <w:vAlign w:val="center"/>
          </w:tcPr>
          <w:p w14:paraId="04694E92" w14:textId="77777777" w:rsidR="00097466" w:rsidRDefault="00000000">
            <w:pPr>
              <w:spacing w:before="0" w:after="0" w:line="240" w:lineRule="auto"/>
              <w:jc w:val="left"/>
              <w:rPr>
                <w:b/>
                <w:bCs/>
                <w:color w:val="000000"/>
                <w:sz w:val="20"/>
                <w:szCs w:val="20"/>
              </w:rPr>
            </w:pPr>
            <w:r>
              <w:rPr>
                <w:b/>
                <w:bCs/>
                <w:color w:val="000000"/>
                <w:sz w:val="20"/>
                <w:szCs w:val="20"/>
              </w:rPr>
              <w:t>DORIS</w:t>
            </w:r>
          </w:p>
        </w:tc>
        <w:tc>
          <w:tcPr>
            <w:tcW w:w="1605" w:type="dxa"/>
            <w:tcBorders>
              <w:top w:val="single" w:sz="8" w:space="0" w:color="DDDDDD"/>
              <w:left w:val="nil"/>
              <w:bottom w:val="single" w:sz="8" w:space="0" w:color="DDDDDD"/>
              <w:right w:val="single" w:sz="8" w:space="0" w:color="DDDDDD"/>
            </w:tcBorders>
            <w:shd w:val="clear" w:color="auto" w:fill="F2F2F2"/>
            <w:vAlign w:val="center"/>
          </w:tcPr>
          <w:p w14:paraId="56F7E3EC" w14:textId="77777777" w:rsidR="00097466" w:rsidRDefault="00000000">
            <w:pPr>
              <w:spacing w:before="0" w:after="0" w:line="240" w:lineRule="auto"/>
              <w:jc w:val="left"/>
              <w:rPr>
                <w:b/>
                <w:bCs/>
                <w:color w:val="000000"/>
                <w:sz w:val="20"/>
                <w:szCs w:val="20"/>
              </w:rPr>
            </w:pPr>
            <w:r>
              <w:rPr>
                <w:b/>
                <w:bCs/>
                <w:color w:val="000000"/>
                <w:sz w:val="20"/>
                <w:szCs w:val="20"/>
              </w:rPr>
              <w:t>Rem. Estricta</w:t>
            </w:r>
          </w:p>
        </w:tc>
      </w:tr>
      <w:tr w:rsidR="00097466" w14:paraId="3A2FE623" w14:textId="77777777">
        <w:trPr>
          <w:trHeight w:val="397"/>
        </w:trPr>
        <w:tc>
          <w:tcPr>
            <w:tcW w:w="2260" w:type="dxa"/>
            <w:tcBorders>
              <w:top w:val="nil"/>
              <w:left w:val="single" w:sz="8" w:space="0" w:color="DDDDDD"/>
              <w:bottom w:val="single" w:sz="8" w:space="0" w:color="DDDDDD"/>
              <w:right w:val="single" w:sz="8" w:space="0" w:color="DDDDDD"/>
            </w:tcBorders>
            <w:shd w:val="clear" w:color="auto" w:fill="auto"/>
            <w:vAlign w:val="center"/>
          </w:tcPr>
          <w:p w14:paraId="4AE6BC23" w14:textId="77777777" w:rsidR="00097466" w:rsidRDefault="00000000">
            <w:pPr>
              <w:spacing w:before="0" w:after="0" w:line="240" w:lineRule="auto"/>
              <w:jc w:val="left"/>
              <w:rPr>
                <w:color w:val="000000"/>
                <w:sz w:val="20"/>
                <w:szCs w:val="20"/>
              </w:rPr>
            </w:pPr>
            <w:r>
              <w:rPr>
                <w:color w:val="000000"/>
                <w:sz w:val="20"/>
                <w:szCs w:val="20"/>
              </w:rPr>
              <w:t>IFN-α (</w:t>
            </w:r>
            <w:proofErr w:type="spellStart"/>
            <w:r>
              <w:rPr>
                <w:color w:val="000000"/>
                <w:sz w:val="20"/>
                <w:szCs w:val="20"/>
              </w:rPr>
              <w:t>pgmL</w:t>
            </w:r>
            <w:proofErr w:type="spellEnd"/>
            <w:r>
              <w:rPr>
                <w:color w:val="000000"/>
                <w:sz w:val="20"/>
                <w:szCs w:val="20"/>
              </w:rPr>
              <w:t>)</w:t>
            </w:r>
          </w:p>
        </w:tc>
        <w:tc>
          <w:tcPr>
            <w:tcW w:w="1288" w:type="dxa"/>
            <w:tcBorders>
              <w:top w:val="nil"/>
              <w:left w:val="nil"/>
              <w:bottom w:val="single" w:sz="8" w:space="0" w:color="DDDDDD"/>
              <w:right w:val="single" w:sz="8" w:space="0" w:color="DDDDDD"/>
            </w:tcBorders>
            <w:shd w:val="clear" w:color="auto" w:fill="auto"/>
            <w:vAlign w:val="center"/>
          </w:tcPr>
          <w:p w14:paraId="10CC5E6A" w14:textId="113760E2" w:rsidR="00097466" w:rsidRDefault="00000000">
            <w:pPr>
              <w:spacing w:before="0" w:after="0" w:line="240" w:lineRule="auto"/>
              <w:jc w:val="left"/>
              <w:rPr>
                <w:color w:val="000000"/>
                <w:sz w:val="20"/>
                <w:szCs w:val="20"/>
              </w:rPr>
            </w:pPr>
            <w:r>
              <w:rPr>
                <w:color w:val="000000"/>
                <w:sz w:val="20"/>
                <w:szCs w:val="20"/>
              </w:rPr>
              <w:t>−0,4</w:t>
            </w:r>
            <w:r w:rsidR="00C02D76">
              <w:rPr>
                <w:color w:val="000000"/>
                <w:sz w:val="20"/>
                <w:szCs w:val="20"/>
              </w:rPr>
              <w:t>67</w:t>
            </w:r>
          </w:p>
        </w:tc>
        <w:tc>
          <w:tcPr>
            <w:tcW w:w="1066" w:type="dxa"/>
            <w:tcBorders>
              <w:top w:val="nil"/>
              <w:left w:val="nil"/>
              <w:bottom w:val="single" w:sz="8" w:space="0" w:color="DDDDDD"/>
              <w:right w:val="single" w:sz="8" w:space="0" w:color="DDDDDD"/>
            </w:tcBorders>
            <w:shd w:val="clear" w:color="auto" w:fill="auto"/>
            <w:vAlign w:val="center"/>
          </w:tcPr>
          <w:p w14:paraId="0B4EB7DE" w14:textId="77777777" w:rsidR="00097466" w:rsidRDefault="00000000">
            <w:pPr>
              <w:spacing w:before="0" w:after="0" w:line="240" w:lineRule="auto"/>
              <w:jc w:val="left"/>
              <w:rPr>
                <w:b/>
                <w:bCs/>
                <w:color w:val="000000"/>
                <w:sz w:val="20"/>
                <w:szCs w:val="20"/>
              </w:rPr>
            </w:pPr>
            <w:r>
              <w:rPr>
                <w:b/>
                <w:bCs/>
                <w:color w:val="000000"/>
                <w:sz w:val="20"/>
                <w:szCs w:val="20"/>
              </w:rPr>
              <w:t>0,8751</w:t>
            </w:r>
          </w:p>
        </w:tc>
        <w:tc>
          <w:tcPr>
            <w:tcW w:w="1229" w:type="dxa"/>
            <w:tcBorders>
              <w:top w:val="nil"/>
              <w:left w:val="nil"/>
              <w:bottom w:val="single" w:sz="8" w:space="0" w:color="DDDDDD"/>
              <w:right w:val="single" w:sz="8" w:space="0" w:color="DDDDDD"/>
            </w:tcBorders>
            <w:shd w:val="clear" w:color="auto" w:fill="auto"/>
            <w:vAlign w:val="center"/>
          </w:tcPr>
          <w:p w14:paraId="65F06B54" w14:textId="77777777" w:rsidR="00097466" w:rsidRDefault="00000000">
            <w:pPr>
              <w:spacing w:before="0" w:after="0" w:line="240" w:lineRule="auto"/>
              <w:jc w:val="left"/>
              <w:rPr>
                <w:b/>
                <w:bCs/>
                <w:color w:val="000000"/>
                <w:sz w:val="20"/>
                <w:szCs w:val="20"/>
              </w:rPr>
            </w:pPr>
            <w:r>
              <w:rPr>
                <w:b/>
                <w:bCs/>
                <w:color w:val="000000"/>
                <w:sz w:val="20"/>
                <w:szCs w:val="20"/>
              </w:rPr>
              <w:t>−0,8043</w:t>
            </w:r>
          </w:p>
        </w:tc>
        <w:tc>
          <w:tcPr>
            <w:tcW w:w="1037" w:type="dxa"/>
            <w:tcBorders>
              <w:top w:val="nil"/>
              <w:left w:val="nil"/>
              <w:bottom w:val="single" w:sz="8" w:space="0" w:color="DDDDDD"/>
              <w:right w:val="single" w:sz="8" w:space="0" w:color="DDDDDD"/>
            </w:tcBorders>
            <w:shd w:val="clear" w:color="auto" w:fill="auto"/>
            <w:vAlign w:val="center"/>
          </w:tcPr>
          <w:p w14:paraId="535271BF" w14:textId="77777777" w:rsidR="00097466" w:rsidRDefault="00000000">
            <w:pPr>
              <w:spacing w:before="0" w:after="0" w:line="240" w:lineRule="auto"/>
              <w:jc w:val="left"/>
              <w:rPr>
                <w:b/>
                <w:bCs/>
                <w:color w:val="000000"/>
                <w:sz w:val="20"/>
                <w:szCs w:val="20"/>
              </w:rPr>
            </w:pPr>
            <w:r>
              <w:rPr>
                <w:b/>
                <w:bCs/>
                <w:color w:val="000000"/>
                <w:sz w:val="20"/>
                <w:szCs w:val="20"/>
              </w:rPr>
              <w:t>0,7833</w:t>
            </w:r>
          </w:p>
        </w:tc>
        <w:tc>
          <w:tcPr>
            <w:tcW w:w="1605" w:type="dxa"/>
            <w:tcBorders>
              <w:top w:val="nil"/>
              <w:left w:val="nil"/>
              <w:bottom w:val="single" w:sz="8" w:space="0" w:color="DDDDDD"/>
              <w:right w:val="single" w:sz="8" w:space="0" w:color="DDDDDD"/>
            </w:tcBorders>
            <w:shd w:val="clear" w:color="auto" w:fill="auto"/>
            <w:vAlign w:val="center"/>
          </w:tcPr>
          <w:p w14:paraId="1CE28C5F" w14:textId="77777777" w:rsidR="00097466" w:rsidRDefault="00000000">
            <w:pPr>
              <w:spacing w:before="0" w:after="0" w:line="240" w:lineRule="auto"/>
              <w:jc w:val="left"/>
              <w:rPr>
                <w:b/>
                <w:bCs/>
                <w:color w:val="000000"/>
                <w:sz w:val="20"/>
                <w:szCs w:val="20"/>
              </w:rPr>
            </w:pPr>
            <w:r>
              <w:rPr>
                <w:b/>
                <w:bCs/>
                <w:color w:val="000000"/>
                <w:sz w:val="20"/>
                <w:szCs w:val="20"/>
              </w:rPr>
              <w:t>−0,8412</w:t>
            </w:r>
          </w:p>
        </w:tc>
      </w:tr>
      <w:tr w:rsidR="00097466" w14:paraId="37ADBA79" w14:textId="77777777">
        <w:trPr>
          <w:trHeight w:val="397"/>
        </w:trPr>
        <w:tc>
          <w:tcPr>
            <w:tcW w:w="2260" w:type="dxa"/>
            <w:tcBorders>
              <w:top w:val="nil"/>
              <w:left w:val="single" w:sz="8" w:space="0" w:color="DDDDDD"/>
              <w:bottom w:val="single" w:sz="8" w:space="0" w:color="DDDDDD"/>
              <w:right w:val="single" w:sz="8" w:space="0" w:color="DDDDDD"/>
            </w:tcBorders>
            <w:shd w:val="clear" w:color="auto" w:fill="auto"/>
            <w:vAlign w:val="center"/>
          </w:tcPr>
          <w:p w14:paraId="5A9CAD72" w14:textId="47A75816" w:rsidR="00097466" w:rsidRDefault="00000000">
            <w:pPr>
              <w:spacing w:before="0" w:after="0" w:line="240" w:lineRule="auto"/>
              <w:jc w:val="left"/>
              <w:rPr>
                <w:color w:val="000000"/>
                <w:sz w:val="20"/>
                <w:szCs w:val="20"/>
              </w:rPr>
            </w:pPr>
            <w:r>
              <w:rPr>
                <w:color w:val="000000"/>
                <w:sz w:val="20"/>
                <w:szCs w:val="20"/>
              </w:rPr>
              <w:t>IFN-</w:t>
            </w:r>
            <w:r w:rsidR="00D953E8" w:rsidRPr="00731B2C">
              <w:rPr>
                <w:rFonts w:eastAsia="Times New Roman"/>
                <w:color w:val="000000"/>
                <w:sz w:val="20"/>
                <w:szCs w:val="20"/>
                <w:lang w:val="es-ES"/>
              </w:rPr>
              <w:t xml:space="preserve"> γ</w:t>
            </w:r>
            <w:r>
              <w:rPr>
                <w:color w:val="000000"/>
                <w:sz w:val="20"/>
                <w:szCs w:val="20"/>
              </w:rPr>
              <w:t xml:space="preserve"> (</w:t>
            </w:r>
            <w:proofErr w:type="spellStart"/>
            <w:r>
              <w:rPr>
                <w:color w:val="000000"/>
                <w:sz w:val="20"/>
                <w:szCs w:val="20"/>
              </w:rPr>
              <w:t>pgmL</w:t>
            </w:r>
            <w:proofErr w:type="spellEnd"/>
            <w:r>
              <w:rPr>
                <w:color w:val="000000"/>
                <w:sz w:val="20"/>
                <w:szCs w:val="20"/>
              </w:rPr>
              <w:t>)</w:t>
            </w:r>
          </w:p>
        </w:tc>
        <w:tc>
          <w:tcPr>
            <w:tcW w:w="1288" w:type="dxa"/>
            <w:tcBorders>
              <w:top w:val="nil"/>
              <w:left w:val="nil"/>
              <w:bottom w:val="single" w:sz="8" w:space="0" w:color="DDDDDD"/>
              <w:right w:val="single" w:sz="8" w:space="0" w:color="DDDDDD"/>
            </w:tcBorders>
            <w:shd w:val="clear" w:color="auto" w:fill="auto"/>
            <w:vAlign w:val="center"/>
          </w:tcPr>
          <w:p w14:paraId="47B6DB5C" w14:textId="77777777" w:rsidR="00097466" w:rsidRDefault="00000000">
            <w:pPr>
              <w:spacing w:before="0" w:after="0" w:line="240" w:lineRule="auto"/>
              <w:jc w:val="left"/>
              <w:rPr>
                <w:color w:val="000000"/>
                <w:sz w:val="20"/>
                <w:szCs w:val="20"/>
              </w:rPr>
            </w:pPr>
            <w:r>
              <w:rPr>
                <w:color w:val="000000"/>
                <w:sz w:val="20"/>
                <w:szCs w:val="20"/>
              </w:rPr>
              <w:t>—</w:t>
            </w:r>
          </w:p>
        </w:tc>
        <w:tc>
          <w:tcPr>
            <w:tcW w:w="1066" w:type="dxa"/>
            <w:tcBorders>
              <w:top w:val="nil"/>
              <w:left w:val="nil"/>
              <w:bottom w:val="single" w:sz="8" w:space="0" w:color="DDDDDD"/>
              <w:right w:val="single" w:sz="8" w:space="0" w:color="DDDDDD"/>
            </w:tcBorders>
            <w:shd w:val="clear" w:color="auto" w:fill="auto"/>
            <w:vAlign w:val="center"/>
          </w:tcPr>
          <w:p w14:paraId="4D0A364E" w14:textId="77777777" w:rsidR="00097466" w:rsidRDefault="00000000">
            <w:pPr>
              <w:spacing w:before="0" w:after="0" w:line="240" w:lineRule="auto"/>
              <w:jc w:val="left"/>
              <w:rPr>
                <w:color w:val="000000"/>
                <w:sz w:val="20"/>
                <w:szCs w:val="20"/>
              </w:rPr>
            </w:pPr>
            <w:r>
              <w:rPr>
                <w:color w:val="000000"/>
                <w:sz w:val="20"/>
                <w:szCs w:val="20"/>
              </w:rPr>
              <w:t>—</w:t>
            </w:r>
          </w:p>
        </w:tc>
        <w:tc>
          <w:tcPr>
            <w:tcW w:w="1229" w:type="dxa"/>
            <w:tcBorders>
              <w:top w:val="nil"/>
              <w:left w:val="nil"/>
              <w:bottom w:val="single" w:sz="8" w:space="0" w:color="DDDDDD"/>
              <w:right w:val="single" w:sz="8" w:space="0" w:color="DDDDDD"/>
            </w:tcBorders>
            <w:shd w:val="clear" w:color="auto" w:fill="auto"/>
            <w:vAlign w:val="center"/>
          </w:tcPr>
          <w:p w14:paraId="1BD23F08" w14:textId="77777777" w:rsidR="00097466" w:rsidRDefault="00000000">
            <w:pPr>
              <w:spacing w:before="0" w:after="0" w:line="240" w:lineRule="auto"/>
              <w:jc w:val="left"/>
              <w:rPr>
                <w:color w:val="000000"/>
                <w:sz w:val="20"/>
                <w:szCs w:val="20"/>
              </w:rPr>
            </w:pPr>
            <w:r>
              <w:rPr>
                <w:color w:val="000000"/>
                <w:sz w:val="20"/>
                <w:szCs w:val="20"/>
              </w:rPr>
              <w:t>−0,0406</w:t>
            </w:r>
          </w:p>
        </w:tc>
        <w:tc>
          <w:tcPr>
            <w:tcW w:w="1037" w:type="dxa"/>
            <w:tcBorders>
              <w:top w:val="nil"/>
              <w:left w:val="nil"/>
              <w:bottom w:val="single" w:sz="8" w:space="0" w:color="DDDDDD"/>
              <w:right w:val="single" w:sz="8" w:space="0" w:color="DDDDDD"/>
            </w:tcBorders>
            <w:shd w:val="clear" w:color="auto" w:fill="auto"/>
            <w:vAlign w:val="center"/>
          </w:tcPr>
          <w:p w14:paraId="6BC8D093" w14:textId="77777777" w:rsidR="00097466" w:rsidRDefault="00000000">
            <w:pPr>
              <w:spacing w:before="0" w:after="0" w:line="240" w:lineRule="auto"/>
              <w:jc w:val="left"/>
              <w:rPr>
                <w:color w:val="000000"/>
                <w:sz w:val="20"/>
                <w:szCs w:val="20"/>
              </w:rPr>
            </w:pPr>
            <w:r>
              <w:rPr>
                <w:color w:val="000000"/>
                <w:sz w:val="20"/>
                <w:szCs w:val="20"/>
              </w:rPr>
              <w:t>0,1969</w:t>
            </w:r>
          </w:p>
        </w:tc>
        <w:tc>
          <w:tcPr>
            <w:tcW w:w="1605" w:type="dxa"/>
            <w:tcBorders>
              <w:top w:val="nil"/>
              <w:left w:val="nil"/>
              <w:bottom w:val="single" w:sz="8" w:space="0" w:color="DDDDDD"/>
              <w:right w:val="single" w:sz="8" w:space="0" w:color="DDDDDD"/>
            </w:tcBorders>
            <w:shd w:val="clear" w:color="auto" w:fill="auto"/>
            <w:vAlign w:val="center"/>
          </w:tcPr>
          <w:p w14:paraId="11F679DC" w14:textId="77777777" w:rsidR="00097466" w:rsidRDefault="00000000">
            <w:pPr>
              <w:spacing w:before="0" w:after="0" w:line="240" w:lineRule="auto"/>
              <w:jc w:val="left"/>
              <w:rPr>
                <w:color w:val="000000"/>
                <w:sz w:val="20"/>
                <w:szCs w:val="20"/>
              </w:rPr>
            </w:pPr>
            <w:r>
              <w:rPr>
                <w:color w:val="000000"/>
                <w:sz w:val="20"/>
                <w:szCs w:val="20"/>
              </w:rPr>
              <w:t>−0,0045</w:t>
            </w:r>
          </w:p>
        </w:tc>
      </w:tr>
      <w:tr w:rsidR="00097466" w14:paraId="11FCE104" w14:textId="77777777">
        <w:trPr>
          <w:trHeight w:val="397"/>
        </w:trPr>
        <w:tc>
          <w:tcPr>
            <w:tcW w:w="2260" w:type="dxa"/>
            <w:tcBorders>
              <w:top w:val="nil"/>
              <w:left w:val="single" w:sz="8" w:space="0" w:color="DDDDDD"/>
              <w:bottom w:val="single" w:sz="8" w:space="0" w:color="DDDDDD"/>
              <w:right w:val="single" w:sz="8" w:space="0" w:color="DDDDDD"/>
            </w:tcBorders>
            <w:shd w:val="clear" w:color="auto" w:fill="auto"/>
            <w:vAlign w:val="center"/>
          </w:tcPr>
          <w:p w14:paraId="1ED78DB9" w14:textId="77777777" w:rsidR="00097466" w:rsidRDefault="00000000">
            <w:pPr>
              <w:spacing w:before="0" w:after="0" w:line="240" w:lineRule="auto"/>
              <w:jc w:val="left"/>
              <w:rPr>
                <w:color w:val="000000"/>
                <w:sz w:val="20"/>
                <w:szCs w:val="20"/>
              </w:rPr>
            </w:pPr>
            <w:r>
              <w:rPr>
                <w:color w:val="000000"/>
                <w:sz w:val="20"/>
                <w:szCs w:val="20"/>
              </w:rPr>
              <w:t>C3 (</w:t>
            </w:r>
            <w:proofErr w:type="spellStart"/>
            <w:r>
              <w:rPr>
                <w:color w:val="000000"/>
                <w:sz w:val="20"/>
                <w:szCs w:val="20"/>
              </w:rPr>
              <w:t>mgdL</w:t>
            </w:r>
            <w:proofErr w:type="spellEnd"/>
            <w:r>
              <w:rPr>
                <w:color w:val="000000"/>
                <w:sz w:val="20"/>
                <w:szCs w:val="20"/>
              </w:rPr>
              <w:t>)</w:t>
            </w:r>
          </w:p>
        </w:tc>
        <w:tc>
          <w:tcPr>
            <w:tcW w:w="1288" w:type="dxa"/>
            <w:tcBorders>
              <w:top w:val="nil"/>
              <w:left w:val="nil"/>
              <w:bottom w:val="single" w:sz="8" w:space="0" w:color="DDDDDD"/>
              <w:right w:val="single" w:sz="8" w:space="0" w:color="DDDDDD"/>
            </w:tcBorders>
            <w:shd w:val="clear" w:color="auto" w:fill="auto"/>
            <w:vAlign w:val="center"/>
          </w:tcPr>
          <w:p w14:paraId="4E64BCE9" w14:textId="195E7612" w:rsidR="00097466" w:rsidRDefault="00000000">
            <w:pPr>
              <w:spacing w:before="0" w:after="0" w:line="240" w:lineRule="auto"/>
              <w:jc w:val="left"/>
              <w:rPr>
                <w:b/>
                <w:bCs/>
                <w:color w:val="000000"/>
                <w:sz w:val="20"/>
                <w:szCs w:val="20"/>
              </w:rPr>
            </w:pPr>
            <w:r>
              <w:rPr>
                <w:b/>
                <w:bCs/>
                <w:color w:val="000000"/>
                <w:sz w:val="20"/>
                <w:szCs w:val="20"/>
              </w:rPr>
              <w:t>0,5</w:t>
            </w:r>
            <w:r w:rsidR="00C02D76">
              <w:rPr>
                <w:b/>
                <w:bCs/>
                <w:color w:val="000000"/>
                <w:sz w:val="20"/>
                <w:szCs w:val="20"/>
              </w:rPr>
              <w:t>4</w:t>
            </w:r>
          </w:p>
        </w:tc>
        <w:tc>
          <w:tcPr>
            <w:tcW w:w="1066" w:type="dxa"/>
            <w:tcBorders>
              <w:top w:val="nil"/>
              <w:left w:val="nil"/>
              <w:bottom w:val="single" w:sz="8" w:space="0" w:color="DDDDDD"/>
              <w:right w:val="single" w:sz="8" w:space="0" w:color="DDDDDD"/>
            </w:tcBorders>
            <w:shd w:val="clear" w:color="auto" w:fill="auto"/>
            <w:vAlign w:val="center"/>
          </w:tcPr>
          <w:p w14:paraId="09B01429" w14:textId="77777777" w:rsidR="00097466" w:rsidRDefault="00000000">
            <w:pPr>
              <w:spacing w:before="0" w:after="0" w:line="240" w:lineRule="auto"/>
              <w:jc w:val="left"/>
              <w:rPr>
                <w:color w:val="000000"/>
                <w:sz w:val="20"/>
                <w:szCs w:val="20"/>
              </w:rPr>
            </w:pPr>
            <w:r>
              <w:rPr>
                <w:color w:val="000000"/>
                <w:sz w:val="20"/>
                <w:szCs w:val="20"/>
              </w:rPr>
              <w:t>—</w:t>
            </w:r>
          </w:p>
        </w:tc>
        <w:tc>
          <w:tcPr>
            <w:tcW w:w="1229" w:type="dxa"/>
            <w:tcBorders>
              <w:top w:val="nil"/>
              <w:left w:val="nil"/>
              <w:bottom w:val="single" w:sz="8" w:space="0" w:color="DDDDDD"/>
              <w:right w:val="single" w:sz="8" w:space="0" w:color="DDDDDD"/>
            </w:tcBorders>
            <w:shd w:val="clear" w:color="auto" w:fill="auto"/>
            <w:vAlign w:val="center"/>
          </w:tcPr>
          <w:p w14:paraId="43021062" w14:textId="77777777" w:rsidR="00097466" w:rsidRDefault="00000000">
            <w:pPr>
              <w:spacing w:before="0" w:after="0" w:line="240" w:lineRule="auto"/>
              <w:jc w:val="left"/>
              <w:rPr>
                <w:color w:val="000000"/>
                <w:sz w:val="20"/>
                <w:szCs w:val="20"/>
              </w:rPr>
            </w:pPr>
            <w:r>
              <w:rPr>
                <w:color w:val="000000"/>
                <w:sz w:val="20"/>
                <w:szCs w:val="20"/>
              </w:rPr>
              <w:t>—</w:t>
            </w:r>
          </w:p>
        </w:tc>
        <w:tc>
          <w:tcPr>
            <w:tcW w:w="1037" w:type="dxa"/>
            <w:tcBorders>
              <w:top w:val="nil"/>
              <w:left w:val="nil"/>
              <w:bottom w:val="single" w:sz="8" w:space="0" w:color="DDDDDD"/>
              <w:right w:val="single" w:sz="8" w:space="0" w:color="DDDDDD"/>
            </w:tcBorders>
            <w:shd w:val="clear" w:color="auto" w:fill="auto"/>
            <w:vAlign w:val="center"/>
          </w:tcPr>
          <w:p w14:paraId="413B4EE0" w14:textId="77777777" w:rsidR="00097466" w:rsidRDefault="00000000">
            <w:pPr>
              <w:spacing w:before="0" w:after="0" w:line="240" w:lineRule="auto"/>
              <w:jc w:val="left"/>
              <w:rPr>
                <w:color w:val="000000"/>
                <w:sz w:val="20"/>
                <w:szCs w:val="20"/>
              </w:rPr>
            </w:pPr>
            <w:r>
              <w:rPr>
                <w:color w:val="000000"/>
                <w:sz w:val="20"/>
                <w:szCs w:val="20"/>
              </w:rPr>
              <w:t>−0,2009</w:t>
            </w:r>
          </w:p>
        </w:tc>
        <w:tc>
          <w:tcPr>
            <w:tcW w:w="1605" w:type="dxa"/>
            <w:tcBorders>
              <w:top w:val="nil"/>
              <w:left w:val="nil"/>
              <w:bottom w:val="single" w:sz="8" w:space="0" w:color="DDDDDD"/>
              <w:right w:val="single" w:sz="8" w:space="0" w:color="DDDDDD"/>
            </w:tcBorders>
            <w:shd w:val="clear" w:color="auto" w:fill="auto"/>
            <w:vAlign w:val="center"/>
          </w:tcPr>
          <w:p w14:paraId="1B4DC7F6" w14:textId="77777777" w:rsidR="00097466" w:rsidRDefault="00000000">
            <w:pPr>
              <w:spacing w:before="0" w:after="0" w:line="240" w:lineRule="auto"/>
              <w:jc w:val="left"/>
              <w:rPr>
                <w:b/>
                <w:bCs/>
                <w:color w:val="000000"/>
                <w:sz w:val="20"/>
                <w:szCs w:val="20"/>
              </w:rPr>
            </w:pPr>
            <w:r>
              <w:rPr>
                <w:b/>
                <w:bCs/>
                <w:color w:val="000000"/>
                <w:sz w:val="20"/>
                <w:szCs w:val="20"/>
              </w:rPr>
              <w:t>0,3488</w:t>
            </w:r>
          </w:p>
        </w:tc>
      </w:tr>
      <w:tr w:rsidR="00097466" w14:paraId="1AC259C4" w14:textId="77777777">
        <w:trPr>
          <w:trHeight w:val="397"/>
        </w:trPr>
        <w:tc>
          <w:tcPr>
            <w:tcW w:w="2260" w:type="dxa"/>
            <w:tcBorders>
              <w:top w:val="nil"/>
              <w:left w:val="single" w:sz="8" w:space="0" w:color="DDDDDD"/>
              <w:bottom w:val="single" w:sz="8" w:space="0" w:color="DDDDDD"/>
              <w:right w:val="single" w:sz="8" w:space="0" w:color="DDDDDD"/>
            </w:tcBorders>
            <w:shd w:val="clear" w:color="auto" w:fill="auto"/>
            <w:vAlign w:val="center"/>
          </w:tcPr>
          <w:p w14:paraId="2D511638" w14:textId="77777777" w:rsidR="00097466" w:rsidRDefault="00000000">
            <w:pPr>
              <w:spacing w:before="0" w:after="0" w:line="240" w:lineRule="auto"/>
              <w:jc w:val="left"/>
              <w:rPr>
                <w:color w:val="000000"/>
                <w:sz w:val="20"/>
                <w:szCs w:val="20"/>
              </w:rPr>
            </w:pPr>
            <w:r>
              <w:rPr>
                <w:color w:val="000000"/>
                <w:sz w:val="20"/>
                <w:szCs w:val="20"/>
              </w:rPr>
              <w:t>C4 (</w:t>
            </w:r>
            <w:proofErr w:type="spellStart"/>
            <w:r>
              <w:rPr>
                <w:color w:val="000000"/>
                <w:sz w:val="20"/>
                <w:szCs w:val="20"/>
              </w:rPr>
              <w:t>mgdL</w:t>
            </w:r>
            <w:proofErr w:type="spellEnd"/>
            <w:r>
              <w:rPr>
                <w:color w:val="000000"/>
                <w:sz w:val="20"/>
                <w:szCs w:val="20"/>
              </w:rPr>
              <w:t>)</w:t>
            </w:r>
          </w:p>
        </w:tc>
        <w:tc>
          <w:tcPr>
            <w:tcW w:w="1288" w:type="dxa"/>
            <w:tcBorders>
              <w:top w:val="nil"/>
              <w:left w:val="nil"/>
              <w:bottom w:val="single" w:sz="8" w:space="0" w:color="DDDDDD"/>
              <w:right w:val="single" w:sz="8" w:space="0" w:color="DDDDDD"/>
            </w:tcBorders>
            <w:shd w:val="clear" w:color="auto" w:fill="auto"/>
            <w:vAlign w:val="center"/>
          </w:tcPr>
          <w:p w14:paraId="1ACE2BED" w14:textId="6A3B7278" w:rsidR="00097466" w:rsidRDefault="00000000">
            <w:pPr>
              <w:spacing w:before="0" w:after="0" w:line="240" w:lineRule="auto"/>
              <w:jc w:val="left"/>
              <w:rPr>
                <w:b/>
                <w:bCs/>
                <w:color w:val="000000"/>
                <w:sz w:val="20"/>
                <w:szCs w:val="20"/>
              </w:rPr>
            </w:pPr>
            <w:r>
              <w:rPr>
                <w:b/>
                <w:bCs/>
                <w:color w:val="000000"/>
                <w:sz w:val="20"/>
                <w:szCs w:val="20"/>
              </w:rPr>
              <w:t>0,5</w:t>
            </w:r>
            <w:r w:rsidR="00C02D76">
              <w:rPr>
                <w:b/>
                <w:bCs/>
                <w:color w:val="000000"/>
                <w:sz w:val="20"/>
                <w:szCs w:val="20"/>
              </w:rPr>
              <w:t>17</w:t>
            </w:r>
          </w:p>
        </w:tc>
        <w:tc>
          <w:tcPr>
            <w:tcW w:w="1066" w:type="dxa"/>
            <w:tcBorders>
              <w:top w:val="nil"/>
              <w:left w:val="nil"/>
              <w:bottom w:val="single" w:sz="8" w:space="0" w:color="DDDDDD"/>
              <w:right w:val="single" w:sz="8" w:space="0" w:color="DDDDDD"/>
            </w:tcBorders>
            <w:shd w:val="clear" w:color="auto" w:fill="auto"/>
            <w:vAlign w:val="center"/>
          </w:tcPr>
          <w:p w14:paraId="7277E4CF" w14:textId="77777777" w:rsidR="00097466" w:rsidRDefault="00000000">
            <w:pPr>
              <w:spacing w:before="0" w:after="0" w:line="240" w:lineRule="auto"/>
              <w:jc w:val="left"/>
              <w:rPr>
                <w:color w:val="000000"/>
                <w:sz w:val="20"/>
                <w:szCs w:val="20"/>
              </w:rPr>
            </w:pPr>
            <w:r>
              <w:rPr>
                <w:color w:val="000000"/>
                <w:sz w:val="20"/>
                <w:szCs w:val="20"/>
              </w:rPr>
              <w:t>—</w:t>
            </w:r>
          </w:p>
        </w:tc>
        <w:tc>
          <w:tcPr>
            <w:tcW w:w="1229" w:type="dxa"/>
            <w:tcBorders>
              <w:top w:val="nil"/>
              <w:left w:val="nil"/>
              <w:bottom w:val="single" w:sz="8" w:space="0" w:color="DDDDDD"/>
              <w:right w:val="single" w:sz="8" w:space="0" w:color="DDDDDD"/>
            </w:tcBorders>
            <w:shd w:val="clear" w:color="auto" w:fill="auto"/>
            <w:vAlign w:val="center"/>
          </w:tcPr>
          <w:p w14:paraId="7C91BE80" w14:textId="77777777" w:rsidR="00097466" w:rsidRDefault="00000000">
            <w:pPr>
              <w:spacing w:before="0" w:after="0" w:line="240" w:lineRule="auto"/>
              <w:jc w:val="left"/>
              <w:rPr>
                <w:color w:val="000000"/>
                <w:sz w:val="20"/>
                <w:szCs w:val="20"/>
              </w:rPr>
            </w:pPr>
            <w:r>
              <w:rPr>
                <w:color w:val="000000"/>
                <w:sz w:val="20"/>
                <w:szCs w:val="20"/>
              </w:rPr>
              <w:t>—</w:t>
            </w:r>
          </w:p>
        </w:tc>
        <w:tc>
          <w:tcPr>
            <w:tcW w:w="1037" w:type="dxa"/>
            <w:tcBorders>
              <w:top w:val="nil"/>
              <w:left w:val="nil"/>
              <w:bottom w:val="single" w:sz="8" w:space="0" w:color="DDDDDD"/>
              <w:right w:val="single" w:sz="8" w:space="0" w:color="DDDDDD"/>
            </w:tcBorders>
            <w:shd w:val="clear" w:color="auto" w:fill="auto"/>
            <w:vAlign w:val="center"/>
          </w:tcPr>
          <w:p w14:paraId="7E462484" w14:textId="77777777" w:rsidR="00097466" w:rsidRDefault="00000000">
            <w:pPr>
              <w:spacing w:before="0" w:after="0" w:line="240" w:lineRule="auto"/>
              <w:jc w:val="left"/>
              <w:rPr>
                <w:color w:val="000000"/>
                <w:sz w:val="20"/>
                <w:szCs w:val="20"/>
              </w:rPr>
            </w:pPr>
            <w:r>
              <w:rPr>
                <w:color w:val="000000"/>
                <w:sz w:val="20"/>
                <w:szCs w:val="20"/>
              </w:rPr>
              <w:t>—</w:t>
            </w:r>
          </w:p>
        </w:tc>
        <w:tc>
          <w:tcPr>
            <w:tcW w:w="1605" w:type="dxa"/>
            <w:tcBorders>
              <w:top w:val="nil"/>
              <w:left w:val="nil"/>
              <w:bottom w:val="single" w:sz="8" w:space="0" w:color="DDDDDD"/>
              <w:right w:val="single" w:sz="8" w:space="0" w:color="DDDDDD"/>
            </w:tcBorders>
            <w:shd w:val="clear" w:color="auto" w:fill="auto"/>
            <w:vAlign w:val="center"/>
          </w:tcPr>
          <w:p w14:paraId="63F3CB12"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0664FCAD" w14:textId="77777777">
        <w:trPr>
          <w:trHeight w:val="397"/>
        </w:trPr>
        <w:tc>
          <w:tcPr>
            <w:tcW w:w="2260" w:type="dxa"/>
            <w:tcBorders>
              <w:top w:val="nil"/>
              <w:left w:val="single" w:sz="8" w:space="0" w:color="DDDDDD"/>
              <w:bottom w:val="single" w:sz="8" w:space="0" w:color="DDDDDD"/>
              <w:right w:val="single" w:sz="8" w:space="0" w:color="DDDDDD"/>
            </w:tcBorders>
            <w:shd w:val="clear" w:color="auto" w:fill="auto"/>
            <w:vAlign w:val="center"/>
          </w:tcPr>
          <w:p w14:paraId="2CFA8115" w14:textId="77777777" w:rsidR="00097466" w:rsidRDefault="00000000">
            <w:pPr>
              <w:spacing w:before="0" w:after="0" w:line="240" w:lineRule="auto"/>
              <w:jc w:val="left"/>
              <w:rPr>
                <w:color w:val="000000"/>
                <w:sz w:val="20"/>
                <w:szCs w:val="20"/>
              </w:rPr>
            </w:pPr>
            <w:r>
              <w:rPr>
                <w:color w:val="000000"/>
                <w:sz w:val="20"/>
                <w:szCs w:val="20"/>
              </w:rPr>
              <w:t>BAFF (</w:t>
            </w:r>
            <w:proofErr w:type="spellStart"/>
            <w:r>
              <w:rPr>
                <w:color w:val="000000"/>
                <w:sz w:val="20"/>
                <w:szCs w:val="20"/>
              </w:rPr>
              <w:t>pgmL</w:t>
            </w:r>
            <w:proofErr w:type="spellEnd"/>
            <w:r>
              <w:rPr>
                <w:color w:val="000000"/>
                <w:sz w:val="20"/>
                <w:szCs w:val="20"/>
              </w:rPr>
              <w:t>)</w:t>
            </w:r>
          </w:p>
        </w:tc>
        <w:tc>
          <w:tcPr>
            <w:tcW w:w="1288" w:type="dxa"/>
            <w:tcBorders>
              <w:top w:val="nil"/>
              <w:left w:val="nil"/>
              <w:bottom w:val="single" w:sz="8" w:space="0" w:color="DDDDDD"/>
              <w:right w:val="single" w:sz="8" w:space="0" w:color="DDDDDD"/>
            </w:tcBorders>
            <w:shd w:val="clear" w:color="auto" w:fill="auto"/>
            <w:vAlign w:val="center"/>
          </w:tcPr>
          <w:p w14:paraId="2136C40B" w14:textId="6D116482" w:rsidR="00097466" w:rsidRDefault="00000000">
            <w:pPr>
              <w:spacing w:before="0" w:after="0" w:line="240" w:lineRule="auto"/>
              <w:jc w:val="left"/>
              <w:rPr>
                <w:color w:val="000000"/>
                <w:sz w:val="20"/>
                <w:szCs w:val="20"/>
              </w:rPr>
            </w:pPr>
            <w:r>
              <w:rPr>
                <w:color w:val="000000"/>
                <w:sz w:val="20"/>
                <w:szCs w:val="20"/>
              </w:rPr>
              <w:t>−0,</w:t>
            </w:r>
            <w:r w:rsidR="00C02D76">
              <w:rPr>
                <w:color w:val="000000"/>
                <w:sz w:val="20"/>
                <w:szCs w:val="20"/>
              </w:rPr>
              <w:t>23</w:t>
            </w:r>
          </w:p>
        </w:tc>
        <w:tc>
          <w:tcPr>
            <w:tcW w:w="1066" w:type="dxa"/>
            <w:tcBorders>
              <w:top w:val="nil"/>
              <w:left w:val="nil"/>
              <w:bottom w:val="single" w:sz="8" w:space="0" w:color="DDDDDD"/>
              <w:right w:val="single" w:sz="8" w:space="0" w:color="DDDDDD"/>
            </w:tcBorders>
            <w:shd w:val="clear" w:color="auto" w:fill="auto"/>
            <w:vAlign w:val="center"/>
          </w:tcPr>
          <w:p w14:paraId="4D0BA36D" w14:textId="77777777" w:rsidR="00097466" w:rsidRDefault="00000000">
            <w:pPr>
              <w:spacing w:before="0" w:after="0" w:line="240" w:lineRule="auto"/>
              <w:jc w:val="left"/>
              <w:rPr>
                <w:color w:val="000000"/>
                <w:sz w:val="20"/>
                <w:szCs w:val="20"/>
              </w:rPr>
            </w:pPr>
            <w:r>
              <w:rPr>
                <w:color w:val="000000"/>
                <w:sz w:val="20"/>
                <w:szCs w:val="20"/>
              </w:rPr>
              <w:t>—</w:t>
            </w:r>
          </w:p>
        </w:tc>
        <w:tc>
          <w:tcPr>
            <w:tcW w:w="1229" w:type="dxa"/>
            <w:tcBorders>
              <w:top w:val="nil"/>
              <w:left w:val="nil"/>
              <w:bottom w:val="single" w:sz="8" w:space="0" w:color="DDDDDD"/>
              <w:right w:val="single" w:sz="8" w:space="0" w:color="DDDDDD"/>
            </w:tcBorders>
            <w:shd w:val="clear" w:color="auto" w:fill="auto"/>
            <w:vAlign w:val="center"/>
          </w:tcPr>
          <w:p w14:paraId="528966BC" w14:textId="77777777" w:rsidR="00097466" w:rsidRDefault="00000000">
            <w:pPr>
              <w:spacing w:before="0" w:after="0" w:line="240" w:lineRule="auto"/>
              <w:jc w:val="left"/>
              <w:rPr>
                <w:color w:val="000000"/>
                <w:sz w:val="20"/>
                <w:szCs w:val="20"/>
              </w:rPr>
            </w:pPr>
            <w:r>
              <w:rPr>
                <w:color w:val="000000"/>
                <w:sz w:val="20"/>
                <w:szCs w:val="20"/>
              </w:rPr>
              <w:t>−0,3957</w:t>
            </w:r>
          </w:p>
        </w:tc>
        <w:tc>
          <w:tcPr>
            <w:tcW w:w="1037" w:type="dxa"/>
            <w:tcBorders>
              <w:top w:val="nil"/>
              <w:left w:val="nil"/>
              <w:bottom w:val="single" w:sz="8" w:space="0" w:color="DDDDDD"/>
              <w:right w:val="single" w:sz="8" w:space="0" w:color="DDDDDD"/>
            </w:tcBorders>
            <w:shd w:val="clear" w:color="auto" w:fill="auto"/>
            <w:vAlign w:val="center"/>
          </w:tcPr>
          <w:p w14:paraId="7C3727D7" w14:textId="77777777" w:rsidR="00097466" w:rsidRDefault="00000000">
            <w:pPr>
              <w:spacing w:before="0" w:after="0" w:line="240" w:lineRule="auto"/>
              <w:jc w:val="left"/>
              <w:rPr>
                <w:color w:val="000000"/>
                <w:sz w:val="20"/>
                <w:szCs w:val="20"/>
              </w:rPr>
            </w:pPr>
            <w:r>
              <w:rPr>
                <w:color w:val="000000"/>
                <w:sz w:val="20"/>
                <w:szCs w:val="20"/>
              </w:rPr>
              <w:t>0,2842</w:t>
            </w:r>
          </w:p>
        </w:tc>
        <w:tc>
          <w:tcPr>
            <w:tcW w:w="1605" w:type="dxa"/>
            <w:tcBorders>
              <w:top w:val="nil"/>
              <w:left w:val="nil"/>
              <w:bottom w:val="single" w:sz="8" w:space="0" w:color="DDDDDD"/>
              <w:right w:val="single" w:sz="8" w:space="0" w:color="DDDDDD"/>
            </w:tcBorders>
            <w:shd w:val="clear" w:color="auto" w:fill="auto"/>
            <w:vAlign w:val="center"/>
          </w:tcPr>
          <w:p w14:paraId="6B00525F" w14:textId="77777777" w:rsidR="00097466" w:rsidRDefault="00000000">
            <w:pPr>
              <w:spacing w:before="0" w:after="0" w:line="240" w:lineRule="auto"/>
              <w:jc w:val="left"/>
              <w:rPr>
                <w:b/>
                <w:bCs/>
                <w:color w:val="000000"/>
                <w:sz w:val="20"/>
                <w:szCs w:val="20"/>
              </w:rPr>
            </w:pPr>
            <w:r>
              <w:rPr>
                <w:b/>
                <w:bCs/>
                <w:color w:val="000000"/>
                <w:sz w:val="20"/>
                <w:szCs w:val="20"/>
              </w:rPr>
              <w:t>−0,4048</w:t>
            </w:r>
          </w:p>
        </w:tc>
      </w:tr>
      <w:tr w:rsidR="00097466" w14:paraId="68AC6FE0" w14:textId="77777777">
        <w:trPr>
          <w:trHeight w:val="397"/>
        </w:trPr>
        <w:tc>
          <w:tcPr>
            <w:tcW w:w="2260" w:type="dxa"/>
            <w:tcBorders>
              <w:top w:val="nil"/>
              <w:left w:val="single" w:sz="8" w:space="0" w:color="DDDDDD"/>
              <w:bottom w:val="single" w:sz="8" w:space="0" w:color="DDDDDD"/>
              <w:right w:val="single" w:sz="8" w:space="0" w:color="DDDDDD"/>
            </w:tcBorders>
            <w:shd w:val="clear" w:color="auto" w:fill="auto"/>
            <w:vAlign w:val="center"/>
          </w:tcPr>
          <w:p w14:paraId="6B3E3D8E" w14:textId="77777777" w:rsidR="00097466" w:rsidRDefault="00000000">
            <w:pPr>
              <w:spacing w:before="0" w:after="0" w:line="240" w:lineRule="auto"/>
              <w:jc w:val="left"/>
              <w:rPr>
                <w:color w:val="000000"/>
                <w:sz w:val="20"/>
                <w:szCs w:val="20"/>
              </w:rPr>
            </w:pPr>
            <w:r>
              <w:rPr>
                <w:color w:val="000000"/>
                <w:sz w:val="20"/>
                <w:szCs w:val="20"/>
              </w:rPr>
              <w:t>Triglicéridos (</w:t>
            </w:r>
            <w:proofErr w:type="spellStart"/>
            <w:r>
              <w:rPr>
                <w:color w:val="000000"/>
                <w:sz w:val="20"/>
                <w:szCs w:val="20"/>
              </w:rPr>
              <w:t>mgdL</w:t>
            </w:r>
            <w:proofErr w:type="spellEnd"/>
            <w:r>
              <w:rPr>
                <w:color w:val="000000"/>
                <w:sz w:val="20"/>
                <w:szCs w:val="20"/>
              </w:rPr>
              <w:t>)</w:t>
            </w:r>
          </w:p>
        </w:tc>
        <w:tc>
          <w:tcPr>
            <w:tcW w:w="1288" w:type="dxa"/>
            <w:tcBorders>
              <w:top w:val="nil"/>
              <w:left w:val="nil"/>
              <w:bottom w:val="single" w:sz="8" w:space="0" w:color="DDDDDD"/>
              <w:right w:val="single" w:sz="8" w:space="0" w:color="DDDDDD"/>
            </w:tcBorders>
            <w:shd w:val="clear" w:color="auto" w:fill="auto"/>
            <w:vAlign w:val="center"/>
          </w:tcPr>
          <w:p w14:paraId="4DCC6014" w14:textId="7C76B908" w:rsidR="00097466" w:rsidRDefault="00000000">
            <w:pPr>
              <w:spacing w:before="0" w:after="0" w:line="240" w:lineRule="auto"/>
              <w:jc w:val="left"/>
              <w:rPr>
                <w:color w:val="000000"/>
                <w:sz w:val="20"/>
                <w:szCs w:val="20"/>
              </w:rPr>
            </w:pPr>
            <w:r>
              <w:rPr>
                <w:color w:val="000000"/>
                <w:sz w:val="20"/>
                <w:szCs w:val="20"/>
              </w:rPr>
              <w:t>0,</w:t>
            </w:r>
            <w:r w:rsidR="00C02D76">
              <w:rPr>
                <w:color w:val="000000"/>
                <w:sz w:val="20"/>
                <w:szCs w:val="20"/>
              </w:rPr>
              <w:t>32</w:t>
            </w:r>
          </w:p>
        </w:tc>
        <w:tc>
          <w:tcPr>
            <w:tcW w:w="1066" w:type="dxa"/>
            <w:tcBorders>
              <w:top w:val="nil"/>
              <w:left w:val="nil"/>
              <w:bottom w:val="single" w:sz="8" w:space="0" w:color="DDDDDD"/>
              <w:right w:val="single" w:sz="8" w:space="0" w:color="DDDDDD"/>
            </w:tcBorders>
            <w:shd w:val="clear" w:color="auto" w:fill="auto"/>
            <w:vAlign w:val="center"/>
          </w:tcPr>
          <w:p w14:paraId="348EC3E5" w14:textId="77777777" w:rsidR="00097466" w:rsidRDefault="00000000">
            <w:pPr>
              <w:spacing w:before="0" w:after="0" w:line="240" w:lineRule="auto"/>
              <w:jc w:val="left"/>
              <w:rPr>
                <w:color w:val="000000"/>
                <w:sz w:val="20"/>
                <w:szCs w:val="20"/>
              </w:rPr>
            </w:pPr>
            <w:r>
              <w:rPr>
                <w:color w:val="000000"/>
                <w:sz w:val="20"/>
                <w:szCs w:val="20"/>
              </w:rPr>
              <w:t>—</w:t>
            </w:r>
          </w:p>
        </w:tc>
        <w:tc>
          <w:tcPr>
            <w:tcW w:w="1229" w:type="dxa"/>
            <w:tcBorders>
              <w:top w:val="nil"/>
              <w:left w:val="nil"/>
              <w:bottom w:val="single" w:sz="8" w:space="0" w:color="DDDDDD"/>
              <w:right w:val="single" w:sz="8" w:space="0" w:color="DDDDDD"/>
            </w:tcBorders>
            <w:shd w:val="clear" w:color="auto" w:fill="auto"/>
            <w:vAlign w:val="center"/>
          </w:tcPr>
          <w:p w14:paraId="63FDFFDB" w14:textId="77777777" w:rsidR="00097466" w:rsidRDefault="00000000">
            <w:pPr>
              <w:spacing w:before="0" w:after="0" w:line="240" w:lineRule="auto"/>
              <w:jc w:val="left"/>
              <w:rPr>
                <w:color w:val="000000"/>
                <w:sz w:val="20"/>
                <w:szCs w:val="20"/>
              </w:rPr>
            </w:pPr>
            <w:r>
              <w:rPr>
                <w:color w:val="000000"/>
                <w:sz w:val="20"/>
                <w:szCs w:val="20"/>
              </w:rPr>
              <w:t>−0,0020</w:t>
            </w:r>
          </w:p>
        </w:tc>
        <w:tc>
          <w:tcPr>
            <w:tcW w:w="1037" w:type="dxa"/>
            <w:tcBorders>
              <w:top w:val="nil"/>
              <w:left w:val="nil"/>
              <w:bottom w:val="single" w:sz="8" w:space="0" w:color="DDDDDD"/>
              <w:right w:val="single" w:sz="8" w:space="0" w:color="DDDDDD"/>
            </w:tcBorders>
            <w:shd w:val="clear" w:color="auto" w:fill="auto"/>
            <w:vAlign w:val="center"/>
          </w:tcPr>
          <w:p w14:paraId="224D6255" w14:textId="77777777" w:rsidR="00097466" w:rsidRDefault="00000000">
            <w:pPr>
              <w:spacing w:before="0" w:after="0" w:line="240" w:lineRule="auto"/>
              <w:jc w:val="left"/>
              <w:rPr>
                <w:color w:val="000000"/>
                <w:sz w:val="20"/>
                <w:szCs w:val="20"/>
              </w:rPr>
            </w:pPr>
            <w:r>
              <w:rPr>
                <w:color w:val="000000"/>
                <w:sz w:val="20"/>
                <w:szCs w:val="20"/>
              </w:rPr>
              <w:t>−0,0002</w:t>
            </w:r>
          </w:p>
        </w:tc>
        <w:tc>
          <w:tcPr>
            <w:tcW w:w="1605" w:type="dxa"/>
            <w:tcBorders>
              <w:top w:val="nil"/>
              <w:left w:val="nil"/>
              <w:bottom w:val="single" w:sz="8" w:space="0" w:color="DDDDDD"/>
              <w:right w:val="single" w:sz="8" w:space="0" w:color="DDDDDD"/>
            </w:tcBorders>
            <w:shd w:val="clear" w:color="auto" w:fill="auto"/>
            <w:vAlign w:val="center"/>
          </w:tcPr>
          <w:p w14:paraId="0DC20E54"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77AEA2F0" w14:textId="77777777">
        <w:trPr>
          <w:trHeight w:val="397"/>
        </w:trPr>
        <w:tc>
          <w:tcPr>
            <w:tcW w:w="2260" w:type="dxa"/>
            <w:tcBorders>
              <w:top w:val="nil"/>
              <w:left w:val="single" w:sz="8" w:space="0" w:color="DDDDDD"/>
              <w:bottom w:val="single" w:sz="8" w:space="0" w:color="DDDDDD"/>
              <w:right w:val="single" w:sz="8" w:space="0" w:color="DDDDDD"/>
            </w:tcBorders>
            <w:shd w:val="clear" w:color="auto" w:fill="auto"/>
            <w:vAlign w:val="center"/>
          </w:tcPr>
          <w:p w14:paraId="3A4CC987" w14:textId="77777777" w:rsidR="00097466" w:rsidRDefault="00000000">
            <w:pPr>
              <w:spacing w:before="0" w:after="0" w:line="240" w:lineRule="auto"/>
              <w:jc w:val="left"/>
              <w:rPr>
                <w:color w:val="000000"/>
                <w:sz w:val="20"/>
                <w:szCs w:val="20"/>
              </w:rPr>
            </w:pPr>
            <w:r>
              <w:rPr>
                <w:color w:val="000000"/>
                <w:sz w:val="20"/>
                <w:szCs w:val="20"/>
              </w:rPr>
              <w:t>Apo A-I (</w:t>
            </w:r>
            <w:proofErr w:type="spellStart"/>
            <w:r>
              <w:rPr>
                <w:color w:val="000000"/>
                <w:sz w:val="20"/>
                <w:szCs w:val="20"/>
              </w:rPr>
              <w:t>mgdL</w:t>
            </w:r>
            <w:proofErr w:type="spellEnd"/>
            <w:r>
              <w:rPr>
                <w:color w:val="000000"/>
                <w:sz w:val="20"/>
                <w:szCs w:val="20"/>
              </w:rPr>
              <w:t>)</w:t>
            </w:r>
          </w:p>
        </w:tc>
        <w:tc>
          <w:tcPr>
            <w:tcW w:w="1288" w:type="dxa"/>
            <w:tcBorders>
              <w:top w:val="nil"/>
              <w:left w:val="nil"/>
              <w:bottom w:val="single" w:sz="8" w:space="0" w:color="DDDDDD"/>
              <w:right w:val="single" w:sz="8" w:space="0" w:color="DDDDDD"/>
            </w:tcBorders>
            <w:shd w:val="clear" w:color="auto" w:fill="auto"/>
            <w:vAlign w:val="center"/>
          </w:tcPr>
          <w:p w14:paraId="2EDC2220" w14:textId="5DE40D74" w:rsidR="00097466" w:rsidRDefault="004F1E8F">
            <w:pPr>
              <w:spacing w:before="0" w:after="0" w:line="240" w:lineRule="auto"/>
              <w:jc w:val="left"/>
              <w:rPr>
                <w:color w:val="000000"/>
                <w:sz w:val="20"/>
                <w:szCs w:val="20"/>
              </w:rPr>
            </w:pPr>
            <w:r w:rsidRPr="004F1E8F">
              <w:rPr>
                <w:color w:val="000000"/>
                <w:sz w:val="20"/>
                <w:szCs w:val="20"/>
              </w:rPr>
              <w:t>0</w:t>
            </w:r>
            <w:r>
              <w:rPr>
                <w:color w:val="000000"/>
                <w:sz w:val="20"/>
                <w:szCs w:val="20"/>
              </w:rPr>
              <w:t>,</w:t>
            </w:r>
            <w:r w:rsidRPr="004F1E8F">
              <w:rPr>
                <w:color w:val="000000"/>
                <w:sz w:val="20"/>
                <w:szCs w:val="20"/>
              </w:rPr>
              <w:t>1091</w:t>
            </w:r>
          </w:p>
        </w:tc>
        <w:tc>
          <w:tcPr>
            <w:tcW w:w="1066" w:type="dxa"/>
            <w:tcBorders>
              <w:top w:val="nil"/>
              <w:left w:val="nil"/>
              <w:bottom w:val="single" w:sz="8" w:space="0" w:color="DDDDDD"/>
              <w:right w:val="single" w:sz="8" w:space="0" w:color="DDDDDD"/>
            </w:tcBorders>
            <w:shd w:val="clear" w:color="auto" w:fill="auto"/>
            <w:vAlign w:val="center"/>
          </w:tcPr>
          <w:p w14:paraId="4E15F68C" w14:textId="77777777" w:rsidR="00097466" w:rsidRDefault="00000000">
            <w:pPr>
              <w:spacing w:before="0" w:after="0" w:line="240" w:lineRule="auto"/>
              <w:jc w:val="left"/>
              <w:rPr>
                <w:b/>
                <w:bCs/>
                <w:color w:val="000000"/>
                <w:sz w:val="20"/>
                <w:szCs w:val="20"/>
              </w:rPr>
            </w:pPr>
            <w:r>
              <w:rPr>
                <w:b/>
                <w:bCs/>
                <w:color w:val="000000"/>
                <w:sz w:val="20"/>
                <w:szCs w:val="20"/>
              </w:rPr>
              <w:t>−0,4205</w:t>
            </w:r>
          </w:p>
        </w:tc>
        <w:tc>
          <w:tcPr>
            <w:tcW w:w="1229" w:type="dxa"/>
            <w:tcBorders>
              <w:top w:val="nil"/>
              <w:left w:val="nil"/>
              <w:bottom w:val="single" w:sz="8" w:space="0" w:color="DDDDDD"/>
              <w:right w:val="single" w:sz="8" w:space="0" w:color="DDDDDD"/>
            </w:tcBorders>
            <w:shd w:val="clear" w:color="auto" w:fill="auto"/>
            <w:vAlign w:val="center"/>
          </w:tcPr>
          <w:p w14:paraId="3BA0394B" w14:textId="77777777" w:rsidR="00097466" w:rsidRDefault="00000000">
            <w:pPr>
              <w:spacing w:before="0" w:after="0" w:line="240" w:lineRule="auto"/>
              <w:jc w:val="left"/>
              <w:rPr>
                <w:color w:val="000000"/>
                <w:sz w:val="20"/>
                <w:szCs w:val="20"/>
              </w:rPr>
            </w:pPr>
            <w:r>
              <w:rPr>
                <w:color w:val="000000"/>
                <w:sz w:val="20"/>
                <w:szCs w:val="20"/>
              </w:rPr>
              <w:t>—</w:t>
            </w:r>
          </w:p>
        </w:tc>
        <w:tc>
          <w:tcPr>
            <w:tcW w:w="1037" w:type="dxa"/>
            <w:tcBorders>
              <w:top w:val="nil"/>
              <w:left w:val="nil"/>
              <w:bottom w:val="single" w:sz="8" w:space="0" w:color="DDDDDD"/>
              <w:right w:val="single" w:sz="8" w:space="0" w:color="DDDDDD"/>
            </w:tcBorders>
            <w:shd w:val="clear" w:color="auto" w:fill="auto"/>
            <w:vAlign w:val="center"/>
          </w:tcPr>
          <w:p w14:paraId="0CC2C352" w14:textId="77777777" w:rsidR="00097466" w:rsidRDefault="00000000">
            <w:pPr>
              <w:spacing w:before="0" w:after="0" w:line="240" w:lineRule="auto"/>
              <w:jc w:val="left"/>
              <w:rPr>
                <w:color w:val="000000"/>
                <w:sz w:val="20"/>
                <w:szCs w:val="20"/>
              </w:rPr>
            </w:pPr>
            <w:r>
              <w:rPr>
                <w:color w:val="000000"/>
                <w:sz w:val="20"/>
                <w:szCs w:val="20"/>
              </w:rPr>
              <w:t>−0,2590</w:t>
            </w:r>
          </w:p>
        </w:tc>
        <w:tc>
          <w:tcPr>
            <w:tcW w:w="1605" w:type="dxa"/>
            <w:tcBorders>
              <w:top w:val="nil"/>
              <w:left w:val="nil"/>
              <w:bottom w:val="single" w:sz="8" w:space="0" w:color="DDDDDD"/>
              <w:right w:val="single" w:sz="8" w:space="0" w:color="DDDDDD"/>
            </w:tcBorders>
            <w:shd w:val="clear" w:color="auto" w:fill="auto"/>
            <w:vAlign w:val="center"/>
          </w:tcPr>
          <w:p w14:paraId="26CBE8CC"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06FEC3BD" w14:textId="77777777">
        <w:trPr>
          <w:trHeight w:val="397"/>
        </w:trPr>
        <w:tc>
          <w:tcPr>
            <w:tcW w:w="2260" w:type="dxa"/>
            <w:tcBorders>
              <w:top w:val="nil"/>
              <w:left w:val="single" w:sz="8" w:space="0" w:color="DDDDDD"/>
              <w:bottom w:val="single" w:sz="8" w:space="0" w:color="DDDDDD"/>
              <w:right w:val="single" w:sz="8" w:space="0" w:color="DDDDDD"/>
            </w:tcBorders>
            <w:shd w:val="clear" w:color="auto" w:fill="auto"/>
            <w:vAlign w:val="center"/>
          </w:tcPr>
          <w:p w14:paraId="01ADC04F" w14:textId="77777777" w:rsidR="00097466" w:rsidRDefault="00000000">
            <w:pPr>
              <w:spacing w:before="0" w:after="0" w:line="240" w:lineRule="auto"/>
              <w:jc w:val="left"/>
              <w:rPr>
                <w:color w:val="000000"/>
                <w:sz w:val="20"/>
                <w:szCs w:val="20"/>
              </w:rPr>
            </w:pPr>
            <w:r>
              <w:rPr>
                <w:color w:val="000000"/>
                <w:sz w:val="20"/>
                <w:szCs w:val="20"/>
              </w:rPr>
              <w:t>HDL (</w:t>
            </w:r>
            <w:proofErr w:type="spellStart"/>
            <w:r>
              <w:rPr>
                <w:color w:val="000000"/>
                <w:sz w:val="20"/>
                <w:szCs w:val="20"/>
              </w:rPr>
              <w:t>mgdL</w:t>
            </w:r>
            <w:proofErr w:type="spellEnd"/>
            <w:r>
              <w:rPr>
                <w:color w:val="000000"/>
                <w:sz w:val="20"/>
                <w:szCs w:val="20"/>
              </w:rPr>
              <w:t>)</w:t>
            </w:r>
          </w:p>
        </w:tc>
        <w:tc>
          <w:tcPr>
            <w:tcW w:w="1288" w:type="dxa"/>
            <w:tcBorders>
              <w:top w:val="nil"/>
              <w:left w:val="nil"/>
              <w:bottom w:val="single" w:sz="8" w:space="0" w:color="DDDDDD"/>
              <w:right w:val="single" w:sz="8" w:space="0" w:color="DDDDDD"/>
            </w:tcBorders>
            <w:shd w:val="clear" w:color="auto" w:fill="auto"/>
            <w:vAlign w:val="center"/>
          </w:tcPr>
          <w:p w14:paraId="01B75891" w14:textId="77777777" w:rsidR="00097466" w:rsidRDefault="00000000">
            <w:pPr>
              <w:spacing w:before="0" w:after="0" w:line="240" w:lineRule="auto"/>
              <w:jc w:val="left"/>
              <w:rPr>
                <w:color w:val="000000"/>
                <w:sz w:val="20"/>
                <w:szCs w:val="20"/>
              </w:rPr>
            </w:pPr>
            <w:r>
              <w:rPr>
                <w:color w:val="000000"/>
                <w:sz w:val="20"/>
                <w:szCs w:val="20"/>
              </w:rPr>
              <w:t>—</w:t>
            </w:r>
          </w:p>
        </w:tc>
        <w:tc>
          <w:tcPr>
            <w:tcW w:w="1066" w:type="dxa"/>
            <w:tcBorders>
              <w:top w:val="nil"/>
              <w:left w:val="nil"/>
              <w:bottom w:val="single" w:sz="8" w:space="0" w:color="DDDDDD"/>
              <w:right w:val="single" w:sz="8" w:space="0" w:color="DDDDDD"/>
            </w:tcBorders>
            <w:shd w:val="clear" w:color="auto" w:fill="auto"/>
            <w:vAlign w:val="center"/>
          </w:tcPr>
          <w:p w14:paraId="71CD5930" w14:textId="77777777" w:rsidR="00097466" w:rsidRDefault="00000000">
            <w:pPr>
              <w:spacing w:before="0" w:after="0" w:line="240" w:lineRule="auto"/>
              <w:jc w:val="left"/>
              <w:rPr>
                <w:color w:val="000000"/>
                <w:sz w:val="20"/>
                <w:szCs w:val="20"/>
              </w:rPr>
            </w:pPr>
            <w:r>
              <w:rPr>
                <w:color w:val="000000"/>
                <w:sz w:val="20"/>
                <w:szCs w:val="20"/>
              </w:rPr>
              <w:t>−0,2177</w:t>
            </w:r>
          </w:p>
        </w:tc>
        <w:tc>
          <w:tcPr>
            <w:tcW w:w="1229" w:type="dxa"/>
            <w:tcBorders>
              <w:top w:val="nil"/>
              <w:left w:val="nil"/>
              <w:bottom w:val="single" w:sz="8" w:space="0" w:color="DDDDDD"/>
              <w:right w:val="single" w:sz="8" w:space="0" w:color="DDDDDD"/>
            </w:tcBorders>
            <w:shd w:val="clear" w:color="auto" w:fill="auto"/>
            <w:vAlign w:val="center"/>
          </w:tcPr>
          <w:p w14:paraId="6DE38536" w14:textId="77777777" w:rsidR="00097466" w:rsidRDefault="00000000">
            <w:pPr>
              <w:spacing w:before="0" w:after="0" w:line="240" w:lineRule="auto"/>
              <w:jc w:val="left"/>
              <w:rPr>
                <w:color w:val="000000"/>
                <w:sz w:val="20"/>
                <w:szCs w:val="20"/>
              </w:rPr>
            </w:pPr>
            <w:r>
              <w:rPr>
                <w:color w:val="000000"/>
                <w:sz w:val="20"/>
                <w:szCs w:val="20"/>
              </w:rPr>
              <w:t>—</w:t>
            </w:r>
          </w:p>
        </w:tc>
        <w:tc>
          <w:tcPr>
            <w:tcW w:w="1037" w:type="dxa"/>
            <w:tcBorders>
              <w:top w:val="nil"/>
              <w:left w:val="nil"/>
              <w:bottom w:val="single" w:sz="8" w:space="0" w:color="DDDDDD"/>
              <w:right w:val="single" w:sz="8" w:space="0" w:color="DDDDDD"/>
            </w:tcBorders>
            <w:shd w:val="clear" w:color="auto" w:fill="auto"/>
            <w:vAlign w:val="center"/>
          </w:tcPr>
          <w:p w14:paraId="4C7A47DA" w14:textId="77777777" w:rsidR="00097466" w:rsidRDefault="00000000">
            <w:pPr>
              <w:spacing w:before="0" w:after="0" w:line="240" w:lineRule="auto"/>
              <w:jc w:val="left"/>
              <w:rPr>
                <w:color w:val="000000"/>
                <w:sz w:val="20"/>
                <w:szCs w:val="20"/>
              </w:rPr>
            </w:pPr>
            <w:r>
              <w:rPr>
                <w:color w:val="000000"/>
                <w:sz w:val="20"/>
                <w:szCs w:val="20"/>
              </w:rPr>
              <w:t>−0,1072</w:t>
            </w:r>
          </w:p>
        </w:tc>
        <w:tc>
          <w:tcPr>
            <w:tcW w:w="1605" w:type="dxa"/>
            <w:tcBorders>
              <w:top w:val="nil"/>
              <w:left w:val="nil"/>
              <w:bottom w:val="single" w:sz="8" w:space="0" w:color="DDDDDD"/>
              <w:right w:val="single" w:sz="8" w:space="0" w:color="DDDDDD"/>
            </w:tcBorders>
            <w:shd w:val="clear" w:color="auto" w:fill="auto"/>
            <w:vAlign w:val="center"/>
          </w:tcPr>
          <w:p w14:paraId="0A234AF1"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0B3BA7D6" w14:textId="77777777">
        <w:trPr>
          <w:trHeight w:val="397"/>
        </w:trPr>
        <w:tc>
          <w:tcPr>
            <w:tcW w:w="2260" w:type="dxa"/>
            <w:tcBorders>
              <w:top w:val="nil"/>
              <w:left w:val="single" w:sz="8" w:space="0" w:color="DDDDDD"/>
              <w:bottom w:val="single" w:sz="8" w:space="0" w:color="DDDDDD"/>
              <w:right w:val="single" w:sz="8" w:space="0" w:color="DDDDDD"/>
            </w:tcBorders>
            <w:shd w:val="clear" w:color="auto" w:fill="auto"/>
            <w:vAlign w:val="center"/>
          </w:tcPr>
          <w:p w14:paraId="76A7E85F" w14:textId="77777777" w:rsidR="00097466" w:rsidRDefault="00000000">
            <w:pPr>
              <w:spacing w:before="0" w:after="0" w:line="240" w:lineRule="auto"/>
              <w:jc w:val="left"/>
              <w:rPr>
                <w:color w:val="000000"/>
                <w:sz w:val="20"/>
                <w:szCs w:val="20"/>
              </w:rPr>
            </w:pPr>
            <w:r>
              <w:rPr>
                <w:color w:val="000000"/>
                <w:sz w:val="20"/>
                <w:szCs w:val="20"/>
              </w:rPr>
              <w:t>Creatinina (</w:t>
            </w:r>
            <w:proofErr w:type="spellStart"/>
            <w:r>
              <w:rPr>
                <w:color w:val="000000"/>
                <w:sz w:val="20"/>
                <w:szCs w:val="20"/>
              </w:rPr>
              <w:t>mgdL</w:t>
            </w:r>
            <w:proofErr w:type="spellEnd"/>
            <w:r>
              <w:rPr>
                <w:color w:val="000000"/>
                <w:sz w:val="20"/>
                <w:szCs w:val="20"/>
              </w:rPr>
              <w:t>)</w:t>
            </w:r>
          </w:p>
        </w:tc>
        <w:tc>
          <w:tcPr>
            <w:tcW w:w="1288" w:type="dxa"/>
            <w:tcBorders>
              <w:top w:val="nil"/>
              <w:left w:val="nil"/>
              <w:bottom w:val="single" w:sz="8" w:space="0" w:color="DDDDDD"/>
              <w:right w:val="single" w:sz="8" w:space="0" w:color="DDDDDD"/>
            </w:tcBorders>
            <w:shd w:val="clear" w:color="auto" w:fill="auto"/>
            <w:vAlign w:val="center"/>
          </w:tcPr>
          <w:p w14:paraId="228A85FD" w14:textId="77777777" w:rsidR="00097466" w:rsidRDefault="00000000">
            <w:pPr>
              <w:spacing w:before="0" w:after="0" w:line="240" w:lineRule="auto"/>
              <w:jc w:val="left"/>
              <w:rPr>
                <w:color w:val="000000"/>
                <w:sz w:val="20"/>
                <w:szCs w:val="20"/>
              </w:rPr>
            </w:pPr>
            <w:r>
              <w:rPr>
                <w:color w:val="000000"/>
                <w:sz w:val="20"/>
                <w:szCs w:val="20"/>
              </w:rPr>
              <w:t>—</w:t>
            </w:r>
          </w:p>
        </w:tc>
        <w:tc>
          <w:tcPr>
            <w:tcW w:w="1066" w:type="dxa"/>
            <w:tcBorders>
              <w:top w:val="nil"/>
              <w:left w:val="nil"/>
              <w:bottom w:val="single" w:sz="8" w:space="0" w:color="DDDDDD"/>
              <w:right w:val="single" w:sz="8" w:space="0" w:color="DDDDDD"/>
            </w:tcBorders>
            <w:shd w:val="clear" w:color="auto" w:fill="auto"/>
            <w:vAlign w:val="center"/>
          </w:tcPr>
          <w:p w14:paraId="37430FF4" w14:textId="77777777" w:rsidR="00097466" w:rsidRDefault="00000000">
            <w:pPr>
              <w:spacing w:before="0" w:after="0" w:line="240" w:lineRule="auto"/>
              <w:jc w:val="left"/>
              <w:rPr>
                <w:color w:val="000000"/>
                <w:sz w:val="20"/>
                <w:szCs w:val="20"/>
              </w:rPr>
            </w:pPr>
            <w:r>
              <w:rPr>
                <w:color w:val="000000"/>
                <w:sz w:val="20"/>
                <w:szCs w:val="20"/>
              </w:rPr>
              <w:t>—</w:t>
            </w:r>
          </w:p>
        </w:tc>
        <w:tc>
          <w:tcPr>
            <w:tcW w:w="1229" w:type="dxa"/>
            <w:tcBorders>
              <w:top w:val="nil"/>
              <w:left w:val="nil"/>
              <w:bottom w:val="single" w:sz="8" w:space="0" w:color="DDDDDD"/>
              <w:right w:val="single" w:sz="8" w:space="0" w:color="DDDDDD"/>
            </w:tcBorders>
            <w:shd w:val="clear" w:color="auto" w:fill="auto"/>
            <w:vAlign w:val="center"/>
          </w:tcPr>
          <w:p w14:paraId="22C7E3B3" w14:textId="77777777" w:rsidR="00097466" w:rsidRDefault="00000000">
            <w:pPr>
              <w:spacing w:before="0" w:after="0" w:line="240" w:lineRule="auto"/>
              <w:jc w:val="left"/>
              <w:rPr>
                <w:b/>
                <w:bCs/>
                <w:color w:val="000000"/>
                <w:sz w:val="20"/>
                <w:szCs w:val="20"/>
              </w:rPr>
            </w:pPr>
            <w:r>
              <w:rPr>
                <w:b/>
                <w:bCs/>
                <w:color w:val="000000"/>
                <w:sz w:val="20"/>
                <w:szCs w:val="20"/>
              </w:rPr>
              <w:t>−0,4415</w:t>
            </w:r>
          </w:p>
        </w:tc>
        <w:tc>
          <w:tcPr>
            <w:tcW w:w="1037" w:type="dxa"/>
            <w:tcBorders>
              <w:top w:val="nil"/>
              <w:left w:val="nil"/>
              <w:bottom w:val="single" w:sz="8" w:space="0" w:color="DDDDDD"/>
              <w:right w:val="single" w:sz="8" w:space="0" w:color="DDDDDD"/>
            </w:tcBorders>
            <w:shd w:val="clear" w:color="auto" w:fill="auto"/>
            <w:vAlign w:val="center"/>
          </w:tcPr>
          <w:p w14:paraId="69771E9F" w14:textId="77777777" w:rsidR="00097466" w:rsidRDefault="00000000">
            <w:pPr>
              <w:spacing w:before="0" w:after="0" w:line="240" w:lineRule="auto"/>
              <w:jc w:val="left"/>
              <w:rPr>
                <w:color w:val="000000"/>
                <w:sz w:val="20"/>
                <w:szCs w:val="20"/>
              </w:rPr>
            </w:pPr>
            <w:r>
              <w:rPr>
                <w:color w:val="000000"/>
                <w:sz w:val="20"/>
                <w:szCs w:val="20"/>
              </w:rPr>
              <w:t>—</w:t>
            </w:r>
          </w:p>
        </w:tc>
        <w:tc>
          <w:tcPr>
            <w:tcW w:w="1605" w:type="dxa"/>
            <w:tcBorders>
              <w:top w:val="nil"/>
              <w:left w:val="nil"/>
              <w:bottom w:val="single" w:sz="8" w:space="0" w:color="DDDDDD"/>
              <w:right w:val="single" w:sz="8" w:space="0" w:color="DDDDDD"/>
            </w:tcBorders>
            <w:shd w:val="clear" w:color="auto" w:fill="auto"/>
            <w:vAlign w:val="center"/>
          </w:tcPr>
          <w:p w14:paraId="19DE9660" w14:textId="77777777" w:rsidR="00097466" w:rsidRDefault="00000000">
            <w:pPr>
              <w:spacing w:before="0" w:after="0" w:line="240" w:lineRule="auto"/>
              <w:jc w:val="left"/>
              <w:rPr>
                <w:color w:val="000000"/>
                <w:sz w:val="20"/>
                <w:szCs w:val="20"/>
              </w:rPr>
            </w:pPr>
            <w:r>
              <w:rPr>
                <w:color w:val="000000"/>
                <w:sz w:val="20"/>
                <w:szCs w:val="20"/>
              </w:rPr>
              <w:t>−0,0828</w:t>
            </w:r>
          </w:p>
        </w:tc>
      </w:tr>
      <w:tr w:rsidR="00097466" w14:paraId="69CD28AF" w14:textId="77777777">
        <w:trPr>
          <w:trHeight w:val="397"/>
        </w:trPr>
        <w:tc>
          <w:tcPr>
            <w:tcW w:w="2260" w:type="dxa"/>
            <w:tcBorders>
              <w:top w:val="nil"/>
              <w:left w:val="single" w:sz="8" w:space="0" w:color="DDDDDD"/>
              <w:bottom w:val="single" w:sz="8" w:space="0" w:color="DDDDDD"/>
              <w:right w:val="single" w:sz="8" w:space="0" w:color="DDDDDD"/>
            </w:tcBorders>
            <w:shd w:val="clear" w:color="auto" w:fill="auto"/>
            <w:vAlign w:val="center"/>
          </w:tcPr>
          <w:p w14:paraId="0AA270BF" w14:textId="77777777" w:rsidR="00097466" w:rsidRDefault="00000000">
            <w:pPr>
              <w:spacing w:before="0" w:after="0" w:line="240" w:lineRule="auto"/>
              <w:jc w:val="left"/>
              <w:rPr>
                <w:color w:val="000000"/>
                <w:sz w:val="20"/>
                <w:szCs w:val="20"/>
              </w:rPr>
            </w:pPr>
            <w:r>
              <w:rPr>
                <w:color w:val="000000"/>
                <w:sz w:val="20"/>
                <w:szCs w:val="20"/>
              </w:rPr>
              <w:t>IL-2 (</w:t>
            </w:r>
            <w:proofErr w:type="spellStart"/>
            <w:r>
              <w:rPr>
                <w:color w:val="000000"/>
                <w:sz w:val="20"/>
                <w:szCs w:val="20"/>
              </w:rPr>
              <w:t>pgmL</w:t>
            </w:r>
            <w:proofErr w:type="spellEnd"/>
            <w:r>
              <w:rPr>
                <w:color w:val="000000"/>
                <w:sz w:val="20"/>
                <w:szCs w:val="20"/>
              </w:rPr>
              <w:t>)</w:t>
            </w:r>
          </w:p>
        </w:tc>
        <w:tc>
          <w:tcPr>
            <w:tcW w:w="1288" w:type="dxa"/>
            <w:tcBorders>
              <w:top w:val="nil"/>
              <w:left w:val="nil"/>
              <w:bottom w:val="single" w:sz="8" w:space="0" w:color="DDDDDD"/>
              <w:right w:val="single" w:sz="8" w:space="0" w:color="DDDDDD"/>
            </w:tcBorders>
            <w:shd w:val="clear" w:color="auto" w:fill="auto"/>
            <w:vAlign w:val="center"/>
          </w:tcPr>
          <w:p w14:paraId="14CC051D" w14:textId="4892025C" w:rsidR="00097466" w:rsidRDefault="004F1E8F">
            <w:pPr>
              <w:spacing w:before="0" w:after="0" w:line="240" w:lineRule="auto"/>
              <w:jc w:val="left"/>
              <w:rPr>
                <w:color w:val="000000"/>
                <w:sz w:val="20"/>
                <w:szCs w:val="20"/>
              </w:rPr>
            </w:pPr>
            <w:r w:rsidRPr="004F1E8F">
              <w:rPr>
                <w:color w:val="000000"/>
                <w:sz w:val="20"/>
                <w:szCs w:val="20"/>
              </w:rPr>
              <w:t>-0</w:t>
            </w:r>
            <w:r>
              <w:rPr>
                <w:color w:val="000000"/>
                <w:sz w:val="20"/>
                <w:szCs w:val="20"/>
              </w:rPr>
              <w:t>,</w:t>
            </w:r>
            <w:r w:rsidRPr="004F1E8F">
              <w:rPr>
                <w:color w:val="000000"/>
                <w:sz w:val="20"/>
                <w:szCs w:val="20"/>
              </w:rPr>
              <w:t>1365</w:t>
            </w:r>
          </w:p>
        </w:tc>
        <w:tc>
          <w:tcPr>
            <w:tcW w:w="1066" w:type="dxa"/>
            <w:tcBorders>
              <w:top w:val="nil"/>
              <w:left w:val="nil"/>
              <w:bottom w:val="single" w:sz="8" w:space="0" w:color="DDDDDD"/>
              <w:right w:val="single" w:sz="8" w:space="0" w:color="DDDDDD"/>
            </w:tcBorders>
            <w:shd w:val="clear" w:color="auto" w:fill="auto"/>
            <w:vAlign w:val="center"/>
          </w:tcPr>
          <w:p w14:paraId="71ECE613" w14:textId="77777777" w:rsidR="00097466" w:rsidRDefault="00000000">
            <w:pPr>
              <w:spacing w:before="0" w:after="0" w:line="240" w:lineRule="auto"/>
              <w:jc w:val="left"/>
              <w:rPr>
                <w:color w:val="000000"/>
                <w:sz w:val="20"/>
                <w:szCs w:val="20"/>
              </w:rPr>
            </w:pPr>
            <w:r>
              <w:rPr>
                <w:color w:val="000000"/>
                <w:sz w:val="20"/>
                <w:szCs w:val="20"/>
              </w:rPr>
              <w:t>0,0399</w:t>
            </w:r>
          </w:p>
        </w:tc>
        <w:tc>
          <w:tcPr>
            <w:tcW w:w="1229" w:type="dxa"/>
            <w:tcBorders>
              <w:top w:val="nil"/>
              <w:left w:val="nil"/>
              <w:bottom w:val="single" w:sz="8" w:space="0" w:color="DDDDDD"/>
              <w:right w:val="single" w:sz="8" w:space="0" w:color="DDDDDD"/>
            </w:tcBorders>
            <w:shd w:val="clear" w:color="auto" w:fill="auto"/>
            <w:vAlign w:val="center"/>
          </w:tcPr>
          <w:p w14:paraId="28435E1D" w14:textId="77777777" w:rsidR="00097466" w:rsidRDefault="00000000">
            <w:pPr>
              <w:spacing w:before="0" w:after="0" w:line="240" w:lineRule="auto"/>
              <w:jc w:val="left"/>
              <w:rPr>
                <w:color w:val="000000"/>
                <w:sz w:val="20"/>
                <w:szCs w:val="20"/>
              </w:rPr>
            </w:pPr>
            <w:r>
              <w:rPr>
                <w:color w:val="000000"/>
                <w:sz w:val="20"/>
                <w:szCs w:val="20"/>
              </w:rPr>
              <w:t>—</w:t>
            </w:r>
          </w:p>
        </w:tc>
        <w:tc>
          <w:tcPr>
            <w:tcW w:w="1037" w:type="dxa"/>
            <w:tcBorders>
              <w:top w:val="nil"/>
              <w:left w:val="nil"/>
              <w:bottom w:val="single" w:sz="8" w:space="0" w:color="DDDDDD"/>
              <w:right w:val="single" w:sz="8" w:space="0" w:color="DDDDDD"/>
            </w:tcBorders>
            <w:shd w:val="clear" w:color="auto" w:fill="auto"/>
            <w:vAlign w:val="center"/>
          </w:tcPr>
          <w:p w14:paraId="3B7E5813" w14:textId="77777777" w:rsidR="00097466" w:rsidRDefault="00000000">
            <w:pPr>
              <w:spacing w:before="0" w:after="0" w:line="240" w:lineRule="auto"/>
              <w:jc w:val="left"/>
              <w:rPr>
                <w:color w:val="000000"/>
                <w:sz w:val="20"/>
                <w:szCs w:val="20"/>
              </w:rPr>
            </w:pPr>
            <w:r>
              <w:rPr>
                <w:color w:val="000000"/>
                <w:sz w:val="20"/>
                <w:szCs w:val="20"/>
              </w:rPr>
              <w:t>0,2717</w:t>
            </w:r>
          </w:p>
        </w:tc>
        <w:tc>
          <w:tcPr>
            <w:tcW w:w="1605" w:type="dxa"/>
            <w:tcBorders>
              <w:top w:val="nil"/>
              <w:left w:val="nil"/>
              <w:bottom w:val="single" w:sz="8" w:space="0" w:color="DDDDDD"/>
              <w:right w:val="single" w:sz="8" w:space="0" w:color="DDDDDD"/>
            </w:tcBorders>
            <w:shd w:val="clear" w:color="auto" w:fill="auto"/>
            <w:vAlign w:val="center"/>
          </w:tcPr>
          <w:p w14:paraId="7905AD10" w14:textId="77777777" w:rsidR="00097466" w:rsidRDefault="00000000">
            <w:pPr>
              <w:spacing w:before="0" w:after="0" w:line="240" w:lineRule="auto"/>
              <w:jc w:val="left"/>
              <w:rPr>
                <w:color w:val="000000"/>
                <w:sz w:val="20"/>
                <w:szCs w:val="20"/>
              </w:rPr>
            </w:pPr>
            <w:r>
              <w:rPr>
                <w:color w:val="000000"/>
                <w:sz w:val="20"/>
                <w:szCs w:val="20"/>
              </w:rPr>
              <w:t>—</w:t>
            </w:r>
          </w:p>
        </w:tc>
      </w:tr>
      <w:tr w:rsidR="004F1E8F" w14:paraId="5F76AF9D" w14:textId="77777777">
        <w:trPr>
          <w:trHeight w:val="397"/>
        </w:trPr>
        <w:tc>
          <w:tcPr>
            <w:tcW w:w="2260" w:type="dxa"/>
            <w:tcBorders>
              <w:top w:val="nil"/>
              <w:left w:val="single" w:sz="8" w:space="0" w:color="DDDDDD"/>
              <w:bottom w:val="single" w:sz="8" w:space="0" w:color="DDDDDD"/>
              <w:right w:val="single" w:sz="8" w:space="0" w:color="DDDDDD"/>
            </w:tcBorders>
            <w:shd w:val="clear" w:color="auto" w:fill="auto"/>
            <w:vAlign w:val="center"/>
          </w:tcPr>
          <w:p w14:paraId="17C399EF" w14:textId="294B2C41" w:rsidR="004F1E8F" w:rsidRDefault="004F1E8F">
            <w:pPr>
              <w:spacing w:before="0" w:after="0" w:line="240" w:lineRule="auto"/>
              <w:jc w:val="left"/>
              <w:rPr>
                <w:color w:val="000000"/>
                <w:sz w:val="20"/>
                <w:szCs w:val="20"/>
              </w:rPr>
            </w:pPr>
            <w:r>
              <w:rPr>
                <w:color w:val="000000"/>
                <w:sz w:val="20"/>
                <w:szCs w:val="20"/>
              </w:rPr>
              <w:t>IL-8 (</w:t>
            </w:r>
            <w:proofErr w:type="spellStart"/>
            <w:r>
              <w:rPr>
                <w:color w:val="000000"/>
                <w:sz w:val="20"/>
                <w:szCs w:val="20"/>
              </w:rPr>
              <w:t>pgmL</w:t>
            </w:r>
            <w:proofErr w:type="spellEnd"/>
            <w:r>
              <w:rPr>
                <w:color w:val="000000"/>
                <w:sz w:val="20"/>
                <w:szCs w:val="20"/>
              </w:rPr>
              <w:t>)</w:t>
            </w:r>
          </w:p>
        </w:tc>
        <w:tc>
          <w:tcPr>
            <w:tcW w:w="1288" w:type="dxa"/>
            <w:tcBorders>
              <w:top w:val="nil"/>
              <w:left w:val="nil"/>
              <w:bottom w:val="single" w:sz="8" w:space="0" w:color="DDDDDD"/>
              <w:right w:val="single" w:sz="8" w:space="0" w:color="DDDDDD"/>
            </w:tcBorders>
            <w:shd w:val="clear" w:color="auto" w:fill="auto"/>
            <w:vAlign w:val="center"/>
          </w:tcPr>
          <w:p w14:paraId="45F529DC" w14:textId="0629B426" w:rsidR="004F1E8F" w:rsidRDefault="004F1E8F">
            <w:pPr>
              <w:spacing w:before="0" w:after="0" w:line="240" w:lineRule="auto"/>
              <w:jc w:val="left"/>
              <w:rPr>
                <w:color w:val="000000"/>
                <w:sz w:val="20"/>
                <w:szCs w:val="20"/>
              </w:rPr>
            </w:pPr>
            <w:r>
              <w:rPr>
                <w:color w:val="000000"/>
                <w:sz w:val="20"/>
                <w:szCs w:val="20"/>
              </w:rPr>
              <w:t>-</w:t>
            </w:r>
            <w:r w:rsidRPr="004F1E8F">
              <w:rPr>
                <w:color w:val="000000"/>
                <w:sz w:val="20"/>
                <w:szCs w:val="20"/>
              </w:rPr>
              <w:t>0</w:t>
            </w:r>
            <w:r>
              <w:rPr>
                <w:color w:val="000000"/>
                <w:sz w:val="20"/>
                <w:szCs w:val="20"/>
              </w:rPr>
              <w:t>,</w:t>
            </w:r>
            <w:r w:rsidRPr="004F1E8F">
              <w:rPr>
                <w:color w:val="000000"/>
                <w:sz w:val="20"/>
                <w:szCs w:val="20"/>
              </w:rPr>
              <w:t>1375</w:t>
            </w:r>
          </w:p>
        </w:tc>
        <w:tc>
          <w:tcPr>
            <w:tcW w:w="1066" w:type="dxa"/>
            <w:tcBorders>
              <w:top w:val="nil"/>
              <w:left w:val="nil"/>
              <w:bottom w:val="single" w:sz="8" w:space="0" w:color="DDDDDD"/>
              <w:right w:val="single" w:sz="8" w:space="0" w:color="DDDDDD"/>
            </w:tcBorders>
            <w:shd w:val="clear" w:color="auto" w:fill="auto"/>
            <w:vAlign w:val="center"/>
          </w:tcPr>
          <w:p w14:paraId="6953B410" w14:textId="387CA1DE" w:rsidR="004F1E8F" w:rsidRDefault="004F1E8F">
            <w:pPr>
              <w:spacing w:before="0" w:after="0" w:line="240" w:lineRule="auto"/>
              <w:jc w:val="left"/>
              <w:rPr>
                <w:color w:val="000000"/>
                <w:sz w:val="20"/>
                <w:szCs w:val="20"/>
              </w:rPr>
            </w:pPr>
            <w:r>
              <w:rPr>
                <w:color w:val="000000"/>
                <w:sz w:val="20"/>
                <w:szCs w:val="20"/>
              </w:rPr>
              <w:t>—</w:t>
            </w:r>
          </w:p>
        </w:tc>
        <w:tc>
          <w:tcPr>
            <w:tcW w:w="1229" w:type="dxa"/>
            <w:tcBorders>
              <w:top w:val="nil"/>
              <w:left w:val="nil"/>
              <w:bottom w:val="single" w:sz="8" w:space="0" w:color="DDDDDD"/>
              <w:right w:val="single" w:sz="8" w:space="0" w:color="DDDDDD"/>
            </w:tcBorders>
            <w:shd w:val="clear" w:color="auto" w:fill="auto"/>
            <w:vAlign w:val="center"/>
          </w:tcPr>
          <w:p w14:paraId="4B2FAD2B" w14:textId="205A8F0D" w:rsidR="004F1E8F" w:rsidRDefault="004F1E8F">
            <w:pPr>
              <w:spacing w:before="0" w:after="0" w:line="240" w:lineRule="auto"/>
              <w:jc w:val="left"/>
              <w:rPr>
                <w:color w:val="000000"/>
                <w:sz w:val="20"/>
                <w:szCs w:val="20"/>
              </w:rPr>
            </w:pPr>
            <w:r>
              <w:rPr>
                <w:color w:val="000000"/>
                <w:sz w:val="20"/>
                <w:szCs w:val="20"/>
              </w:rPr>
              <w:t>—</w:t>
            </w:r>
          </w:p>
        </w:tc>
        <w:tc>
          <w:tcPr>
            <w:tcW w:w="1037" w:type="dxa"/>
            <w:tcBorders>
              <w:top w:val="nil"/>
              <w:left w:val="nil"/>
              <w:bottom w:val="single" w:sz="8" w:space="0" w:color="DDDDDD"/>
              <w:right w:val="single" w:sz="8" w:space="0" w:color="DDDDDD"/>
            </w:tcBorders>
            <w:shd w:val="clear" w:color="auto" w:fill="auto"/>
            <w:vAlign w:val="center"/>
          </w:tcPr>
          <w:p w14:paraId="7F131EE9" w14:textId="4D2EB18D" w:rsidR="004F1E8F" w:rsidRDefault="004F1E8F">
            <w:pPr>
              <w:spacing w:before="0" w:after="0" w:line="240" w:lineRule="auto"/>
              <w:jc w:val="left"/>
              <w:rPr>
                <w:color w:val="000000"/>
                <w:sz w:val="20"/>
                <w:szCs w:val="20"/>
              </w:rPr>
            </w:pPr>
            <w:r>
              <w:rPr>
                <w:color w:val="000000"/>
                <w:sz w:val="20"/>
                <w:szCs w:val="20"/>
              </w:rPr>
              <w:t>—</w:t>
            </w:r>
          </w:p>
        </w:tc>
        <w:tc>
          <w:tcPr>
            <w:tcW w:w="1605" w:type="dxa"/>
            <w:tcBorders>
              <w:top w:val="nil"/>
              <w:left w:val="nil"/>
              <w:bottom w:val="single" w:sz="8" w:space="0" w:color="DDDDDD"/>
              <w:right w:val="single" w:sz="8" w:space="0" w:color="DDDDDD"/>
            </w:tcBorders>
            <w:shd w:val="clear" w:color="auto" w:fill="auto"/>
            <w:vAlign w:val="center"/>
          </w:tcPr>
          <w:p w14:paraId="1B95DE1D" w14:textId="135E412C" w:rsidR="004F1E8F" w:rsidRDefault="004F1E8F">
            <w:pPr>
              <w:spacing w:before="0" w:after="0" w:line="240" w:lineRule="auto"/>
              <w:jc w:val="left"/>
              <w:rPr>
                <w:color w:val="000000"/>
                <w:sz w:val="20"/>
                <w:szCs w:val="20"/>
              </w:rPr>
            </w:pPr>
            <w:r>
              <w:rPr>
                <w:color w:val="000000"/>
                <w:sz w:val="20"/>
                <w:szCs w:val="20"/>
              </w:rPr>
              <w:t>—</w:t>
            </w:r>
          </w:p>
        </w:tc>
      </w:tr>
      <w:tr w:rsidR="004F1E8F" w14:paraId="7D772E2E" w14:textId="77777777">
        <w:trPr>
          <w:trHeight w:val="397"/>
        </w:trPr>
        <w:tc>
          <w:tcPr>
            <w:tcW w:w="2260" w:type="dxa"/>
            <w:tcBorders>
              <w:top w:val="nil"/>
              <w:left w:val="single" w:sz="8" w:space="0" w:color="DDDDDD"/>
              <w:bottom w:val="single" w:sz="8" w:space="0" w:color="DDDDDD"/>
              <w:right w:val="single" w:sz="8" w:space="0" w:color="DDDDDD"/>
            </w:tcBorders>
            <w:shd w:val="clear" w:color="auto" w:fill="auto"/>
            <w:vAlign w:val="center"/>
          </w:tcPr>
          <w:p w14:paraId="01BCB9EC" w14:textId="069F24DA" w:rsidR="004F1E8F" w:rsidRDefault="004F1E8F">
            <w:pPr>
              <w:spacing w:before="0" w:after="0" w:line="240" w:lineRule="auto"/>
              <w:jc w:val="left"/>
              <w:rPr>
                <w:color w:val="000000"/>
                <w:sz w:val="20"/>
                <w:szCs w:val="20"/>
              </w:rPr>
            </w:pPr>
            <w:r>
              <w:rPr>
                <w:color w:val="000000"/>
                <w:sz w:val="20"/>
                <w:szCs w:val="20"/>
              </w:rPr>
              <w:t>Apo B (</w:t>
            </w:r>
            <w:proofErr w:type="spellStart"/>
            <w:r>
              <w:rPr>
                <w:color w:val="000000"/>
                <w:sz w:val="20"/>
                <w:szCs w:val="20"/>
              </w:rPr>
              <w:t>mgdL</w:t>
            </w:r>
            <w:proofErr w:type="spellEnd"/>
            <w:r>
              <w:rPr>
                <w:color w:val="000000"/>
                <w:sz w:val="20"/>
                <w:szCs w:val="20"/>
              </w:rPr>
              <w:t>)</w:t>
            </w:r>
          </w:p>
        </w:tc>
        <w:tc>
          <w:tcPr>
            <w:tcW w:w="1288" w:type="dxa"/>
            <w:tcBorders>
              <w:top w:val="nil"/>
              <w:left w:val="nil"/>
              <w:bottom w:val="single" w:sz="8" w:space="0" w:color="DDDDDD"/>
              <w:right w:val="single" w:sz="8" w:space="0" w:color="DDDDDD"/>
            </w:tcBorders>
            <w:shd w:val="clear" w:color="auto" w:fill="auto"/>
            <w:vAlign w:val="center"/>
          </w:tcPr>
          <w:p w14:paraId="40354576" w14:textId="2740796B" w:rsidR="004F1E8F" w:rsidRDefault="004F1E8F">
            <w:pPr>
              <w:spacing w:before="0" w:after="0" w:line="240" w:lineRule="auto"/>
              <w:jc w:val="left"/>
              <w:rPr>
                <w:color w:val="000000"/>
                <w:sz w:val="20"/>
                <w:szCs w:val="20"/>
              </w:rPr>
            </w:pPr>
            <w:r w:rsidRPr="004F1E8F">
              <w:rPr>
                <w:color w:val="000000"/>
                <w:sz w:val="20"/>
                <w:szCs w:val="20"/>
              </w:rPr>
              <w:t>0</w:t>
            </w:r>
            <w:r>
              <w:rPr>
                <w:color w:val="000000"/>
                <w:sz w:val="20"/>
                <w:szCs w:val="20"/>
              </w:rPr>
              <w:t>,</w:t>
            </w:r>
            <w:r w:rsidRPr="004F1E8F">
              <w:rPr>
                <w:color w:val="000000"/>
                <w:sz w:val="20"/>
                <w:szCs w:val="20"/>
              </w:rPr>
              <w:t>0879</w:t>
            </w:r>
          </w:p>
        </w:tc>
        <w:tc>
          <w:tcPr>
            <w:tcW w:w="1066" w:type="dxa"/>
            <w:tcBorders>
              <w:top w:val="nil"/>
              <w:left w:val="nil"/>
              <w:bottom w:val="single" w:sz="8" w:space="0" w:color="DDDDDD"/>
              <w:right w:val="single" w:sz="8" w:space="0" w:color="DDDDDD"/>
            </w:tcBorders>
            <w:shd w:val="clear" w:color="auto" w:fill="auto"/>
            <w:vAlign w:val="center"/>
          </w:tcPr>
          <w:p w14:paraId="56B69895" w14:textId="141325BF" w:rsidR="004F1E8F" w:rsidRDefault="004F1E8F">
            <w:pPr>
              <w:spacing w:before="0" w:after="0" w:line="240" w:lineRule="auto"/>
              <w:jc w:val="left"/>
              <w:rPr>
                <w:color w:val="000000"/>
                <w:sz w:val="20"/>
                <w:szCs w:val="20"/>
              </w:rPr>
            </w:pPr>
            <w:r>
              <w:rPr>
                <w:color w:val="000000"/>
                <w:sz w:val="20"/>
                <w:szCs w:val="20"/>
              </w:rPr>
              <w:t>—</w:t>
            </w:r>
          </w:p>
        </w:tc>
        <w:tc>
          <w:tcPr>
            <w:tcW w:w="1229" w:type="dxa"/>
            <w:tcBorders>
              <w:top w:val="nil"/>
              <w:left w:val="nil"/>
              <w:bottom w:val="single" w:sz="8" w:space="0" w:color="DDDDDD"/>
              <w:right w:val="single" w:sz="8" w:space="0" w:color="DDDDDD"/>
            </w:tcBorders>
            <w:shd w:val="clear" w:color="auto" w:fill="auto"/>
            <w:vAlign w:val="center"/>
          </w:tcPr>
          <w:p w14:paraId="36087F5F" w14:textId="3D9BC7E9" w:rsidR="004F1E8F" w:rsidRDefault="004F1E8F">
            <w:pPr>
              <w:spacing w:before="0" w:after="0" w:line="240" w:lineRule="auto"/>
              <w:jc w:val="left"/>
              <w:rPr>
                <w:color w:val="000000"/>
                <w:sz w:val="20"/>
                <w:szCs w:val="20"/>
              </w:rPr>
            </w:pPr>
            <w:r>
              <w:rPr>
                <w:color w:val="000000"/>
                <w:sz w:val="20"/>
                <w:szCs w:val="20"/>
              </w:rPr>
              <w:t>—</w:t>
            </w:r>
          </w:p>
        </w:tc>
        <w:tc>
          <w:tcPr>
            <w:tcW w:w="1037" w:type="dxa"/>
            <w:tcBorders>
              <w:top w:val="nil"/>
              <w:left w:val="nil"/>
              <w:bottom w:val="single" w:sz="8" w:space="0" w:color="DDDDDD"/>
              <w:right w:val="single" w:sz="8" w:space="0" w:color="DDDDDD"/>
            </w:tcBorders>
            <w:shd w:val="clear" w:color="auto" w:fill="auto"/>
            <w:vAlign w:val="center"/>
          </w:tcPr>
          <w:p w14:paraId="7F0B20EC" w14:textId="1C50FFFA" w:rsidR="004F1E8F" w:rsidRDefault="004F1E8F">
            <w:pPr>
              <w:spacing w:before="0" w:after="0" w:line="240" w:lineRule="auto"/>
              <w:jc w:val="left"/>
              <w:rPr>
                <w:color w:val="000000"/>
                <w:sz w:val="20"/>
                <w:szCs w:val="20"/>
              </w:rPr>
            </w:pPr>
            <w:r>
              <w:rPr>
                <w:color w:val="000000"/>
                <w:sz w:val="20"/>
                <w:szCs w:val="20"/>
              </w:rPr>
              <w:t>—</w:t>
            </w:r>
          </w:p>
        </w:tc>
        <w:tc>
          <w:tcPr>
            <w:tcW w:w="1605" w:type="dxa"/>
            <w:tcBorders>
              <w:top w:val="nil"/>
              <w:left w:val="nil"/>
              <w:bottom w:val="single" w:sz="8" w:space="0" w:color="DDDDDD"/>
              <w:right w:val="single" w:sz="8" w:space="0" w:color="DDDDDD"/>
            </w:tcBorders>
            <w:shd w:val="clear" w:color="auto" w:fill="auto"/>
            <w:vAlign w:val="center"/>
          </w:tcPr>
          <w:p w14:paraId="68FAED86" w14:textId="6A78D47D" w:rsidR="004F1E8F" w:rsidRDefault="004F1E8F">
            <w:pPr>
              <w:spacing w:before="0" w:after="0" w:line="240" w:lineRule="auto"/>
              <w:jc w:val="left"/>
              <w:rPr>
                <w:color w:val="000000"/>
                <w:sz w:val="20"/>
                <w:szCs w:val="20"/>
              </w:rPr>
            </w:pPr>
            <w:r>
              <w:rPr>
                <w:color w:val="000000"/>
                <w:sz w:val="20"/>
                <w:szCs w:val="20"/>
              </w:rPr>
              <w:t>—</w:t>
            </w:r>
          </w:p>
        </w:tc>
      </w:tr>
      <w:tr w:rsidR="004F1E8F" w14:paraId="45819182" w14:textId="77777777">
        <w:trPr>
          <w:trHeight w:val="397"/>
        </w:trPr>
        <w:tc>
          <w:tcPr>
            <w:tcW w:w="2260" w:type="dxa"/>
            <w:tcBorders>
              <w:top w:val="nil"/>
              <w:left w:val="single" w:sz="8" w:space="0" w:color="DDDDDD"/>
              <w:bottom w:val="single" w:sz="8" w:space="0" w:color="DDDDDD"/>
              <w:right w:val="single" w:sz="8" w:space="0" w:color="DDDDDD"/>
            </w:tcBorders>
            <w:shd w:val="clear" w:color="auto" w:fill="auto"/>
            <w:vAlign w:val="center"/>
          </w:tcPr>
          <w:p w14:paraId="2746E1CB" w14:textId="14BE6C25" w:rsidR="004F1E8F" w:rsidRDefault="004F1E8F">
            <w:pPr>
              <w:spacing w:before="0" w:after="0" w:line="240" w:lineRule="auto"/>
              <w:jc w:val="left"/>
              <w:rPr>
                <w:color w:val="000000"/>
                <w:sz w:val="20"/>
                <w:szCs w:val="20"/>
              </w:rPr>
            </w:pPr>
            <w:r w:rsidRPr="004F1E8F">
              <w:rPr>
                <w:color w:val="000000"/>
                <w:sz w:val="20"/>
                <w:szCs w:val="20"/>
              </w:rPr>
              <w:t>Colesterol total (mg/</w:t>
            </w:r>
            <w:proofErr w:type="spellStart"/>
            <w:r w:rsidRPr="004F1E8F">
              <w:rPr>
                <w:color w:val="000000"/>
                <w:sz w:val="20"/>
                <w:szCs w:val="20"/>
              </w:rPr>
              <w:t>dL</w:t>
            </w:r>
            <w:proofErr w:type="spellEnd"/>
            <w:r w:rsidRPr="004F1E8F">
              <w:rPr>
                <w:color w:val="000000"/>
                <w:sz w:val="20"/>
                <w:szCs w:val="20"/>
              </w:rPr>
              <w:t>)</w:t>
            </w:r>
          </w:p>
        </w:tc>
        <w:tc>
          <w:tcPr>
            <w:tcW w:w="1288" w:type="dxa"/>
            <w:tcBorders>
              <w:top w:val="nil"/>
              <w:left w:val="nil"/>
              <w:bottom w:val="single" w:sz="8" w:space="0" w:color="DDDDDD"/>
              <w:right w:val="single" w:sz="8" w:space="0" w:color="DDDDDD"/>
            </w:tcBorders>
            <w:shd w:val="clear" w:color="auto" w:fill="auto"/>
            <w:vAlign w:val="center"/>
          </w:tcPr>
          <w:p w14:paraId="65510116" w14:textId="58580389" w:rsidR="004F1E8F" w:rsidRPr="004F1E8F" w:rsidRDefault="004F1E8F">
            <w:pPr>
              <w:spacing w:before="0" w:after="0" w:line="240" w:lineRule="auto"/>
              <w:jc w:val="left"/>
              <w:rPr>
                <w:color w:val="000000"/>
                <w:sz w:val="20"/>
                <w:szCs w:val="20"/>
              </w:rPr>
            </w:pPr>
            <w:r w:rsidRPr="004F1E8F">
              <w:rPr>
                <w:color w:val="000000"/>
                <w:sz w:val="20"/>
                <w:szCs w:val="20"/>
              </w:rPr>
              <w:t>0</w:t>
            </w:r>
            <w:r>
              <w:rPr>
                <w:color w:val="000000"/>
                <w:sz w:val="20"/>
                <w:szCs w:val="20"/>
              </w:rPr>
              <w:t>,</w:t>
            </w:r>
            <w:r w:rsidRPr="004F1E8F">
              <w:rPr>
                <w:color w:val="000000"/>
                <w:sz w:val="20"/>
                <w:szCs w:val="20"/>
              </w:rPr>
              <w:t>0791</w:t>
            </w:r>
          </w:p>
        </w:tc>
        <w:tc>
          <w:tcPr>
            <w:tcW w:w="1066" w:type="dxa"/>
            <w:tcBorders>
              <w:top w:val="nil"/>
              <w:left w:val="nil"/>
              <w:bottom w:val="single" w:sz="8" w:space="0" w:color="DDDDDD"/>
              <w:right w:val="single" w:sz="8" w:space="0" w:color="DDDDDD"/>
            </w:tcBorders>
            <w:shd w:val="clear" w:color="auto" w:fill="auto"/>
            <w:vAlign w:val="center"/>
          </w:tcPr>
          <w:p w14:paraId="6FA388BF" w14:textId="64C01653" w:rsidR="004F1E8F" w:rsidRDefault="004F1E8F">
            <w:pPr>
              <w:spacing w:before="0" w:after="0" w:line="240" w:lineRule="auto"/>
              <w:jc w:val="left"/>
              <w:rPr>
                <w:color w:val="000000"/>
                <w:sz w:val="20"/>
                <w:szCs w:val="20"/>
              </w:rPr>
            </w:pPr>
            <w:r>
              <w:rPr>
                <w:color w:val="000000"/>
                <w:sz w:val="20"/>
                <w:szCs w:val="20"/>
              </w:rPr>
              <w:t>—</w:t>
            </w:r>
          </w:p>
        </w:tc>
        <w:tc>
          <w:tcPr>
            <w:tcW w:w="1229" w:type="dxa"/>
            <w:tcBorders>
              <w:top w:val="nil"/>
              <w:left w:val="nil"/>
              <w:bottom w:val="single" w:sz="8" w:space="0" w:color="DDDDDD"/>
              <w:right w:val="single" w:sz="8" w:space="0" w:color="DDDDDD"/>
            </w:tcBorders>
            <w:shd w:val="clear" w:color="auto" w:fill="auto"/>
            <w:vAlign w:val="center"/>
          </w:tcPr>
          <w:p w14:paraId="6FC20CD5" w14:textId="38254F0A" w:rsidR="004F1E8F" w:rsidRDefault="004F1E8F">
            <w:pPr>
              <w:spacing w:before="0" w:after="0" w:line="240" w:lineRule="auto"/>
              <w:jc w:val="left"/>
              <w:rPr>
                <w:color w:val="000000"/>
                <w:sz w:val="20"/>
                <w:szCs w:val="20"/>
              </w:rPr>
            </w:pPr>
            <w:r>
              <w:rPr>
                <w:color w:val="000000"/>
                <w:sz w:val="20"/>
                <w:szCs w:val="20"/>
              </w:rPr>
              <w:t>—</w:t>
            </w:r>
          </w:p>
        </w:tc>
        <w:tc>
          <w:tcPr>
            <w:tcW w:w="1037" w:type="dxa"/>
            <w:tcBorders>
              <w:top w:val="nil"/>
              <w:left w:val="nil"/>
              <w:bottom w:val="single" w:sz="8" w:space="0" w:color="DDDDDD"/>
              <w:right w:val="single" w:sz="8" w:space="0" w:color="DDDDDD"/>
            </w:tcBorders>
            <w:shd w:val="clear" w:color="auto" w:fill="auto"/>
            <w:vAlign w:val="center"/>
          </w:tcPr>
          <w:p w14:paraId="0273348E" w14:textId="0A55F7CC" w:rsidR="004F1E8F" w:rsidRDefault="004F1E8F">
            <w:pPr>
              <w:spacing w:before="0" w:after="0" w:line="240" w:lineRule="auto"/>
              <w:jc w:val="left"/>
              <w:rPr>
                <w:color w:val="000000"/>
                <w:sz w:val="20"/>
                <w:szCs w:val="20"/>
              </w:rPr>
            </w:pPr>
            <w:r>
              <w:rPr>
                <w:color w:val="000000"/>
                <w:sz w:val="20"/>
                <w:szCs w:val="20"/>
              </w:rPr>
              <w:t>—</w:t>
            </w:r>
          </w:p>
        </w:tc>
        <w:tc>
          <w:tcPr>
            <w:tcW w:w="1605" w:type="dxa"/>
            <w:tcBorders>
              <w:top w:val="nil"/>
              <w:left w:val="nil"/>
              <w:bottom w:val="single" w:sz="8" w:space="0" w:color="DDDDDD"/>
              <w:right w:val="single" w:sz="8" w:space="0" w:color="DDDDDD"/>
            </w:tcBorders>
            <w:shd w:val="clear" w:color="auto" w:fill="auto"/>
            <w:vAlign w:val="center"/>
          </w:tcPr>
          <w:p w14:paraId="18B3D1BA" w14:textId="1F0FF353" w:rsidR="004F1E8F" w:rsidRDefault="004F1E8F">
            <w:pPr>
              <w:spacing w:before="0" w:after="0" w:line="240" w:lineRule="auto"/>
              <w:jc w:val="left"/>
              <w:rPr>
                <w:color w:val="000000"/>
                <w:sz w:val="20"/>
                <w:szCs w:val="20"/>
              </w:rPr>
            </w:pPr>
            <w:r>
              <w:rPr>
                <w:color w:val="000000"/>
                <w:sz w:val="20"/>
                <w:szCs w:val="20"/>
              </w:rPr>
              <w:t>—</w:t>
            </w:r>
          </w:p>
        </w:tc>
      </w:tr>
      <w:tr w:rsidR="00097466" w14:paraId="7B9ADD95" w14:textId="77777777">
        <w:trPr>
          <w:trHeight w:val="397"/>
        </w:trPr>
        <w:tc>
          <w:tcPr>
            <w:tcW w:w="2260" w:type="dxa"/>
            <w:tcBorders>
              <w:top w:val="nil"/>
              <w:left w:val="single" w:sz="8" w:space="0" w:color="DDDDDD"/>
              <w:bottom w:val="single" w:sz="4" w:space="0" w:color="D9D9D9"/>
              <w:right w:val="single" w:sz="8" w:space="0" w:color="DDDDDD"/>
            </w:tcBorders>
            <w:shd w:val="clear" w:color="auto" w:fill="auto"/>
            <w:vAlign w:val="center"/>
          </w:tcPr>
          <w:p w14:paraId="7E9EB4BC" w14:textId="77777777" w:rsidR="00097466" w:rsidRDefault="00000000">
            <w:pPr>
              <w:spacing w:before="0" w:after="0" w:line="240" w:lineRule="auto"/>
              <w:jc w:val="left"/>
              <w:rPr>
                <w:color w:val="000000"/>
                <w:sz w:val="20"/>
                <w:szCs w:val="20"/>
              </w:rPr>
            </w:pPr>
            <w:r>
              <w:rPr>
                <w:color w:val="000000"/>
                <w:sz w:val="20"/>
                <w:szCs w:val="20"/>
              </w:rPr>
              <w:t>Cociente Apo B/A-I</w:t>
            </w:r>
          </w:p>
        </w:tc>
        <w:tc>
          <w:tcPr>
            <w:tcW w:w="1288" w:type="dxa"/>
            <w:tcBorders>
              <w:top w:val="nil"/>
              <w:left w:val="nil"/>
              <w:bottom w:val="single" w:sz="4" w:space="0" w:color="D9D9D9"/>
              <w:right w:val="single" w:sz="8" w:space="0" w:color="DDDDDD"/>
            </w:tcBorders>
            <w:shd w:val="clear" w:color="auto" w:fill="auto"/>
            <w:vAlign w:val="center"/>
          </w:tcPr>
          <w:p w14:paraId="29889778" w14:textId="77777777" w:rsidR="00097466" w:rsidRDefault="00000000">
            <w:pPr>
              <w:spacing w:before="0" w:after="0" w:line="240" w:lineRule="auto"/>
              <w:jc w:val="left"/>
              <w:rPr>
                <w:color w:val="000000"/>
                <w:sz w:val="20"/>
                <w:szCs w:val="20"/>
              </w:rPr>
            </w:pPr>
            <w:r>
              <w:rPr>
                <w:color w:val="000000"/>
                <w:sz w:val="20"/>
                <w:szCs w:val="20"/>
              </w:rPr>
              <w:t>—</w:t>
            </w:r>
          </w:p>
        </w:tc>
        <w:tc>
          <w:tcPr>
            <w:tcW w:w="1066" w:type="dxa"/>
            <w:tcBorders>
              <w:top w:val="nil"/>
              <w:left w:val="nil"/>
              <w:bottom w:val="single" w:sz="4" w:space="0" w:color="D9D9D9"/>
              <w:right w:val="single" w:sz="8" w:space="0" w:color="DDDDDD"/>
            </w:tcBorders>
            <w:shd w:val="clear" w:color="auto" w:fill="auto"/>
            <w:vAlign w:val="center"/>
          </w:tcPr>
          <w:p w14:paraId="7827A424" w14:textId="77777777" w:rsidR="00097466" w:rsidRDefault="00000000">
            <w:pPr>
              <w:spacing w:before="0" w:after="0" w:line="240" w:lineRule="auto"/>
              <w:jc w:val="left"/>
              <w:rPr>
                <w:color w:val="000000"/>
                <w:sz w:val="20"/>
                <w:szCs w:val="20"/>
              </w:rPr>
            </w:pPr>
            <w:r>
              <w:rPr>
                <w:color w:val="000000"/>
                <w:sz w:val="20"/>
                <w:szCs w:val="20"/>
              </w:rPr>
              <w:t>0,0915</w:t>
            </w:r>
          </w:p>
        </w:tc>
        <w:tc>
          <w:tcPr>
            <w:tcW w:w="1229" w:type="dxa"/>
            <w:tcBorders>
              <w:top w:val="nil"/>
              <w:left w:val="nil"/>
              <w:bottom w:val="single" w:sz="4" w:space="0" w:color="D9D9D9"/>
              <w:right w:val="single" w:sz="8" w:space="0" w:color="DDDDDD"/>
            </w:tcBorders>
            <w:shd w:val="clear" w:color="auto" w:fill="auto"/>
            <w:vAlign w:val="center"/>
          </w:tcPr>
          <w:p w14:paraId="23D0F935" w14:textId="77777777" w:rsidR="00097466" w:rsidRDefault="00000000">
            <w:pPr>
              <w:spacing w:before="0" w:after="0" w:line="240" w:lineRule="auto"/>
              <w:jc w:val="left"/>
              <w:rPr>
                <w:color w:val="000000"/>
                <w:sz w:val="20"/>
                <w:szCs w:val="20"/>
              </w:rPr>
            </w:pPr>
            <w:r>
              <w:rPr>
                <w:color w:val="000000"/>
                <w:sz w:val="20"/>
                <w:szCs w:val="20"/>
              </w:rPr>
              <w:t>—</w:t>
            </w:r>
          </w:p>
        </w:tc>
        <w:tc>
          <w:tcPr>
            <w:tcW w:w="1037" w:type="dxa"/>
            <w:tcBorders>
              <w:top w:val="nil"/>
              <w:left w:val="nil"/>
              <w:bottom w:val="single" w:sz="4" w:space="0" w:color="D9D9D9"/>
              <w:right w:val="single" w:sz="8" w:space="0" w:color="DDDDDD"/>
            </w:tcBorders>
            <w:shd w:val="clear" w:color="auto" w:fill="auto"/>
            <w:vAlign w:val="center"/>
          </w:tcPr>
          <w:p w14:paraId="22F5311C" w14:textId="77777777" w:rsidR="00097466" w:rsidRDefault="00000000">
            <w:pPr>
              <w:spacing w:before="0" w:after="0" w:line="240" w:lineRule="auto"/>
              <w:jc w:val="left"/>
              <w:rPr>
                <w:color w:val="000000"/>
                <w:sz w:val="20"/>
                <w:szCs w:val="20"/>
              </w:rPr>
            </w:pPr>
            <w:r>
              <w:rPr>
                <w:color w:val="000000"/>
                <w:sz w:val="20"/>
                <w:szCs w:val="20"/>
              </w:rPr>
              <w:t>0,2277</w:t>
            </w:r>
          </w:p>
        </w:tc>
        <w:tc>
          <w:tcPr>
            <w:tcW w:w="1605" w:type="dxa"/>
            <w:tcBorders>
              <w:top w:val="nil"/>
              <w:left w:val="nil"/>
              <w:bottom w:val="single" w:sz="4" w:space="0" w:color="D9D9D9"/>
              <w:right w:val="single" w:sz="8" w:space="0" w:color="DDDDDD"/>
            </w:tcBorders>
            <w:shd w:val="clear" w:color="auto" w:fill="auto"/>
            <w:vAlign w:val="center"/>
          </w:tcPr>
          <w:p w14:paraId="3369C442" w14:textId="77777777" w:rsidR="00097466" w:rsidRDefault="00000000">
            <w:pPr>
              <w:spacing w:before="0" w:after="0" w:line="240" w:lineRule="auto"/>
              <w:jc w:val="left"/>
              <w:rPr>
                <w:color w:val="000000"/>
                <w:sz w:val="20"/>
                <w:szCs w:val="20"/>
              </w:rPr>
            </w:pPr>
            <w:r>
              <w:rPr>
                <w:color w:val="000000"/>
                <w:sz w:val="20"/>
                <w:szCs w:val="20"/>
              </w:rPr>
              <w:t>—</w:t>
            </w:r>
          </w:p>
        </w:tc>
      </w:tr>
      <w:tr w:rsidR="00097466" w14:paraId="7D70B2C5" w14:textId="77777777">
        <w:trPr>
          <w:trHeight w:val="397"/>
        </w:trPr>
        <w:tc>
          <w:tcPr>
            <w:tcW w:w="2260"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F339383" w14:textId="77777777" w:rsidR="00097466" w:rsidRDefault="00000000">
            <w:pPr>
              <w:spacing w:before="0" w:after="0" w:line="240" w:lineRule="auto"/>
              <w:jc w:val="left"/>
              <w:rPr>
                <w:color w:val="000000"/>
                <w:sz w:val="20"/>
                <w:szCs w:val="20"/>
              </w:rPr>
            </w:pPr>
            <w:r>
              <w:rPr>
                <w:color w:val="000000"/>
                <w:sz w:val="20"/>
                <w:szCs w:val="20"/>
              </w:rPr>
              <w:t>PCR (</w:t>
            </w:r>
            <w:proofErr w:type="spellStart"/>
            <w:r>
              <w:rPr>
                <w:color w:val="000000"/>
                <w:sz w:val="20"/>
                <w:szCs w:val="20"/>
              </w:rPr>
              <w:t>mgL</w:t>
            </w:r>
            <w:proofErr w:type="spellEnd"/>
            <w:r>
              <w:rPr>
                <w:color w:val="000000"/>
                <w:sz w:val="20"/>
                <w:szCs w:val="20"/>
              </w:rPr>
              <w:t>)</w:t>
            </w:r>
          </w:p>
        </w:tc>
        <w:tc>
          <w:tcPr>
            <w:tcW w:w="1288"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8AF087D" w14:textId="77777777" w:rsidR="00097466" w:rsidRDefault="00000000">
            <w:pPr>
              <w:spacing w:before="0" w:after="0" w:line="240" w:lineRule="auto"/>
              <w:jc w:val="left"/>
              <w:rPr>
                <w:color w:val="000000"/>
                <w:sz w:val="20"/>
                <w:szCs w:val="20"/>
              </w:rPr>
            </w:pPr>
            <w:r>
              <w:rPr>
                <w:color w:val="000000"/>
                <w:sz w:val="20"/>
                <w:szCs w:val="20"/>
              </w:rPr>
              <w:t>—</w:t>
            </w:r>
          </w:p>
        </w:tc>
        <w:tc>
          <w:tcPr>
            <w:tcW w:w="1066" w:type="dxa"/>
            <w:tcBorders>
              <w:top w:val="single" w:sz="4" w:space="0" w:color="D9D9D9"/>
              <w:left w:val="single" w:sz="4" w:space="0" w:color="D9D9D9"/>
              <w:bottom w:val="single" w:sz="4" w:space="0" w:color="D9D9D9"/>
              <w:right w:val="single" w:sz="4" w:space="0" w:color="D9D9D9"/>
            </w:tcBorders>
            <w:shd w:val="clear" w:color="auto" w:fill="auto"/>
            <w:vAlign w:val="center"/>
          </w:tcPr>
          <w:p w14:paraId="6DE5A602" w14:textId="77777777" w:rsidR="00097466" w:rsidRDefault="00000000">
            <w:pPr>
              <w:spacing w:before="0" w:after="0" w:line="240" w:lineRule="auto"/>
              <w:jc w:val="left"/>
              <w:rPr>
                <w:color w:val="000000"/>
                <w:sz w:val="20"/>
                <w:szCs w:val="20"/>
              </w:rPr>
            </w:pPr>
            <w:r>
              <w:rPr>
                <w:color w:val="000000"/>
                <w:sz w:val="20"/>
                <w:szCs w:val="20"/>
              </w:rPr>
              <w:t>—</w:t>
            </w:r>
          </w:p>
        </w:tc>
        <w:tc>
          <w:tcPr>
            <w:tcW w:w="1229"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E1E8BA5" w14:textId="77777777" w:rsidR="00097466" w:rsidRDefault="00000000">
            <w:pPr>
              <w:spacing w:before="0" w:after="0" w:line="240" w:lineRule="auto"/>
              <w:jc w:val="left"/>
              <w:rPr>
                <w:color w:val="000000"/>
                <w:sz w:val="20"/>
                <w:szCs w:val="20"/>
              </w:rPr>
            </w:pPr>
            <w:r>
              <w:rPr>
                <w:color w:val="000000"/>
                <w:sz w:val="20"/>
                <w:szCs w:val="20"/>
              </w:rPr>
              <w:t>—</w:t>
            </w:r>
          </w:p>
        </w:tc>
        <w:tc>
          <w:tcPr>
            <w:tcW w:w="1037" w:type="dxa"/>
            <w:tcBorders>
              <w:top w:val="single" w:sz="4" w:space="0" w:color="D9D9D9"/>
              <w:left w:val="single" w:sz="4" w:space="0" w:color="D9D9D9"/>
              <w:bottom w:val="single" w:sz="4" w:space="0" w:color="D9D9D9"/>
              <w:right w:val="single" w:sz="4" w:space="0" w:color="D9D9D9"/>
            </w:tcBorders>
            <w:shd w:val="clear" w:color="auto" w:fill="auto"/>
            <w:vAlign w:val="center"/>
          </w:tcPr>
          <w:p w14:paraId="14E00898" w14:textId="77777777" w:rsidR="00097466" w:rsidRDefault="00000000">
            <w:pPr>
              <w:spacing w:before="0" w:after="0" w:line="240" w:lineRule="auto"/>
              <w:jc w:val="left"/>
              <w:rPr>
                <w:color w:val="000000"/>
                <w:sz w:val="20"/>
                <w:szCs w:val="20"/>
              </w:rPr>
            </w:pPr>
            <w:r>
              <w:rPr>
                <w:color w:val="000000"/>
                <w:sz w:val="20"/>
                <w:szCs w:val="20"/>
              </w:rPr>
              <w:t>0,1073</w:t>
            </w:r>
          </w:p>
        </w:tc>
        <w:tc>
          <w:tcPr>
            <w:tcW w:w="1605" w:type="dxa"/>
            <w:tcBorders>
              <w:top w:val="single" w:sz="4" w:space="0" w:color="D9D9D9"/>
              <w:left w:val="single" w:sz="4" w:space="0" w:color="D9D9D9"/>
              <w:bottom w:val="single" w:sz="4" w:space="0" w:color="D9D9D9"/>
              <w:right w:val="single" w:sz="4" w:space="0" w:color="D9D9D9"/>
            </w:tcBorders>
            <w:shd w:val="clear" w:color="auto" w:fill="auto"/>
            <w:vAlign w:val="center"/>
          </w:tcPr>
          <w:p w14:paraId="71B665EA" w14:textId="77777777" w:rsidR="00097466" w:rsidRDefault="00000000">
            <w:pPr>
              <w:keepNext/>
              <w:spacing w:before="0" w:after="0" w:line="240" w:lineRule="auto"/>
              <w:jc w:val="left"/>
              <w:rPr>
                <w:color w:val="000000"/>
                <w:sz w:val="20"/>
                <w:szCs w:val="20"/>
              </w:rPr>
            </w:pPr>
            <w:r>
              <w:rPr>
                <w:color w:val="000000"/>
                <w:sz w:val="20"/>
                <w:szCs w:val="20"/>
              </w:rPr>
              <w:t>—</w:t>
            </w:r>
          </w:p>
        </w:tc>
      </w:tr>
      <w:tr w:rsidR="00097466" w14:paraId="4A6291BE" w14:textId="77777777">
        <w:trPr>
          <w:trHeight w:val="397"/>
        </w:trPr>
        <w:tc>
          <w:tcPr>
            <w:tcW w:w="8485" w:type="dxa"/>
            <w:gridSpan w:val="6"/>
            <w:tcBorders>
              <w:top w:val="single" w:sz="4" w:space="0" w:color="D9D9D9"/>
              <w:left w:val="single" w:sz="8" w:space="0" w:color="DDDDDD"/>
              <w:bottom w:val="single" w:sz="8" w:space="0" w:color="DDDDDD"/>
              <w:right w:val="single" w:sz="8" w:space="0" w:color="DDDDDD"/>
            </w:tcBorders>
            <w:shd w:val="clear" w:color="auto" w:fill="auto"/>
            <w:vAlign w:val="center"/>
          </w:tcPr>
          <w:p w14:paraId="67873E01" w14:textId="3B2D4E7B" w:rsidR="00097466" w:rsidRDefault="00000000" w:rsidP="002D15F6">
            <w:pPr>
              <w:keepNext/>
              <w:spacing w:before="120" w:after="120" w:line="240" w:lineRule="auto"/>
              <w:rPr>
                <w:color w:val="000000"/>
                <w:sz w:val="20"/>
                <w:szCs w:val="20"/>
              </w:rPr>
            </w:pPr>
            <w:r>
              <w:rPr>
                <w:color w:val="000000"/>
                <w:sz w:val="20"/>
                <w:szCs w:val="20"/>
              </w:rPr>
              <w:t xml:space="preserve">Se muestran las variables con mayor </w:t>
            </w:r>
            <w:proofErr w:type="spellStart"/>
            <w:r>
              <w:rPr>
                <w:color w:val="000000"/>
                <w:sz w:val="20"/>
                <w:szCs w:val="20"/>
              </w:rPr>
              <w:t>loading</w:t>
            </w:r>
            <w:proofErr w:type="spellEnd"/>
            <w:r>
              <w:rPr>
                <w:color w:val="000000"/>
                <w:sz w:val="20"/>
                <w:szCs w:val="20"/>
              </w:rPr>
              <w:t xml:space="preserve"> absoluto por modelo. Negritas indican los mayores </w:t>
            </w:r>
            <w:proofErr w:type="spellStart"/>
            <w:r>
              <w:rPr>
                <w:color w:val="000000"/>
                <w:sz w:val="20"/>
                <w:szCs w:val="20"/>
              </w:rPr>
              <w:t>loadings</w:t>
            </w:r>
            <w:proofErr w:type="spellEnd"/>
            <w:r>
              <w:rPr>
                <w:color w:val="000000"/>
                <w:sz w:val="20"/>
                <w:szCs w:val="20"/>
              </w:rPr>
              <w:t xml:space="preserve"> absolutos por modelo. El número de variables en Comp1 varía según el </w:t>
            </w:r>
            <w:proofErr w:type="spellStart"/>
            <w:r>
              <w:rPr>
                <w:color w:val="000000"/>
                <w:sz w:val="20"/>
                <w:szCs w:val="20"/>
              </w:rPr>
              <w:t>keepX</w:t>
            </w:r>
            <w:proofErr w:type="spellEnd"/>
            <w:r>
              <w:rPr>
                <w:color w:val="000000"/>
                <w:sz w:val="20"/>
                <w:szCs w:val="20"/>
              </w:rPr>
              <w:t xml:space="preserve"> óptimo: 5 </w:t>
            </w:r>
            <w:r w:rsidR="00C02D76">
              <w:rPr>
                <w:color w:val="000000"/>
                <w:sz w:val="20"/>
                <w:szCs w:val="20"/>
              </w:rPr>
              <w:t>(</w:t>
            </w:r>
            <w:r>
              <w:rPr>
                <w:color w:val="000000"/>
                <w:sz w:val="20"/>
                <w:szCs w:val="20"/>
              </w:rPr>
              <w:t>SLE-DAS, SLICC, Rem. Estricta)</w:t>
            </w:r>
            <w:r w:rsidR="00C02D76">
              <w:rPr>
                <w:color w:val="000000"/>
                <w:sz w:val="20"/>
                <w:szCs w:val="20"/>
              </w:rPr>
              <w:t>, 10 (SLEDAI)</w:t>
            </w:r>
            <w:r>
              <w:rPr>
                <w:color w:val="000000"/>
                <w:sz w:val="20"/>
                <w:szCs w:val="20"/>
              </w:rPr>
              <w:t xml:space="preserve"> o 12 (DORIS).</w:t>
            </w:r>
          </w:p>
        </w:tc>
      </w:tr>
    </w:tbl>
    <w:p w14:paraId="48387A55" w14:textId="7CBFA7A9" w:rsidR="002D15F6" w:rsidRDefault="002D15F6" w:rsidP="00C67F76">
      <w:pPr>
        <w:pStyle w:val="Descripcin"/>
      </w:pPr>
      <w:bookmarkStart w:id="163" w:name="_Toc230792269"/>
      <w:r>
        <w:t xml:space="preserve">Tabla </w:t>
      </w:r>
      <w:fldSimple w:instr=" SEQ Tabla \* ARABIC ">
        <w:r w:rsidR="00716AEA">
          <w:rPr>
            <w:noProof/>
          </w:rPr>
          <w:t>39</w:t>
        </w:r>
      </w:fldSimple>
      <w:r>
        <w:t xml:space="preserve">. </w:t>
      </w:r>
      <w:r w:rsidRPr="00444165">
        <w:t>Variables proteómicas seleccionadas en el Componente 1 por modelo DIABLO</w:t>
      </w:r>
      <w:bookmarkEnd w:id="163"/>
    </w:p>
    <w:p w14:paraId="756C02DC" w14:textId="18C4FC94" w:rsidR="00D02985" w:rsidRPr="00D02985" w:rsidRDefault="00D02985" w:rsidP="00D02985">
      <w:pPr>
        <w:pBdr>
          <w:top w:val="nil"/>
          <w:left w:val="nil"/>
          <w:bottom w:val="nil"/>
          <w:right w:val="nil"/>
          <w:between w:val="nil"/>
        </w:pBdr>
        <w:spacing w:before="120" w:after="120"/>
        <w:rPr>
          <w:color w:val="000000"/>
        </w:rPr>
      </w:pPr>
      <w:r w:rsidRPr="00D02985">
        <w:rPr>
          <w:color w:val="000000"/>
        </w:rPr>
        <w:t>Más allá del IFN</w:t>
      </w:r>
      <w:r w:rsidRPr="00D02985">
        <w:rPr>
          <w:rFonts w:ascii="Cambria Math" w:hAnsi="Cambria Math" w:cs="Cambria Math"/>
          <w:color w:val="000000"/>
        </w:rPr>
        <w:t>‑</w:t>
      </w:r>
      <w:r w:rsidRPr="00D02985">
        <w:rPr>
          <w:color w:val="000000"/>
        </w:rPr>
        <w:t>α, cada modelo incorpora dimensiones proteómicas específicas que aportan información complementaria. En el modelo SLEDAI</w:t>
      </w:r>
      <w:r w:rsidRPr="00D02985">
        <w:rPr>
          <w:rFonts w:ascii="Cambria Math" w:hAnsi="Cambria Math" w:cs="Cambria Math"/>
          <w:color w:val="000000"/>
        </w:rPr>
        <w:t>‑</w:t>
      </w:r>
      <w:r w:rsidRPr="00D02985">
        <w:rPr>
          <w:color w:val="000000"/>
        </w:rPr>
        <w:t>2K, los niveles de complemento C3 (</w:t>
      </w:r>
      <w:proofErr w:type="spellStart"/>
      <w:r w:rsidRPr="00D02985">
        <w:rPr>
          <w:color w:val="000000"/>
        </w:rPr>
        <w:t>loading</w:t>
      </w:r>
      <w:proofErr w:type="spellEnd"/>
      <w:r w:rsidRPr="00D02985">
        <w:rPr>
          <w:color w:val="000000"/>
        </w:rPr>
        <w:t xml:space="preserve"> = 0,5</w:t>
      </w:r>
      <w:r w:rsidR="00DA7151">
        <w:rPr>
          <w:color w:val="000000"/>
        </w:rPr>
        <w:t>4</w:t>
      </w:r>
      <w:r w:rsidRPr="00D02985">
        <w:rPr>
          <w:color w:val="000000"/>
        </w:rPr>
        <w:t>) y C4 (</w:t>
      </w:r>
      <w:proofErr w:type="spellStart"/>
      <w:r w:rsidRPr="00D02985">
        <w:rPr>
          <w:color w:val="000000"/>
        </w:rPr>
        <w:t>loading</w:t>
      </w:r>
      <w:proofErr w:type="spellEnd"/>
      <w:r w:rsidRPr="00D02985">
        <w:rPr>
          <w:color w:val="000000"/>
        </w:rPr>
        <w:t xml:space="preserve"> = 0,5</w:t>
      </w:r>
      <w:r w:rsidR="00DA7151">
        <w:rPr>
          <w:color w:val="000000"/>
        </w:rPr>
        <w:t>2</w:t>
      </w:r>
      <w:r w:rsidRPr="00D02985">
        <w:rPr>
          <w:color w:val="000000"/>
        </w:rPr>
        <w:t>) son las únicas proteínas no</w:t>
      </w:r>
      <w:r w:rsidRPr="00D02985">
        <w:rPr>
          <w:rFonts w:ascii="Cambria Math" w:hAnsi="Cambria Math" w:cs="Cambria Math"/>
          <w:color w:val="000000"/>
        </w:rPr>
        <w:t>‑</w:t>
      </w:r>
      <w:r w:rsidRPr="00D02985">
        <w:rPr>
          <w:color w:val="000000"/>
        </w:rPr>
        <w:t>IFN seleccionadas, con signo opuesto al de IFN</w:t>
      </w:r>
      <w:r w:rsidRPr="00D02985">
        <w:rPr>
          <w:rFonts w:ascii="Cambria Math" w:hAnsi="Cambria Math" w:cs="Cambria Math"/>
          <w:color w:val="000000"/>
        </w:rPr>
        <w:t>‑</w:t>
      </w:r>
      <w:r w:rsidRPr="00D02985">
        <w:rPr>
          <w:color w:val="000000"/>
        </w:rPr>
        <w:t xml:space="preserve">α, reflejando la relación inversa clásica entre activación del </w:t>
      </w:r>
      <w:proofErr w:type="spellStart"/>
      <w:r w:rsidRPr="00D02985">
        <w:rPr>
          <w:color w:val="000000"/>
        </w:rPr>
        <w:t>interferon</w:t>
      </w:r>
      <w:proofErr w:type="spellEnd"/>
      <w:r w:rsidRPr="00D02985">
        <w:rPr>
          <w:color w:val="000000"/>
        </w:rPr>
        <w:t xml:space="preserve"> y consumo de complemento en el LES activo. El modelo SLE</w:t>
      </w:r>
      <w:r w:rsidRPr="00D02985">
        <w:rPr>
          <w:rFonts w:ascii="Cambria Math" w:hAnsi="Cambria Math" w:cs="Cambria Math"/>
          <w:color w:val="000000"/>
        </w:rPr>
        <w:t>‑</w:t>
      </w:r>
      <w:r w:rsidRPr="00D02985">
        <w:rPr>
          <w:color w:val="000000"/>
        </w:rPr>
        <w:t>DAS es el único en el que se seleccionan marcadores del metabolismo lipídico Apo A</w:t>
      </w:r>
      <w:r w:rsidRPr="00D02985">
        <w:rPr>
          <w:rFonts w:ascii="Cambria Math" w:hAnsi="Cambria Math" w:cs="Cambria Math"/>
          <w:color w:val="000000"/>
        </w:rPr>
        <w:t>‑</w:t>
      </w:r>
      <w:r w:rsidRPr="00D02985">
        <w:rPr>
          <w:color w:val="000000"/>
        </w:rPr>
        <w:t>I (</w:t>
      </w:r>
      <w:proofErr w:type="spellStart"/>
      <w:r w:rsidRPr="00D02985">
        <w:rPr>
          <w:color w:val="000000"/>
        </w:rPr>
        <w:t>loading</w:t>
      </w:r>
      <w:proofErr w:type="spellEnd"/>
      <w:r w:rsidRPr="00D02985">
        <w:rPr>
          <w:color w:val="000000"/>
        </w:rPr>
        <w:t xml:space="preserve"> =</w:t>
      </w:r>
      <w:r>
        <w:rPr>
          <w:color w:val="000000"/>
        </w:rPr>
        <w:t xml:space="preserve"> </w:t>
      </w:r>
      <w:r w:rsidRPr="00D02985">
        <w:rPr>
          <w:color w:val="000000"/>
        </w:rPr>
        <w:t>−0,42) y HDL (</w:t>
      </w:r>
      <w:proofErr w:type="spellStart"/>
      <w:r w:rsidRPr="00D02985">
        <w:rPr>
          <w:color w:val="000000"/>
        </w:rPr>
        <w:t>loading</w:t>
      </w:r>
      <w:proofErr w:type="spellEnd"/>
      <w:r w:rsidRPr="00D02985">
        <w:rPr>
          <w:color w:val="000000"/>
        </w:rPr>
        <w:t xml:space="preserve"> =−0,22), coherente con la hipoalfalipoproteinemia descrita en la actividad lúpica.</w:t>
      </w:r>
    </w:p>
    <w:p w14:paraId="4BB6B9D7" w14:textId="77777777" w:rsidR="00D02985" w:rsidRPr="00D02985" w:rsidRDefault="00D02985" w:rsidP="00D02985">
      <w:pPr>
        <w:pBdr>
          <w:top w:val="nil"/>
          <w:left w:val="nil"/>
          <w:bottom w:val="nil"/>
          <w:right w:val="nil"/>
          <w:between w:val="nil"/>
        </w:pBdr>
        <w:spacing w:before="120" w:after="120"/>
        <w:rPr>
          <w:color w:val="000000"/>
        </w:rPr>
      </w:pPr>
      <w:r w:rsidRPr="00D02985">
        <w:rPr>
          <w:color w:val="000000"/>
        </w:rPr>
        <w:t>El modelo SLICC/SDI añade la creatinina (</w:t>
      </w:r>
      <w:proofErr w:type="spellStart"/>
      <w:r w:rsidR="002F34B9" w:rsidRPr="00D02985">
        <w:rPr>
          <w:color w:val="000000"/>
        </w:rPr>
        <w:t>loading</w:t>
      </w:r>
      <w:proofErr w:type="spellEnd"/>
      <w:r w:rsidR="002F34B9" w:rsidRPr="00D02985">
        <w:rPr>
          <w:color w:val="000000"/>
        </w:rPr>
        <w:t xml:space="preserve"> =</w:t>
      </w:r>
      <w:r w:rsidRPr="00D02985">
        <w:rPr>
          <w:color w:val="000000"/>
        </w:rPr>
        <w:t>−0,44) como segundo marcador en magnitud, lo que refleja de forma biológicamente interpretable la dimensión de daño renal crónico propia de este índice.</w:t>
      </w:r>
    </w:p>
    <w:p w14:paraId="3C045A20" w14:textId="77777777" w:rsidR="00D02985" w:rsidRPr="00D02985" w:rsidRDefault="00D02985" w:rsidP="00D02985">
      <w:pPr>
        <w:pBdr>
          <w:top w:val="nil"/>
          <w:left w:val="nil"/>
          <w:bottom w:val="nil"/>
          <w:right w:val="nil"/>
          <w:between w:val="nil"/>
        </w:pBdr>
        <w:spacing w:before="120" w:after="120"/>
        <w:rPr>
          <w:color w:val="000000"/>
        </w:rPr>
      </w:pPr>
      <w:r w:rsidRPr="00D02985">
        <w:rPr>
          <w:color w:val="000000"/>
        </w:rPr>
        <w:t>Los modelos DORIS y remisión estricta comparten la selección de BAFF (</w:t>
      </w:r>
      <w:proofErr w:type="spellStart"/>
      <w:r w:rsidR="002F34B9" w:rsidRPr="00D02985">
        <w:rPr>
          <w:color w:val="000000"/>
        </w:rPr>
        <w:t>loading</w:t>
      </w:r>
      <w:proofErr w:type="spellEnd"/>
      <w:r w:rsidR="002F34B9" w:rsidRPr="00D02985">
        <w:rPr>
          <w:color w:val="000000"/>
        </w:rPr>
        <w:t xml:space="preserve"> =</w:t>
      </w:r>
      <w:r w:rsidRPr="00D02985">
        <w:rPr>
          <w:color w:val="000000"/>
        </w:rPr>
        <w:t xml:space="preserve"> 0,28 y −0,40</w:t>
      </w:r>
      <w:r w:rsidR="002F34B9">
        <w:rPr>
          <w:color w:val="000000"/>
        </w:rPr>
        <w:t xml:space="preserve"> </w:t>
      </w:r>
      <w:r w:rsidRPr="00D02985">
        <w:rPr>
          <w:color w:val="000000"/>
        </w:rPr>
        <w:t>respectivamente), capturando la señalización de supervivencia de células B que distingue los estados de remisión profunda de los de actividad.</w:t>
      </w:r>
    </w:p>
    <w:p w14:paraId="0E02627B" w14:textId="77777777" w:rsidR="00D02985" w:rsidRPr="00D02985" w:rsidRDefault="00D02985" w:rsidP="00D02985">
      <w:pPr>
        <w:pBdr>
          <w:top w:val="nil"/>
          <w:left w:val="nil"/>
          <w:bottom w:val="nil"/>
          <w:right w:val="nil"/>
          <w:between w:val="nil"/>
        </w:pBdr>
        <w:spacing w:before="120" w:after="120"/>
        <w:rPr>
          <w:color w:val="000000"/>
        </w:rPr>
      </w:pPr>
      <w:r w:rsidRPr="00D02985">
        <w:rPr>
          <w:color w:val="000000"/>
        </w:rPr>
        <w:t>El modelo DORIS es además el que selecciona el mayor número de proteínas (</w:t>
      </w:r>
      <w:proofErr w:type="spellStart"/>
      <w:r w:rsidRPr="00D02985">
        <w:rPr>
          <w:color w:val="000000"/>
        </w:rPr>
        <w:t>keepX</w:t>
      </w:r>
      <w:proofErr w:type="spellEnd"/>
      <w:r w:rsidRPr="00D02985">
        <w:rPr>
          <w:color w:val="000000"/>
        </w:rPr>
        <w:t xml:space="preserve"> = 12), incluyendo IL</w:t>
      </w:r>
      <w:r w:rsidRPr="00D02985">
        <w:rPr>
          <w:rFonts w:ascii="Cambria Math" w:hAnsi="Cambria Math" w:cs="Cambria Math"/>
          <w:color w:val="000000"/>
        </w:rPr>
        <w:t>‑</w:t>
      </w:r>
      <w:r w:rsidRPr="00D02985">
        <w:rPr>
          <w:color w:val="000000"/>
        </w:rPr>
        <w:t>2, cociente Apo B/A</w:t>
      </w:r>
      <w:r w:rsidRPr="00D02985">
        <w:rPr>
          <w:rFonts w:ascii="Cambria Math" w:hAnsi="Cambria Math" w:cs="Cambria Math"/>
          <w:color w:val="000000"/>
        </w:rPr>
        <w:t>‑</w:t>
      </w:r>
      <w:r w:rsidRPr="00D02985">
        <w:rPr>
          <w:color w:val="000000"/>
        </w:rPr>
        <w:t xml:space="preserve">I y PCR, lo que refleja la heterogeneidad biológica del estado </w:t>
      </w:r>
      <w:r w:rsidRPr="00D02985">
        <w:rPr>
          <w:color w:val="000000"/>
        </w:rPr>
        <w:lastRenderedPageBreak/>
        <w:t>DORIS, que integra dimensiones inflamatorias, metabólicas y de activación linfoide no capturadas por los índices de actividad más parsimoniosos.</w:t>
      </w:r>
    </w:p>
    <w:p w14:paraId="0C88CEE5" w14:textId="77777777" w:rsidR="00D02985" w:rsidRPr="00D02985" w:rsidRDefault="00D02985" w:rsidP="00D02985">
      <w:pPr>
        <w:pBdr>
          <w:top w:val="nil"/>
          <w:left w:val="nil"/>
          <w:bottom w:val="nil"/>
          <w:right w:val="nil"/>
          <w:between w:val="nil"/>
        </w:pBdr>
        <w:spacing w:before="120" w:after="120"/>
        <w:rPr>
          <w:color w:val="000000"/>
        </w:rPr>
      </w:pPr>
      <w:r w:rsidRPr="00D02985">
        <w:rPr>
          <w:color w:val="000000"/>
        </w:rPr>
        <w:t>En conjunto, el bloque proteómico refuerza la firma IFN tipo I identificada en el bloque transcriptómico, pero añade capas de información biológica específicas de cada variable respuesta: consumo de complemento (SLEDAI</w:t>
      </w:r>
      <w:r w:rsidRPr="00D02985">
        <w:rPr>
          <w:rFonts w:ascii="Cambria Math" w:hAnsi="Cambria Math" w:cs="Cambria Math"/>
          <w:color w:val="000000"/>
        </w:rPr>
        <w:t>‑</w:t>
      </w:r>
      <w:r w:rsidRPr="00D02985">
        <w:rPr>
          <w:color w:val="000000"/>
        </w:rPr>
        <w:t>2K), dislipemia inflamatoria (SLE</w:t>
      </w:r>
      <w:r w:rsidRPr="00D02985">
        <w:rPr>
          <w:rFonts w:ascii="Cambria Math" w:hAnsi="Cambria Math" w:cs="Cambria Math"/>
          <w:color w:val="000000"/>
        </w:rPr>
        <w:t>‑</w:t>
      </w:r>
      <w:r w:rsidRPr="00D02985">
        <w:rPr>
          <w:color w:val="000000"/>
        </w:rPr>
        <w:t>DAS), daño renal (SLICC/SDI) y señalización de células B (DORIS y remisión estricta).</w:t>
      </w:r>
    </w:p>
    <w:p w14:paraId="7775E23B" w14:textId="77777777" w:rsidR="00097466" w:rsidRDefault="00000000">
      <w:pPr>
        <w:pStyle w:val="Ttulo3"/>
        <w:numPr>
          <w:ilvl w:val="2"/>
          <w:numId w:val="17"/>
        </w:numPr>
      </w:pPr>
      <w:r>
        <w:t>Evaluación del modelo: tasa de error y capacidad discriminativa</w:t>
      </w:r>
    </w:p>
    <w:p w14:paraId="0074F6BC" w14:textId="77777777" w:rsidR="00104526" w:rsidRDefault="00104526" w:rsidP="00104526">
      <w:pPr>
        <w:pStyle w:val="Ttulo4"/>
        <w:numPr>
          <w:ilvl w:val="3"/>
          <w:numId w:val="17"/>
        </w:numPr>
      </w:pPr>
      <w:r>
        <w:t xml:space="preserve">AUROC por bloque </w:t>
      </w:r>
      <w:proofErr w:type="spellStart"/>
      <w:r>
        <w:t>ómico</w:t>
      </w:r>
      <w:proofErr w:type="spellEnd"/>
      <w:r>
        <w:t xml:space="preserve"> y componente</w:t>
      </w:r>
    </w:p>
    <w:p w14:paraId="222A432B" w14:textId="45DFB870" w:rsidR="00104526" w:rsidRDefault="00104526" w:rsidP="00104526">
      <w:r>
        <w:t xml:space="preserve">Los valores de AUROC de los cinco modelos DIABLO, estimados mediante la función </w:t>
      </w:r>
      <w:proofErr w:type="spellStart"/>
      <w:r>
        <w:t>auroc</w:t>
      </w:r>
      <w:proofErr w:type="spellEnd"/>
      <w:r>
        <w:t xml:space="preserve"> de </w:t>
      </w:r>
      <w:proofErr w:type="spellStart"/>
      <w:r>
        <w:t>mixOmics</w:t>
      </w:r>
      <w:proofErr w:type="spellEnd"/>
      <w:r>
        <w:t xml:space="preserve"> con validación cruzada M-</w:t>
      </w:r>
      <w:proofErr w:type="spellStart"/>
      <w:r>
        <w:t>fold</w:t>
      </w:r>
      <w:proofErr w:type="spellEnd"/>
      <w:r>
        <w:t xml:space="preserve"> (M = 5, 10 repeticiones), se presentan en la Tabla 4</w:t>
      </w:r>
      <w:r w:rsidR="00A65E05">
        <w:t>0</w:t>
      </w:r>
      <w:r>
        <w:t>. En ningún modelo se alcanzó un AUROC ≥ 0,70 (rendimiento moderado), situándose todos los valores en el rango de discriminación baja (0,60–0,69) o nula (&lt;0,60). Esto</w:t>
      </w:r>
      <w:r w:rsidRPr="00C544C6">
        <w:t xml:space="preserve"> indica que la firma multi</w:t>
      </w:r>
      <w:r w:rsidRPr="00C544C6">
        <w:rPr>
          <w:rFonts w:ascii="Cambria Math" w:hAnsi="Cambria Math" w:cs="Cambria Math"/>
        </w:rPr>
        <w:t>‑</w:t>
      </w:r>
      <w:proofErr w:type="spellStart"/>
      <w:r w:rsidRPr="00C544C6">
        <w:t>ómica</w:t>
      </w:r>
      <w:proofErr w:type="spellEnd"/>
      <w:r w:rsidRPr="00C544C6">
        <w:t xml:space="preserve"> del Componente 1 captura estructura biológica relevante pero no es suficiente, por sí sola, para clasificar con alta precisión los estados clínicos definidos por los índices evaluados.</w:t>
      </w:r>
    </w:p>
    <w:tbl>
      <w:tblPr>
        <w:tblStyle w:val="aff2"/>
        <w:tblW w:w="8485" w:type="dxa"/>
        <w:tblInd w:w="0" w:type="dxa"/>
        <w:tblLayout w:type="fixed"/>
        <w:tblLook w:val="0400" w:firstRow="0" w:lastRow="0" w:firstColumn="0" w:lastColumn="0" w:noHBand="0" w:noVBand="1"/>
      </w:tblPr>
      <w:tblGrid>
        <w:gridCol w:w="1697"/>
        <w:gridCol w:w="1697"/>
        <w:gridCol w:w="1697"/>
        <w:gridCol w:w="1697"/>
        <w:gridCol w:w="1697"/>
      </w:tblGrid>
      <w:tr w:rsidR="00104526" w14:paraId="0CEF46F3" w14:textId="77777777" w:rsidTr="00B93521">
        <w:trPr>
          <w:trHeight w:val="397"/>
        </w:trPr>
        <w:tc>
          <w:tcPr>
            <w:tcW w:w="1697"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4A5F9D4A" w14:textId="77777777" w:rsidR="00104526" w:rsidRDefault="00104526" w:rsidP="00B93521">
            <w:pPr>
              <w:spacing w:before="0" w:after="0" w:line="240" w:lineRule="auto"/>
              <w:jc w:val="left"/>
              <w:rPr>
                <w:b/>
                <w:bCs/>
                <w:color w:val="000000"/>
                <w:sz w:val="20"/>
                <w:szCs w:val="20"/>
              </w:rPr>
            </w:pPr>
            <w:r>
              <w:rPr>
                <w:b/>
                <w:bCs/>
                <w:color w:val="000000"/>
                <w:sz w:val="20"/>
                <w:szCs w:val="20"/>
              </w:rPr>
              <w:t>Desenlace</w:t>
            </w:r>
          </w:p>
        </w:tc>
        <w:tc>
          <w:tcPr>
            <w:tcW w:w="1697" w:type="dxa"/>
            <w:tcBorders>
              <w:top w:val="single" w:sz="8" w:space="0" w:color="DDDDDD"/>
              <w:left w:val="nil"/>
              <w:bottom w:val="single" w:sz="8" w:space="0" w:color="DDDDDD"/>
              <w:right w:val="single" w:sz="8" w:space="0" w:color="DDDDDD"/>
            </w:tcBorders>
            <w:shd w:val="clear" w:color="auto" w:fill="F2F2F2"/>
            <w:vAlign w:val="center"/>
          </w:tcPr>
          <w:p w14:paraId="51220EF7" w14:textId="77777777" w:rsidR="00104526" w:rsidRDefault="00104526" w:rsidP="00B93521">
            <w:pPr>
              <w:spacing w:before="0" w:after="0" w:line="240" w:lineRule="auto"/>
              <w:jc w:val="left"/>
              <w:rPr>
                <w:b/>
                <w:bCs/>
                <w:color w:val="000000"/>
                <w:sz w:val="20"/>
                <w:szCs w:val="20"/>
              </w:rPr>
            </w:pPr>
            <w:r>
              <w:rPr>
                <w:b/>
                <w:bCs/>
                <w:color w:val="000000"/>
                <w:sz w:val="20"/>
                <w:szCs w:val="20"/>
              </w:rPr>
              <w:t>Trans Comp1</w:t>
            </w:r>
          </w:p>
        </w:tc>
        <w:tc>
          <w:tcPr>
            <w:tcW w:w="1697" w:type="dxa"/>
            <w:tcBorders>
              <w:top w:val="single" w:sz="8" w:space="0" w:color="DDDDDD"/>
              <w:left w:val="nil"/>
              <w:bottom w:val="single" w:sz="8" w:space="0" w:color="DDDDDD"/>
              <w:right w:val="single" w:sz="8" w:space="0" w:color="DDDDDD"/>
            </w:tcBorders>
            <w:shd w:val="clear" w:color="auto" w:fill="F2F2F2"/>
            <w:vAlign w:val="center"/>
          </w:tcPr>
          <w:p w14:paraId="22A4EB41" w14:textId="77777777" w:rsidR="00104526" w:rsidRDefault="00104526" w:rsidP="00B93521">
            <w:pPr>
              <w:spacing w:before="0" w:after="0" w:line="240" w:lineRule="auto"/>
              <w:jc w:val="left"/>
              <w:rPr>
                <w:b/>
                <w:bCs/>
                <w:color w:val="000000"/>
                <w:sz w:val="20"/>
                <w:szCs w:val="20"/>
              </w:rPr>
            </w:pPr>
            <w:r>
              <w:rPr>
                <w:b/>
                <w:bCs/>
                <w:color w:val="000000"/>
                <w:sz w:val="20"/>
                <w:szCs w:val="20"/>
              </w:rPr>
              <w:t>Trans Comp2</w:t>
            </w:r>
          </w:p>
        </w:tc>
        <w:tc>
          <w:tcPr>
            <w:tcW w:w="1697" w:type="dxa"/>
            <w:tcBorders>
              <w:top w:val="single" w:sz="8" w:space="0" w:color="DDDDDD"/>
              <w:left w:val="nil"/>
              <w:bottom w:val="single" w:sz="8" w:space="0" w:color="DDDDDD"/>
              <w:right w:val="single" w:sz="8" w:space="0" w:color="DDDDDD"/>
            </w:tcBorders>
            <w:shd w:val="clear" w:color="auto" w:fill="F2F2F2"/>
            <w:vAlign w:val="center"/>
          </w:tcPr>
          <w:p w14:paraId="2BE1E811" w14:textId="77777777" w:rsidR="00104526" w:rsidRDefault="00104526" w:rsidP="00B93521">
            <w:pPr>
              <w:spacing w:before="0" w:after="0" w:line="240" w:lineRule="auto"/>
              <w:jc w:val="left"/>
              <w:rPr>
                <w:b/>
                <w:bCs/>
                <w:color w:val="000000"/>
                <w:sz w:val="20"/>
                <w:szCs w:val="20"/>
              </w:rPr>
            </w:pPr>
            <w:proofErr w:type="spellStart"/>
            <w:r>
              <w:rPr>
                <w:b/>
                <w:bCs/>
                <w:color w:val="000000"/>
                <w:sz w:val="20"/>
                <w:szCs w:val="20"/>
              </w:rPr>
              <w:t>Prot</w:t>
            </w:r>
            <w:proofErr w:type="spellEnd"/>
            <w:r>
              <w:rPr>
                <w:b/>
                <w:bCs/>
                <w:color w:val="000000"/>
                <w:sz w:val="20"/>
                <w:szCs w:val="20"/>
              </w:rPr>
              <w:t xml:space="preserve"> Comp1</w:t>
            </w:r>
          </w:p>
        </w:tc>
        <w:tc>
          <w:tcPr>
            <w:tcW w:w="1697" w:type="dxa"/>
            <w:tcBorders>
              <w:top w:val="single" w:sz="8" w:space="0" w:color="DDDDDD"/>
              <w:left w:val="nil"/>
              <w:bottom w:val="single" w:sz="8" w:space="0" w:color="DDDDDD"/>
              <w:right w:val="single" w:sz="8" w:space="0" w:color="DDDDDD"/>
            </w:tcBorders>
            <w:shd w:val="clear" w:color="auto" w:fill="F2F2F2"/>
            <w:vAlign w:val="center"/>
          </w:tcPr>
          <w:p w14:paraId="1490AAA5" w14:textId="77777777" w:rsidR="00104526" w:rsidRDefault="00104526" w:rsidP="00B93521">
            <w:pPr>
              <w:spacing w:before="0" w:after="0" w:line="240" w:lineRule="auto"/>
              <w:jc w:val="left"/>
              <w:rPr>
                <w:b/>
                <w:bCs/>
                <w:color w:val="000000"/>
                <w:sz w:val="20"/>
                <w:szCs w:val="20"/>
              </w:rPr>
            </w:pPr>
            <w:proofErr w:type="spellStart"/>
            <w:r>
              <w:rPr>
                <w:b/>
                <w:bCs/>
                <w:color w:val="000000"/>
                <w:sz w:val="20"/>
                <w:szCs w:val="20"/>
              </w:rPr>
              <w:t>Prot</w:t>
            </w:r>
            <w:proofErr w:type="spellEnd"/>
            <w:r>
              <w:rPr>
                <w:b/>
                <w:bCs/>
                <w:color w:val="000000"/>
                <w:sz w:val="20"/>
                <w:szCs w:val="20"/>
              </w:rPr>
              <w:t xml:space="preserve"> Comp2</w:t>
            </w:r>
          </w:p>
        </w:tc>
      </w:tr>
      <w:tr w:rsidR="00104526" w14:paraId="23C04A32" w14:textId="77777777" w:rsidTr="00B93521">
        <w:trPr>
          <w:trHeight w:val="397"/>
        </w:trPr>
        <w:tc>
          <w:tcPr>
            <w:tcW w:w="1697" w:type="dxa"/>
            <w:tcBorders>
              <w:top w:val="nil"/>
              <w:left w:val="single" w:sz="8" w:space="0" w:color="DDDDDD"/>
              <w:bottom w:val="single" w:sz="8" w:space="0" w:color="DDDDDD"/>
              <w:right w:val="single" w:sz="8" w:space="0" w:color="DDDDDD"/>
            </w:tcBorders>
            <w:shd w:val="clear" w:color="auto" w:fill="auto"/>
            <w:vAlign w:val="center"/>
          </w:tcPr>
          <w:p w14:paraId="528184EF" w14:textId="77777777" w:rsidR="00104526" w:rsidRDefault="00104526" w:rsidP="00B93521">
            <w:pPr>
              <w:spacing w:before="0" w:after="0" w:line="240" w:lineRule="auto"/>
              <w:jc w:val="left"/>
              <w:rPr>
                <w:color w:val="000000"/>
                <w:sz w:val="20"/>
                <w:szCs w:val="20"/>
              </w:rPr>
            </w:pPr>
            <w:r>
              <w:rPr>
                <w:color w:val="000000"/>
                <w:sz w:val="20"/>
                <w:szCs w:val="20"/>
              </w:rPr>
              <w:t>SLEDAI-2K</w:t>
            </w:r>
          </w:p>
        </w:tc>
        <w:tc>
          <w:tcPr>
            <w:tcW w:w="1697" w:type="dxa"/>
            <w:tcBorders>
              <w:top w:val="nil"/>
              <w:left w:val="nil"/>
              <w:bottom w:val="single" w:sz="8" w:space="0" w:color="DDDDDD"/>
              <w:right w:val="single" w:sz="8" w:space="0" w:color="DDDDDD"/>
            </w:tcBorders>
            <w:shd w:val="clear" w:color="auto" w:fill="auto"/>
            <w:vAlign w:val="center"/>
          </w:tcPr>
          <w:p w14:paraId="4DD5A88E" w14:textId="77777777" w:rsidR="00104526" w:rsidRDefault="00104526" w:rsidP="00B93521">
            <w:pPr>
              <w:spacing w:before="0" w:after="0" w:line="240" w:lineRule="auto"/>
              <w:jc w:val="left"/>
              <w:rPr>
                <w:color w:val="000000"/>
                <w:sz w:val="20"/>
                <w:szCs w:val="20"/>
              </w:rPr>
            </w:pPr>
            <w:r>
              <w:rPr>
                <w:color w:val="000000"/>
                <w:sz w:val="20"/>
                <w:szCs w:val="20"/>
              </w:rPr>
              <w:t>0,592 (SD)</w:t>
            </w:r>
          </w:p>
        </w:tc>
        <w:tc>
          <w:tcPr>
            <w:tcW w:w="1697" w:type="dxa"/>
            <w:tcBorders>
              <w:top w:val="nil"/>
              <w:left w:val="nil"/>
              <w:bottom w:val="single" w:sz="8" w:space="0" w:color="DDDDDD"/>
              <w:right w:val="single" w:sz="8" w:space="0" w:color="DDDDDD"/>
            </w:tcBorders>
            <w:shd w:val="clear" w:color="auto" w:fill="auto"/>
            <w:vAlign w:val="center"/>
          </w:tcPr>
          <w:p w14:paraId="18B0205D" w14:textId="6E87799B" w:rsidR="00104526" w:rsidRDefault="00104526" w:rsidP="00B93521">
            <w:pPr>
              <w:spacing w:before="0" w:after="0" w:line="240" w:lineRule="auto"/>
              <w:jc w:val="left"/>
              <w:rPr>
                <w:color w:val="000000"/>
                <w:sz w:val="20"/>
                <w:szCs w:val="20"/>
              </w:rPr>
            </w:pPr>
            <w:r>
              <w:rPr>
                <w:color w:val="000000"/>
                <w:sz w:val="20"/>
                <w:szCs w:val="20"/>
              </w:rPr>
              <w:t>0,6</w:t>
            </w:r>
            <w:r w:rsidR="00DA7151">
              <w:rPr>
                <w:color w:val="000000"/>
                <w:sz w:val="20"/>
                <w:szCs w:val="20"/>
              </w:rPr>
              <w:t>59</w:t>
            </w:r>
            <w:r>
              <w:rPr>
                <w:color w:val="000000"/>
                <w:sz w:val="20"/>
                <w:szCs w:val="20"/>
              </w:rPr>
              <w:t xml:space="preserve"> (B)</w:t>
            </w:r>
          </w:p>
        </w:tc>
        <w:tc>
          <w:tcPr>
            <w:tcW w:w="1697" w:type="dxa"/>
            <w:tcBorders>
              <w:top w:val="nil"/>
              <w:left w:val="nil"/>
              <w:bottom w:val="single" w:sz="8" w:space="0" w:color="DDDDDD"/>
              <w:right w:val="single" w:sz="8" w:space="0" w:color="DDDDDD"/>
            </w:tcBorders>
            <w:shd w:val="clear" w:color="auto" w:fill="auto"/>
            <w:vAlign w:val="center"/>
          </w:tcPr>
          <w:p w14:paraId="37D63BEB" w14:textId="0C5196C7" w:rsidR="00104526" w:rsidRDefault="00104526" w:rsidP="00B93521">
            <w:pPr>
              <w:spacing w:before="0" w:after="0" w:line="240" w:lineRule="auto"/>
              <w:jc w:val="left"/>
              <w:rPr>
                <w:color w:val="000000"/>
                <w:sz w:val="20"/>
                <w:szCs w:val="20"/>
              </w:rPr>
            </w:pPr>
            <w:r>
              <w:rPr>
                <w:color w:val="000000"/>
                <w:sz w:val="20"/>
                <w:szCs w:val="20"/>
              </w:rPr>
              <w:t>0,6</w:t>
            </w:r>
            <w:r w:rsidR="00DA7151">
              <w:rPr>
                <w:color w:val="000000"/>
                <w:sz w:val="20"/>
                <w:szCs w:val="20"/>
              </w:rPr>
              <w:t>47</w:t>
            </w:r>
            <w:r>
              <w:rPr>
                <w:color w:val="000000"/>
                <w:sz w:val="20"/>
                <w:szCs w:val="20"/>
              </w:rPr>
              <w:t xml:space="preserve"> (B)</w:t>
            </w:r>
          </w:p>
        </w:tc>
        <w:tc>
          <w:tcPr>
            <w:tcW w:w="1697" w:type="dxa"/>
            <w:tcBorders>
              <w:top w:val="nil"/>
              <w:left w:val="nil"/>
              <w:bottom w:val="single" w:sz="8" w:space="0" w:color="DDDDDD"/>
              <w:right w:val="single" w:sz="8" w:space="0" w:color="DDDDDD"/>
            </w:tcBorders>
            <w:shd w:val="clear" w:color="auto" w:fill="auto"/>
            <w:vAlign w:val="center"/>
          </w:tcPr>
          <w:p w14:paraId="30C57FB0" w14:textId="5E5A55E5" w:rsidR="00104526" w:rsidRDefault="00104526" w:rsidP="00B93521">
            <w:pPr>
              <w:spacing w:before="0" w:after="0" w:line="240" w:lineRule="auto"/>
              <w:jc w:val="left"/>
              <w:rPr>
                <w:color w:val="000000"/>
                <w:sz w:val="20"/>
                <w:szCs w:val="20"/>
              </w:rPr>
            </w:pPr>
            <w:r>
              <w:rPr>
                <w:color w:val="000000"/>
                <w:sz w:val="20"/>
                <w:szCs w:val="20"/>
              </w:rPr>
              <w:t>0,6</w:t>
            </w:r>
            <w:r w:rsidR="00DA7151">
              <w:rPr>
                <w:color w:val="000000"/>
                <w:sz w:val="20"/>
                <w:szCs w:val="20"/>
              </w:rPr>
              <w:t xml:space="preserve">90 </w:t>
            </w:r>
            <w:r>
              <w:rPr>
                <w:color w:val="000000"/>
                <w:sz w:val="20"/>
                <w:szCs w:val="20"/>
              </w:rPr>
              <w:t>(B)</w:t>
            </w:r>
          </w:p>
        </w:tc>
      </w:tr>
      <w:tr w:rsidR="00104526" w14:paraId="00498153" w14:textId="77777777" w:rsidTr="00B93521">
        <w:trPr>
          <w:trHeight w:val="397"/>
        </w:trPr>
        <w:tc>
          <w:tcPr>
            <w:tcW w:w="1697" w:type="dxa"/>
            <w:tcBorders>
              <w:top w:val="nil"/>
              <w:left w:val="single" w:sz="8" w:space="0" w:color="DDDDDD"/>
              <w:bottom w:val="single" w:sz="8" w:space="0" w:color="DDDDDD"/>
              <w:right w:val="single" w:sz="8" w:space="0" w:color="DDDDDD"/>
            </w:tcBorders>
            <w:shd w:val="clear" w:color="auto" w:fill="auto"/>
            <w:vAlign w:val="center"/>
          </w:tcPr>
          <w:p w14:paraId="22EB300A" w14:textId="77777777" w:rsidR="00104526" w:rsidRDefault="00104526" w:rsidP="00B93521">
            <w:pPr>
              <w:spacing w:before="0" w:after="0" w:line="240" w:lineRule="auto"/>
              <w:jc w:val="left"/>
              <w:rPr>
                <w:color w:val="000000"/>
                <w:sz w:val="20"/>
                <w:szCs w:val="20"/>
              </w:rPr>
            </w:pPr>
            <w:r>
              <w:rPr>
                <w:color w:val="000000"/>
                <w:sz w:val="20"/>
                <w:szCs w:val="20"/>
              </w:rPr>
              <w:t>SLE-DAS</w:t>
            </w:r>
          </w:p>
        </w:tc>
        <w:tc>
          <w:tcPr>
            <w:tcW w:w="1697" w:type="dxa"/>
            <w:tcBorders>
              <w:top w:val="nil"/>
              <w:left w:val="nil"/>
              <w:bottom w:val="single" w:sz="8" w:space="0" w:color="DDDDDD"/>
              <w:right w:val="single" w:sz="8" w:space="0" w:color="DDDDDD"/>
            </w:tcBorders>
            <w:shd w:val="clear" w:color="auto" w:fill="auto"/>
            <w:vAlign w:val="center"/>
          </w:tcPr>
          <w:p w14:paraId="339EBB3D" w14:textId="77777777" w:rsidR="00104526" w:rsidRDefault="00104526" w:rsidP="00B93521">
            <w:pPr>
              <w:spacing w:before="0" w:after="0" w:line="240" w:lineRule="auto"/>
              <w:jc w:val="left"/>
              <w:rPr>
                <w:color w:val="000000"/>
                <w:sz w:val="20"/>
                <w:szCs w:val="20"/>
              </w:rPr>
            </w:pPr>
            <w:r>
              <w:rPr>
                <w:color w:val="000000"/>
                <w:sz w:val="20"/>
                <w:szCs w:val="20"/>
              </w:rPr>
              <w:t>0,620 (B)</w:t>
            </w:r>
          </w:p>
        </w:tc>
        <w:tc>
          <w:tcPr>
            <w:tcW w:w="1697" w:type="dxa"/>
            <w:tcBorders>
              <w:top w:val="nil"/>
              <w:left w:val="nil"/>
              <w:bottom w:val="single" w:sz="8" w:space="0" w:color="DDDDDD"/>
              <w:right w:val="single" w:sz="8" w:space="0" w:color="DDDDDD"/>
            </w:tcBorders>
            <w:shd w:val="clear" w:color="auto" w:fill="auto"/>
            <w:vAlign w:val="center"/>
          </w:tcPr>
          <w:p w14:paraId="6B81D133" w14:textId="77777777" w:rsidR="00104526" w:rsidRDefault="00104526" w:rsidP="00B93521">
            <w:pPr>
              <w:spacing w:before="0" w:after="0" w:line="240" w:lineRule="auto"/>
              <w:jc w:val="left"/>
              <w:rPr>
                <w:color w:val="000000"/>
                <w:sz w:val="20"/>
                <w:szCs w:val="20"/>
              </w:rPr>
            </w:pPr>
            <w:r>
              <w:rPr>
                <w:color w:val="000000"/>
                <w:sz w:val="20"/>
                <w:szCs w:val="20"/>
              </w:rPr>
              <w:t>0,566 (SD)</w:t>
            </w:r>
          </w:p>
        </w:tc>
        <w:tc>
          <w:tcPr>
            <w:tcW w:w="1697" w:type="dxa"/>
            <w:tcBorders>
              <w:top w:val="nil"/>
              <w:left w:val="nil"/>
              <w:bottom w:val="single" w:sz="8" w:space="0" w:color="DDDDDD"/>
              <w:right w:val="single" w:sz="8" w:space="0" w:color="DDDDDD"/>
            </w:tcBorders>
            <w:shd w:val="clear" w:color="auto" w:fill="auto"/>
            <w:vAlign w:val="center"/>
          </w:tcPr>
          <w:p w14:paraId="6E437AA6" w14:textId="77777777" w:rsidR="00104526" w:rsidRDefault="00104526" w:rsidP="00B93521">
            <w:pPr>
              <w:spacing w:before="0" w:after="0" w:line="240" w:lineRule="auto"/>
              <w:jc w:val="left"/>
              <w:rPr>
                <w:color w:val="000000"/>
                <w:sz w:val="20"/>
                <w:szCs w:val="20"/>
              </w:rPr>
            </w:pPr>
            <w:r>
              <w:rPr>
                <w:color w:val="000000"/>
                <w:sz w:val="20"/>
                <w:szCs w:val="20"/>
              </w:rPr>
              <w:t>0,650 (B)</w:t>
            </w:r>
          </w:p>
        </w:tc>
        <w:tc>
          <w:tcPr>
            <w:tcW w:w="1697" w:type="dxa"/>
            <w:tcBorders>
              <w:top w:val="nil"/>
              <w:left w:val="nil"/>
              <w:bottom w:val="single" w:sz="8" w:space="0" w:color="DDDDDD"/>
              <w:right w:val="single" w:sz="8" w:space="0" w:color="DDDDDD"/>
            </w:tcBorders>
            <w:shd w:val="clear" w:color="auto" w:fill="auto"/>
            <w:vAlign w:val="center"/>
          </w:tcPr>
          <w:p w14:paraId="2DC52C84" w14:textId="77777777" w:rsidR="00104526" w:rsidRDefault="00104526" w:rsidP="00B93521">
            <w:pPr>
              <w:spacing w:before="0" w:after="0" w:line="240" w:lineRule="auto"/>
              <w:jc w:val="left"/>
              <w:rPr>
                <w:color w:val="000000"/>
                <w:sz w:val="20"/>
                <w:szCs w:val="20"/>
              </w:rPr>
            </w:pPr>
            <w:r>
              <w:rPr>
                <w:color w:val="000000"/>
                <w:sz w:val="20"/>
                <w:szCs w:val="20"/>
              </w:rPr>
              <w:t>0,684 (B)</w:t>
            </w:r>
          </w:p>
        </w:tc>
      </w:tr>
      <w:tr w:rsidR="00104526" w14:paraId="081E4D50" w14:textId="77777777" w:rsidTr="00B93521">
        <w:trPr>
          <w:trHeight w:val="397"/>
        </w:trPr>
        <w:tc>
          <w:tcPr>
            <w:tcW w:w="1697" w:type="dxa"/>
            <w:tcBorders>
              <w:top w:val="nil"/>
              <w:left w:val="single" w:sz="8" w:space="0" w:color="DDDDDD"/>
              <w:bottom w:val="single" w:sz="8" w:space="0" w:color="DDDDDD"/>
              <w:right w:val="single" w:sz="8" w:space="0" w:color="DDDDDD"/>
            </w:tcBorders>
            <w:shd w:val="clear" w:color="auto" w:fill="auto"/>
            <w:vAlign w:val="center"/>
          </w:tcPr>
          <w:p w14:paraId="1EF2F790" w14:textId="77777777" w:rsidR="00104526" w:rsidRDefault="00104526" w:rsidP="00B93521">
            <w:pPr>
              <w:spacing w:before="0" w:after="0" w:line="240" w:lineRule="auto"/>
              <w:jc w:val="left"/>
              <w:rPr>
                <w:color w:val="000000"/>
                <w:sz w:val="20"/>
                <w:szCs w:val="20"/>
              </w:rPr>
            </w:pPr>
            <w:r>
              <w:rPr>
                <w:color w:val="000000"/>
                <w:sz w:val="20"/>
                <w:szCs w:val="20"/>
              </w:rPr>
              <w:t>SLICC/SDI</w:t>
            </w:r>
          </w:p>
        </w:tc>
        <w:tc>
          <w:tcPr>
            <w:tcW w:w="1697" w:type="dxa"/>
            <w:tcBorders>
              <w:top w:val="nil"/>
              <w:left w:val="nil"/>
              <w:bottom w:val="single" w:sz="8" w:space="0" w:color="DDDDDD"/>
              <w:right w:val="single" w:sz="8" w:space="0" w:color="DDDDDD"/>
            </w:tcBorders>
            <w:shd w:val="clear" w:color="auto" w:fill="auto"/>
            <w:vAlign w:val="center"/>
          </w:tcPr>
          <w:p w14:paraId="6A1021CF" w14:textId="77777777" w:rsidR="00104526" w:rsidRDefault="00104526" w:rsidP="00B93521">
            <w:pPr>
              <w:spacing w:before="0" w:after="0" w:line="240" w:lineRule="auto"/>
              <w:jc w:val="left"/>
              <w:rPr>
                <w:color w:val="000000"/>
                <w:sz w:val="20"/>
                <w:szCs w:val="20"/>
              </w:rPr>
            </w:pPr>
            <w:r>
              <w:rPr>
                <w:color w:val="000000"/>
                <w:sz w:val="20"/>
                <w:szCs w:val="20"/>
              </w:rPr>
              <w:t>0,601 (B)</w:t>
            </w:r>
          </w:p>
        </w:tc>
        <w:tc>
          <w:tcPr>
            <w:tcW w:w="1697" w:type="dxa"/>
            <w:tcBorders>
              <w:top w:val="nil"/>
              <w:left w:val="nil"/>
              <w:bottom w:val="single" w:sz="8" w:space="0" w:color="DDDDDD"/>
              <w:right w:val="single" w:sz="8" w:space="0" w:color="DDDDDD"/>
            </w:tcBorders>
            <w:shd w:val="clear" w:color="auto" w:fill="auto"/>
            <w:vAlign w:val="center"/>
          </w:tcPr>
          <w:p w14:paraId="07EDE9E7" w14:textId="77777777" w:rsidR="00104526" w:rsidRDefault="00104526" w:rsidP="00B93521">
            <w:pPr>
              <w:spacing w:before="0" w:after="0" w:line="240" w:lineRule="auto"/>
              <w:jc w:val="left"/>
              <w:rPr>
                <w:color w:val="000000"/>
                <w:sz w:val="20"/>
                <w:szCs w:val="20"/>
              </w:rPr>
            </w:pPr>
            <w:r>
              <w:rPr>
                <w:color w:val="000000"/>
                <w:sz w:val="20"/>
                <w:szCs w:val="20"/>
              </w:rPr>
              <w:t>0,662 (B)</w:t>
            </w:r>
          </w:p>
        </w:tc>
        <w:tc>
          <w:tcPr>
            <w:tcW w:w="1697" w:type="dxa"/>
            <w:tcBorders>
              <w:top w:val="nil"/>
              <w:left w:val="nil"/>
              <w:bottom w:val="single" w:sz="8" w:space="0" w:color="DDDDDD"/>
              <w:right w:val="single" w:sz="8" w:space="0" w:color="DDDDDD"/>
            </w:tcBorders>
            <w:shd w:val="clear" w:color="auto" w:fill="auto"/>
            <w:vAlign w:val="center"/>
          </w:tcPr>
          <w:p w14:paraId="4D330561" w14:textId="77777777" w:rsidR="00104526" w:rsidRDefault="00104526" w:rsidP="00B93521">
            <w:pPr>
              <w:spacing w:before="0" w:after="0" w:line="240" w:lineRule="auto"/>
              <w:jc w:val="left"/>
              <w:rPr>
                <w:color w:val="000000"/>
                <w:sz w:val="20"/>
                <w:szCs w:val="20"/>
              </w:rPr>
            </w:pPr>
            <w:r>
              <w:rPr>
                <w:color w:val="000000"/>
                <w:sz w:val="20"/>
                <w:szCs w:val="20"/>
              </w:rPr>
              <w:t>0,669 (B)</w:t>
            </w:r>
          </w:p>
        </w:tc>
        <w:tc>
          <w:tcPr>
            <w:tcW w:w="1697" w:type="dxa"/>
            <w:tcBorders>
              <w:top w:val="nil"/>
              <w:left w:val="nil"/>
              <w:bottom w:val="single" w:sz="8" w:space="0" w:color="DDDDDD"/>
              <w:right w:val="single" w:sz="8" w:space="0" w:color="DDDDDD"/>
            </w:tcBorders>
            <w:shd w:val="clear" w:color="auto" w:fill="auto"/>
            <w:vAlign w:val="center"/>
          </w:tcPr>
          <w:p w14:paraId="39623880" w14:textId="77777777" w:rsidR="00104526" w:rsidRDefault="00104526" w:rsidP="00B93521">
            <w:pPr>
              <w:spacing w:before="0" w:after="0" w:line="240" w:lineRule="auto"/>
              <w:jc w:val="left"/>
              <w:rPr>
                <w:color w:val="000000"/>
                <w:sz w:val="20"/>
                <w:szCs w:val="20"/>
              </w:rPr>
            </w:pPr>
            <w:r>
              <w:rPr>
                <w:color w:val="000000"/>
                <w:sz w:val="20"/>
                <w:szCs w:val="20"/>
              </w:rPr>
              <w:t>0,663 (B)</w:t>
            </w:r>
          </w:p>
        </w:tc>
      </w:tr>
      <w:tr w:rsidR="00104526" w14:paraId="67B05961" w14:textId="77777777" w:rsidTr="00B93521">
        <w:trPr>
          <w:trHeight w:val="397"/>
        </w:trPr>
        <w:tc>
          <w:tcPr>
            <w:tcW w:w="1697" w:type="dxa"/>
            <w:tcBorders>
              <w:top w:val="nil"/>
              <w:left w:val="single" w:sz="8" w:space="0" w:color="DDDDDD"/>
              <w:bottom w:val="single" w:sz="8" w:space="0" w:color="DDDDDD"/>
              <w:right w:val="single" w:sz="8" w:space="0" w:color="DDDDDD"/>
            </w:tcBorders>
            <w:shd w:val="clear" w:color="auto" w:fill="auto"/>
            <w:vAlign w:val="center"/>
          </w:tcPr>
          <w:p w14:paraId="0D889C21" w14:textId="77777777" w:rsidR="00104526" w:rsidRDefault="00104526" w:rsidP="00B93521">
            <w:pPr>
              <w:spacing w:before="0" w:after="0" w:line="240" w:lineRule="auto"/>
              <w:jc w:val="left"/>
              <w:rPr>
                <w:color w:val="000000"/>
                <w:sz w:val="20"/>
                <w:szCs w:val="20"/>
              </w:rPr>
            </w:pPr>
            <w:r>
              <w:rPr>
                <w:color w:val="000000"/>
                <w:sz w:val="20"/>
                <w:szCs w:val="20"/>
              </w:rPr>
              <w:t>DORIS</w:t>
            </w:r>
          </w:p>
        </w:tc>
        <w:tc>
          <w:tcPr>
            <w:tcW w:w="1697" w:type="dxa"/>
            <w:tcBorders>
              <w:top w:val="nil"/>
              <w:left w:val="nil"/>
              <w:bottom w:val="single" w:sz="8" w:space="0" w:color="DDDDDD"/>
              <w:right w:val="single" w:sz="8" w:space="0" w:color="DDDDDD"/>
            </w:tcBorders>
            <w:shd w:val="clear" w:color="auto" w:fill="auto"/>
            <w:vAlign w:val="center"/>
          </w:tcPr>
          <w:p w14:paraId="4CDA5BF4" w14:textId="77777777" w:rsidR="00104526" w:rsidRDefault="00104526" w:rsidP="00B93521">
            <w:pPr>
              <w:spacing w:before="0" w:after="0" w:line="240" w:lineRule="auto"/>
              <w:jc w:val="left"/>
              <w:rPr>
                <w:color w:val="000000"/>
                <w:sz w:val="20"/>
                <w:szCs w:val="20"/>
              </w:rPr>
            </w:pPr>
            <w:r>
              <w:rPr>
                <w:color w:val="000000"/>
                <w:sz w:val="20"/>
                <w:szCs w:val="20"/>
              </w:rPr>
              <w:t>0,569 (SD)</w:t>
            </w:r>
          </w:p>
        </w:tc>
        <w:tc>
          <w:tcPr>
            <w:tcW w:w="1697" w:type="dxa"/>
            <w:tcBorders>
              <w:top w:val="nil"/>
              <w:left w:val="nil"/>
              <w:bottom w:val="single" w:sz="8" w:space="0" w:color="DDDDDD"/>
              <w:right w:val="single" w:sz="8" w:space="0" w:color="DDDDDD"/>
            </w:tcBorders>
            <w:shd w:val="clear" w:color="auto" w:fill="auto"/>
            <w:vAlign w:val="center"/>
          </w:tcPr>
          <w:p w14:paraId="700681CB" w14:textId="77777777" w:rsidR="00104526" w:rsidRDefault="00104526" w:rsidP="00B93521">
            <w:pPr>
              <w:spacing w:before="0" w:after="0" w:line="240" w:lineRule="auto"/>
              <w:jc w:val="left"/>
              <w:rPr>
                <w:color w:val="000000"/>
                <w:sz w:val="20"/>
                <w:szCs w:val="20"/>
              </w:rPr>
            </w:pPr>
            <w:r>
              <w:rPr>
                <w:color w:val="000000"/>
                <w:sz w:val="20"/>
                <w:szCs w:val="20"/>
              </w:rPr>
              <w:t>0,555 (SD)</w:t>
            </w:r>
          </w:p>
        </w:tc>
        <w:tc>
          <w:tcPr>
            <w:tcW w:w="1697" w:type="dxa"/>
            <w:tcBorders>
              <w:top w:val="nil"/>
              <w:left w:val="nil"/>
              <w:bottom w:val="single" w:sz="8" w:space="0" w:color="DDDDDD"/>
              <w:right w:val="single" w:sz="8" w:space="0" w:color="DDDDDD"/>
            </w:tcBorders>
            <w:shd w:val="clear" w:color="auto" w:fill="auto"/>
            <w:vAlign w:val="center"/>
          </w:tcPr>
          <w:p w14:paraId="44AE4700" w14:textId="77777777" w:rsidR="00104526" w:rsidRDefault="00104526" w:rsidP="00B93521">
            <w:pPr>
              <w:spacing w:before="0" w:after="0" w:line="240" w:lineRule="auto"/>
              <w:jc w:val="left"/>
              <w:rPr>
                <w:color w:val="000000"/>
                <w:sz w:val="20"/>
                <w:szCs w:val="20"/>
              </w:rPr>
            </w:pPr>
            <w:r>
              <w:rPr>
                <w:color w:val="000000"/>
                <w:sz w:val="20"/>
                <w:szCs w:val="20"/>
              </w:rPr>
              <w:t>0,574 (SD)</w:t>
            </w:r>
          </w:p>
        </w:tc>
        <w:tc>
          <w:tcPr>
            <w:tcW w:w="1697" w:type="dxa"/>
            <w:tcBorders>
              <w:top w:val="nil"/>
              <w:left w:val="nil"/>
              <w:bottom w:val="single" w:sz="8" w:space="0" w:color="DDDDDD"/>
              <w:right w:val="single" w:sz="8" w:space="0" w:color="DDDDDD"/>
            </w:tcBorders>
            <w:shd w:val="clear" w:color="auto" w:fill="auto"/>
            <w:vAlign w:val="center"/>
          </w:tcPr>
          <w:p w14:paraId="6CE6A762" w14:textId="77777777" w:rsidR="00104526" w:rsidRDefault="00104526" w:rsidP="00B93521">
            <w:pPr>
              <w:spacing w:before="0" w:after="0" w:line="240" w:lineRule="auto"/>
              <w:jc w:val="left"/>
              <w:rPr>
                <w:color w:val="000000"/>
                <w:sz w:val="20"/>
                <w:szCs w:val="20"/>
              </w:rPr>
            </w:pPr>
            <w:r>
              <w:rPr>
                <w:color w:val="000000"/>
                <w:sz w:val="20"/>
                <w:szCs w:val="20"/>
              </w:rPr>
              <w:t>0,597 (SD)</w:t>
            </w:r>
          </w:p>
        </w:tc>
      </w:tr>
      <w:tr w:rsidR="00104526" w14:paraId="4EE7A3D5" w14:textId="77777777" w:rsidTr="00B93521">
        <w:trPr>
          <w:trHeight w:val="397"/>
        </w:trPr>
        <w:tc>
          <w:tcPr>
            <w:tcW w:w="1697" w:type="dxa"/>
            <w:tcBorders>
              <w:top w:val="nil"/>
              <w:left w:val="single" w:sz="8" w:space="0" w:color="DDDDDD"/>
              <w:bottom w:val="single" w:sz="4" w:space="0" w:color="D9D9D9"/>
              <w:right w:val="single" w:sz="8" w:space="0" w:color="DDDDDD"/>
            </w:tcBorders>
            <w:shd w:val="clear" w:color="auto" w:fill="auto"/>
            <w:vAlign w:val="center"/>
          </w:tcPr>
          <w:p w14:paraId="7361C4F6" w14:textId="77777777" w:rsidR="00104526" w:rsidRDefault="00104526" w:rsidP="00B93521">
            <w:pPr>
              <w:spacing w:before="0" w:after="0" w:line="240" w:lineRule="auto"/>
              <w:jc w:val="left"/>
              <w:rPr>
                <w:color w:val="000000"/>
                <w:sz w:val="20"/>
                <w:szCs w:val="20"/>
              </w:rPr>
            </w:pPr>
            <w:r>
              <w:rPr>
                <w:color w:val="000000"/>
                <w:sz w:val="20"/>
                <w:szCs w:val="20"/>
              </w:rPr>
              <w:t>Remisión estricta</w:t>
            </w:r>
          </w:p>
        </w:tc>
        <w:tc>
          <w:tcPr>
            <w:tcW w:w="1697" w:type="dxa"/>
            <w:tcBorders>
              <w:top w:val="nil"/>
              <w:left w:val="nil"/>
              <w:bottom w:val="single" w:sz="4" w:space="0" w:color="D9D9D9"/>
              <w:right w:val="single" w:sz="8" w:space="0" w:color="DDDDDD"/>
            </w:tcBorders>
            <w:shd w:val="clear" w:color="auto" w:fill="auto"/>
            <w:vAlign w:val="center"/>
          </w:tcPr>
          <w:p w14:paraId="08CE12B2" w14:textId="77777777" w:rsidR="00104526" w:rsidRDefault="00104526" w:rsidP="00B93521">
            <w:pPr>
              <w:spacing w:before="0" w:after="0" w:line="240" w:lineRule="auto"/>
              <w:jc w:val="left"/>
              <w:rPr>
                <w:color w:val="000000"/>
                <w:sz w:val="20"/>
                <w:szCs w:val="20"/>
              </w:rPr>
            </w:pPr>
            <w:r>
              <w:rPr>
                <w:color w:val="000000"/>
                <w:sz w:val="20"/>
                <w:szCs w:val="20"/>
              </w:rPr>
              <w:t>0,588 (SD)</w:t>
            </w:r>
          </w:p>
        </w:tc>
        <w:tc>
          <w:tcPr>
            <w:tcW w:w="1697" w:type="dxa"/>
            <w:tcBorders>
              <w:top w:val="nil"/>
              <w:left w:val="nil"/>
              <w:bottom w:val="single" w:sz="4" w:space="0" w:color="D9D9D9"/>
              <w:right w:val="single" w:sz="8" w:space="0" w:color="DDDDDD"/>
            </w:tcBorders>
            <w:shd w:val="clear" w:color="auto" w:fill="auto"/>
            <w:vAlign w:val="center"/>
          </w:tcPr>
          <w:p w14:paraId="64AFFDEB" w14:textId="77777777" w:rsidR="00104526" w:rsidRDefault="00104526" w:rsidP="00B93521">
            <w:pPr>
              <w:spacing w:before="0" w:after="0" w:line="240" w:lineRule="auto"/>
              <w:jc w:val="left"/>
              <w:rPr>
                <w:color w:val="000000"/>
                <w:sz w:val="20"/>
                <w:szCs w:val="20"/>
              </w:rPr>
            </w:pPr>
            <w:r>
              <w:rPr>
                <w:color w:val="000000"/>
                <w:sz w:val="20"/>
                <w:szCs w:val="20"/>
              </w:rPr>
              <w:t>0,646 (B)</w:t>
            </w:r>
          </w:p>
        </w:tc>
        <w:tc>
          <w:tcPr>
            <w:tcW w:w="1697" w:type="dxa"/>
            <w:tcBorders>
              <w:top w:val="nil"/>
              <w:left w:val="nil"/>
              <w:bottom w:val="single" w:sz="4" w:space="0" w:color="D9D9D9"/>
              <w:right w:val="single" w:sz="8" w:space="0" w:color="DDDDDD"/>
            </w:tcBorders>
            <w:shd w:val="clear" w:color="auto" w:fill="auto"/>
            <w:vAlign w:val="center"/>
          </w:tcPr>
          <w:p w14:paraId="4EAD169B" w14:textId="77777777" w:rsidR="00104526" w:rsidRDefault="00104526" w:rsidP="00B93521">
            <w:pPr>
              <w:spacing w:before="0" w:after="0" w:line="240" w:lineRule="auto"/>
              <w:jc w:val="left"/>
              <w:rPr>
                <w:color w:val="000000"/>
                <w:sz w:val="20"/>
                <w:szCs w:val="20"/>
              </w:rPr>
            </w:pPr>
            <w:r>
              <w:rPr>
                <w:color w:val="000000"/>
                <w:sz w:val="20"/>
                <w:szCs w:val="20"/>
              </w:rPr>
              <w:t>0,671 (B)</w:t>
            </w:r>
          </w:p>
        </w:tc>
        <w:tc>
          <w:tcPr>
            <w:tcW w:w="1697" w:type="dxa"/>
            <w:tcBorders>
              <w:top w:val="nil"/>
              <w:left w:val="nil"/>
              <w:bottom w:val="single" w:sz="4" w:space="0" w:color="D9D9D9"/>
              <w:right w:val="single" w:sz="8" w:space="0" w:color="DDDDDD"/>
            </w:tcBorders>
            <w:shd w:val="clear" w:color="auto" w:fill="auto"/>
            <w:vAlign w:val="center"/>
          </w:tcPr>
          <w:p w14:paraId="61492A46" w14:textId="77777777" w:rsidR="00104526" w:rsidRDefault="00104526" w:rsidP="00B93521">
            <w:pPr>
              <w:keepNext/>
              <w:spacing w:before="0" w:after="0" w:line="240" w:lineRule="auto"/>
              <w:jc w:val="left"/>
              <w:rPr>
                <w:color w:val="000000"/>
                <w:sz w:val="20"/>
                <w:szCs w:val="20"/>
              </w:rPr>
            </w:pPr>
            <w:r>
              <w:rPr>
                <w:color w:val="000000"/>
                <w:sz w:val="20"/>
                <w:szCs w:val="20"/>
              </w:rPr>
              <w:t>0,660 (B)</w:t>
            </w:r>
          </w:p>
        </w:tc>
      </w:tr>
      <w:tr w:rsidR="00104526" w14:paraId="361727A2" w14:textId="77777777" w:rsidTr="00B93521">
        <w:trPr>
          <w:trHeight w:val="397"/>
        </w:trPr>
        <w:tc>
          <w:tcPr>
            <w:tcW w:w="8485" w:type="dxa"/>
            <w:gridSpan w:val="5"/>
            <w:tcBorders>
              <w:top w:val="single" w:sz="4" w:space="0" w:color="D9D9D9"/>
              <w:left w:val="single" w:sz="4" w:space="0" w:color="D9D9D9"/>
              <w:bottom w:val="single" w:sz="4" w:space="0" w:color="D9D9D9"/>
              <w:right w:val="single" w:sz="4" w:space="0" w:color="D9D9D9"/>
            </w:tcBorders>
            <w:shd w:val="clear" w:color="auto" w:fill="auto"/>
            <w:vAlign w:val="center"/>
          </w:tcPr>
          <w:p w14:paraId="27850B81" w14:textId="77777777" w:rsidR="00104526" w:rsidRDefault="00104526" w:rsidP="002D15F6">
            <w:pPr>
              <w:keepNext/>
              <w:spacing w:before="120" w:after="120" w:line="240" w:lineRule="auto"/>
              <w:jc w:val="left"/>
              <w:rPr>
                <w:color w:val="000000"/>
                <w:sz w:val="20"/>
                <w:szCs w:val="20"/>
              </w:rPr>
            </w:pPr>
            <w:r>
              <w:rPr>
                <w:color w:val="000000"/>
                <w:sz w:val="20"/>
                <w:szCs w:val="20"/>
              </w:rPr>
              <w:t>B = Bajo (0,60–0,69); SD = Sin discriminación (&lt;0,60). Ningún modelo alcanzó el umbral de rendimiento moderado (≥0,70).</w:t>
            </w:r>
          </w:p>
        </w:tc>
      </w:tr>
    </w:tbl>
    <w:p w14:paraId="0EF43ADB" w14:textId="6767A332" w:rsidR="002D15F6" w:rsidRDefault="002D15F6" w:rsidP="00C67F76">
      <w:pPr>
        <w:pStyle w:val="Descripcin"/>
      </w:pPr>
      <w:bookmarkStart w:id="164" w:name="_Toc230792270"/>
      <w:r>
        <w:t xml:space="preserve">Tabla </w:t>
      </w:r>
      <w:fldSimple w:instr=" SEQ Tabla \* ARABIC ">
        <w:r w:rsidR="00716AEA">
          <w:rPr>
            <w:noProof/>
          </w:rPr>
          <w:t>40</w:t>
        </w:r>
      </w:fldSimple>
      <w:r>
        <w:t xml:space="preserve">. </w:t>
      </w:r>
      <w:r w:rsidRPr="00F15349">
        <w:t xml:space="preserve">AUROC del modelo DIABLO por bloque </w:t>
      </w:r>
      <w:proofErr w:type="spellStart"/>
      <w:r w:rsidRPr="00F15349">
        <w:t>ómico</w:t>
      </w:r>
      <w:proofErr w:type="spellEnd"/>
      <w:r w:rsidRPr="00F15349">
        <w:t>, componente y desenlace supervisado.</w:t>
      </w:r>
      <w:bookmarkEnd w:id="164"/>
    </w:p>
    <w:p w14:paraId="525E4939" w14:textId="77777777" w:rsidR="00104526" w:rsidRPr="00104526" w:rsidRDefault="00104526" w:rsidP="00104526">
      <w:r w:rsidRPr="00C544C6">
        <w:t xml:space="preserve">En conjunto, los valores de AUROC reflejan la dificultad intrínseca de clasificar estados clínicos complejos y multidimensionales como los índices de actividad y remisión del LES a partir exclusivamente de dos bloques </w:t>
      </w:r>
      <w:proofErr w:type="spellStart"/>
      <w:r w:rsidRPr="00C544C6">
        <w:t>ómicos</w:t>
      </w:r>
      <w:proofErr w:type="spellEnd"/>
      <w:r w:rsidRPr="00C544C6">
        <w:t>. La ausencia de valores ≥ 0,70 no invalida la utilidad biológica de los modelos, sino que indica que su contribución principal reside en la identificación de firmas moleculares integradas, más que en la discriminación clínica directa.</w:t>
      </w:r>
    </w:p>
    <w:p w14:paraId="062BF264" w14:textId="77777777" w:rsidR="00097466" w:rsidRDefault="00000000">
      <w:pPr>
        <w:pStyle w:val="Ttulo4"/>
        <w:numPr>
          <w:ilvl w:val="3"/>
          <w:numId w:val="17"/>
        </w:numPr>
      </w:pPr>
      <w:r>
        <w:t>Representación de individuos en el espacio latente (</w:t>
      </w:r>
      <w:proofErr w:type="spellStart"/>
      <w:r>
        <w:t>plotIndiv</w:t>
      </w:r>
      <w:proofErr w:type="spellEnd"/>
      <w:r>
        <w:t>)</w:t>
      </w:r>
    </w:p>
    <w:p w14:paraId="5EFEA245" w14:textId="77777777" w:rsidR="00097466" w:rsidRDefault="00000000">
      <w:r>
        <w:t>La proyección de los 251 pacientes en los Componentes 1 y 2 de DIABLO (</w:t>
      </w:r>
      <w:proofErr w:type="spellStart"/>
      <w:r>
        <w:t>plotIndiv</w:t>
      </w:r>
      <w:proofErr w:type="spellEnd"/>
      <w:r>
        <w:t xml:space="preserve">) para cada bloque </w:t>
      </w:r>
      <w:proofErr w:type="spellStart"/>
      <w:r>
        <w:t>ómico</w:t>
      </w:r>
      <w:proofErr w:type="spellEnd"/>
      <w:r>
        <w:t xml:space="preserve"> se presenta a continuación (Paneles A). En todos los modelos, el código de color codifica el estado clínico definido por la variable respuesta correspondiente, y las elipses representan el intervalo de confianza del 95% de cada grupo.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4306"/>
      </w:tblGrid>
      <w:tr w:rsidR="00A65E05" w14:paraId="3E55D1E6" w14:textId="77777777" w:rsidTr="008560E2">
        <w:tc>
          <w:tcPr>
            <w:tcW w:w="0" w:type="auto"/>
          </w:tcPr>
          <w:p w14:paraId="320DB941" w14:textId="77777777" w:rsidR="00A65E05" w:rsidRDefault="00A65E05" w:rsidP="00A65E05">
            <w:pPr>
              <w:keepNext/>
              <w:jc w:val="center"/>
            </w:pPr>
            <w:r>
              <w:rPr>
                <w:noProof/>
              </w:rPr>
              <w:lastRenderedPageBreak/>
              <w:drawing>
                <wp:inline distT="0" distB="0" distL="0" distR="0" wp14:anchorId="3DEDF6CC" wp14:editId="40B51925">
                  <wp:extent cx="2499793" cy="1632585"/>
                  <wp:effectExtent l="0" t="0" r="2540" b="5715"/>
                  <wp:docPr id="5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rotWithShape="1">
                          <a:blip r:embed="rId39"/>
                          <a:srcRect r="14747"/>
                          <a:stretch/>
                        </pic:blipFill>
                        <pic:spPr bwMode="auto">
                          <a:xfrm>
                            <a:off x="0" y="0"/>
                            <a:ext cx="2551445" cy="1666318"/>
                          </a:xfrm>
                          <a:prstGeom prst="rect">
                            <a:avLst/>
                          </a:prstGeom>
                          <a:ln>
                            <a:noFill/>
                          </a:ln>
                          <a:extLst>
                            <a:ext uri="{53640926-AAD7-44D8-BBD7-CCE9431645EC}">
                              <a14:shadowObscured xmlns:a14="http://schemas.microsoft.com/office/drawing/2010/main"/>
                            </a:ext>
                          </a:extLst>
                        </pic:spPr>
                      </pic:pic>
                    </a:graphicData>
                  </a:graphic>
                </wp:inline>
              </w:drawing>
            </w:r>
          </w:p>
          <w:p w14:paraId="7D99989F" w14:textId="3E6F5449" w:rsidR="00A65E05" w:rsidRPr="002D15F6" w:rsidRDefault="00A65E05" w:rsidP="00C67F76">
            <w:pPr>
              <w:pStyle w:val="Descripcin"/>
            </w:pPr>
            <w:bookmarkStart w:id="165" w:name="_Toc230792288"/>
            <w:r>
              <w:t xml:space="preserve">Ilustración </w:t>
            </w:r>
            <w:fldSimple w:instr=" SEQ Ilustración \* ARABIC ">
              <w:r>
                <w:rPr>
                  <w:noProof/>
                </w:rPr>
                <w:t>16</w:t>
              </w:r>
            </w:fldSimple>
            <w:r>
              <w:t xml:space="preserve">. </w:t>
            </w:r>
            <w:proofErr w:type="spellStart"/>
            <w:r w:rsidRPr="007D6F56">
              <w:t>plotIndiv</w:t>
            </w:r>
            <w:proofErr w:type="spellEnd"/>
            <w:r w:rsidRPr="007D6F56">
              <w:t xml:space="preserve"> (SLEDAI)</w:t>
            </w:r>
            <w:bookmarkEnd w:id="165"/>
          </w:p>
        </w:tc>
        <w:tc>
          <w:tcPr>
            <w:tcW w:w="0" w:type="auto"/>
          </w:tcPr>
          <w:p w14:paraId="7848BF98" w14:textId="77777777" w:rsidR="00A65E05" w:rsidRDefault="00A65E05" w:rsidP="00A65E05">
            <w:pPr>
              <w:keepNext/>
              <w:jc w:val="center"/>
            </w:pPr>
            <w:r>
              <w:rPr>
                <w:noProof/>
              </w:rPr>
              <w:drawing>
                <wp:inline distT="0" distB="0" distL="0" distR="0" wp14:anchorId="6E9BF969" wp14:editId="530BD96F">
                  <wp:extent cx="2597285" cy="1633209"/>
                  <wp:effectExtent l="0" t="0" r="0" b="5715"/>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rotWithShape="1">
                          <a:blip r:embed="rId40"/>
                          <a:srcRect r="16304"/>
                          <a:stretch/>
                        </pic:blipFill>
                        <pic:spPr bwMode="auto">
                          <a:xfrm>
                            <a:off x="0" y="0"/>
                            <a:ext cx="2652696" cy="1668052"/>
                          </a:xfrm>
                          <a:prstGeom prst="rect">
                            <a:avLst/>
                          </a:prstGeom>
                          <a:ln>
                            <a:noFill/>
                          </a:ln>
                          <a:extLst>
                            <a:ext uri="{53640926-AAD7-44D8-BBD7-CCE9431645EC}">
                              <a14:shadowObscured xmlns:a14="http://schemas.microsoft.com/office/drawing/2010/main"/>
                            </a:ext>
                          </a:extLst>
                        </pic:spPr>
                      </pic:pic>
                    </a:graphicData>
                  </a:graphic>
                </wp:inline>
              </w:drawing>
            </w:r>
          </w:p>
          <w:p w14:paraId="19EB2FF8" w14:textId="77777777" w:rsidR="00A65E05" w:rsidRDefault="00A65E05" w:rsidP="00C67F76">
            <w:pPr>
              <w:pStyle w:val="Descripcin"/>
              <w:rPr>
                <w:color w:val="000000"/>
                <w:szCs w:val="20"/>
              </w:rPr>
            </w:pPr>
            <w:bookmarkStart w:id="166" w:name="_Toc230792289"/>
            <w:r>
              <w:t xml:space="preserve">Ilustración </w:t>
            </w:r>
            <w:fldSimple w:instr=" SEQ Ilustración \* ARABIC ">
              <w:r>
                <w:rPr>
                  <w:noProof/>
                </w:rPr>
                <w:t>17</w:t>
              </w:r>
            </w:fldSimple>
            <w:r>
              <w:t xml:space="preserve">. </w:t>
            </w:r>
            <w:proofErr w:type="spellStart"/>
            <w:r w:rsidRPr="00645214">
              <w:t>plotIndiv</w:t>
            </w:r>
            <w:proofErr w:type="spellEnd"/>
            <w:r w:rsidRPr="00645214">
              <w:t xml:space="preserve"> (SLE-DAS)</w:t>
            </w:r>
            <w:bookmarkEnd w:id="166"/>
          </w:p>
          <w:p w14:paraId="5A670C75" w14:textId="6828977F" w:rsidR="00A65E05" w:rsidRDefault="00A65E05" w:rsidP="00C67F76">
            <w:pPr>
              <w:pStyle w:val="Descripcin"/>
            </w:pPr>
          </w:p>
        </w:tc>
      </w:tr>
      <w:tr w:rsidR="00A65E05" w14:paraId="6F24D6D5" w14:textId="77777777" w:rsidTr="008560E2">
        <w:tc>
          <w:tcPr>
            <w:tcW w:w="0" w:type="auto"/>
          </w:tcPr>
          <w:p w14:paraId="04DBB9FB" w14:textId="77777777" w:rsidR="00A65E05" w:rsidRDefault="00A65E05" w:rsidP="00A65E05">
            <w:pPr>
              <w:keepNext/>
              <w:jc w:val="center"/>
            </w:pPr>
            <w:r>
              <w:rPr>
                <w:noProof/>
              </w:rPr>
              <w:drawing>
                <wp:inline distT="0" distB="0" distL="0" distR="0" wp14:anchorId="0418AE0D" wp14:editId="4DE4F0F9">
                  <wp:extent cx="2451370" cy="1555750"/>
                  <wp:effectExtent l="0" t="0" r="0" b="0"/>
                  <wp:docPr id="54"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rotWithShape="1">
                          <a:blip r:embed="rId41"/>
                          <a:srcRect r="13879"/>
                          <a:stretch/>
                        </pic:blipFill>
                        <pic:spPr bwMode="auto">
                          <a:xfrm>
                            <a:off x="0" y="0"/>
                            <a:ext cx="2477034" cy="1572037"/>
                          </a:xfrm>
                          <a:prstGeom prst="rect">
                            <a:avLst/>
                          </a:prstGeom>
                          <a:ln>
                            <a:noFill/>
                          </a:ln>
                          <a:extLst>
                            <a:ext uri="{53640926-AAD7-44D8-BBD7-CCE9431645EC}">
                              <a14:shadowObscured xmlns:a14="http://schemas.microsoft.com/office/drawing/2010/main"/>
                            </a:ext>
                          </a:extLst>
                        </pic:spPr>
                      </pic:pic>
                    </a:graphicData>
                  </a:graphic>
                </wp:inline>
              </w:drawing>
            </w:r>
          </w:p>
          <w:p w14:paraId="7C7A8A4D" w14:textId="77777777" w:rsidR="00A65E05" w:rsidRDefault="00A65E05" w:rsidP="00C67F76">
            <w:pPr>
              <w:pStyle w:val="Descripcin"/>
            </w:pPr>
            <w:bookmarkStart w:id="167" w:name="_Toc230792290"/>
            <w:r>
              <w:t xml:space="preserve">Ilustración </w:t>
            </w:r>
            <w:fldSimple w:instr=" SEQ Ilustración \* ARABIC ">
              <w:r>
                <w:rPr>
                  <w:noProof/>
                </w:rPr>
                <w:t>18</w:t>
              </w:r>
            </w:fldSimple>
            <w:r>
              <w:t xml:space="preserve">. </w:t>
            </w:r>
            <w:proofErr w:type="spellStart"/>
            <w:r w:rsidRPr="00845175">
              <w:t>plotIndiv</w:t>
            </w:r>
            <w:proofErr w:type="spellEnd"/>
            <w:r w:rsidRPr="00845175">
              <w:t xml:space="preserve"> (SLICC)</w:t>
            </w:r>
            <w:bookmarkEnd w:id="167"/>
          </w:p>
          <w:p w14:paraId="3E1FED6E" w14:textId="2F41A821" w:rsidR="00A65E05" w:rsidRPr="003E3FA5" w:rsidRDefault="00A65E05" w:rsidP="00C67F76">
            <w:pPr>
              <w:pStyle w:val="Descripcin"/>
            </w:pPr>
          </w:p>
        </w:tc>
        <w:tc>
          <w:tcPr>
            <w:tcW w:w="0" w:type="auto"/>
          </w:tcPr>
          <w:p w14:paraId="265B28F3" w14:textId="77777777" w:rsidR="00A65E05" w:rsidRDefault="00A65E05" w:rsidP="00A65E05">
            <w:pPr>
              <w:keepNext/>
              <w:jc w:val="center"/>
            </w:pPr>
            <w:r>
              <w:rPr>
                <w:noProof/>
              </w:rPr>
              <w:drawing>
                <wp:inline distT="0" distB="0" distL="0" distR="0" wp14:anchorId="091BE6C5" wp14:editId="2CC01EBF">
                  <wp:extent cx="2344366" cy="1604010"/>
                  <wp:effectExtent l="0" t="0" r="5715" b="0"/>
                  <wp:docPr id="5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rotWithShape="1">
                          <a:blip r:embed="rId42"/>
                          <a:srcRect r="15725"/>
                          <a:stretch/>
                        </pic:blipFill>
                        <pic:spPr bwMode="auto">
                          <a:xfrm>
                            <a:off x="0" y="0"/>
                            <a:ext cx="2370572" cy="1621940"/>
                          </a:xfrm>
                          <a:prstGeom prst="rect">
                            <a:avLst/>
                          </a:prstGeom>
                          <a:ln>
                            <a:noFill/>
                          </a:ln>
                          <a:extLst>
                            <a:ext uri="{53640926-AAD7-44D8-BBD7-CCE9431645EC}">
                              <a14:shadowObscured xmlns:a14="http://schemas.microsoft.com/office/drawing/2010/main"/>
                            </a:ext>
                          </a:extLst>
                        </pic:spPr>
                      </pic:pic>
                    </a:graphicData>
                  </a:graphic>
                </wp:inline>
              </w:drawing>
            </w:r>
          </w:p>
          <w:p w14:paraId="123EAA67" w14:textId="77777777" w:rsidR="00A65E05" w:rsidRDefault="00A65E05" w:rsidP="00C67F76">
            <w:pPr>
              <w:pStyle w:val="Descripcin"/>
            </w:pPr>
            <w:bookmarkStart w:id="168" w:name="_Toc230792291"/>
            <w:r>
              <w:t xml:space="preserve">Ilustración </w:t>
            </w:r>
            <w:fldSimple w:instr=" SEQ Ilustración \* ARABIC ">
              <w:r>
                <w:rPr>
                  <w:noProof/>
                </w:rPr>
                <w:t>19</w:t>
              </w:r>
            </w:fldSimple>
            <w:r>
              <w:t xml:space="preserve">. </w:t>
            </w:r>
            <w:proofErr w:type="spellStart"/>
            <w:r w:rsidRPr="00AC4343">
              <w:t>plotIndiv</w:t>
            </w:r>
            <w:proofErr w:type="spellEnd"/>
            <w:r w:rsidRPr="00AC4343">
              <w:t xml:space="preserve"> (DORIS)</w:t>
            </w:r>
            <w:bookmarkEnd w:id="168"/>
          </w:p>
          <w:p w14:paraId="7CEB6F96" w14:textId="30FAF379" w:rsidR="00A65E05" w:rsidRPr="003E3FA5" w:rsidRDefault="00A65E05" w:rsidP="00C67F76">
            <w:pPr>
              <w:pStyle w:val="Descripcin"/>
            </w:pPr>
          </w:p>
        </w:tc>
      </w:tr>
      <w:tr w:rsidR="00A65E05" w14:paraId="059F1801" w14:textId="77777777" w:rsidTr="008560E2">
        <w:tc>
          <w:tcPr>
            <w:tcW w:w="0" w:type="auto"/>
          </w:tcPr>
          <w:p w14:paraId="06B50194" w14:textId="77777777" w:rsidR="00A65E05" w:rsidRDefault="00A65E05" w:rsidP="00A65E05">
            <w:pPr>
              <w:keepNext/>
              <w:jc w:val="center"/>
            </w:pPr>
            <w:r>
              <w:rPr>
                <w:noProof/>
              </w:rPr>
              <w:drawing>
                <wp:inline distT="0" distB="0" distL="0" distR="0" wp14:anchorId="4B7DE59D" wp14:editId="2D56FAC0">
                  <wp:extent cx="2509736" cy="1448563"/>
                  <wp:effectExtent l="0" t="0" r="508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rotWithShape="1">
                          <a:blip r:embed="rId43"/>
                          <a:srcRect r="18112"/>
                          <a:stretch/>
                        </pic:blipFill>
                        <pic:spPr bwMode="auto">
                          <a:xfrm>
                            <a:off x="0" y="0"/>
                            <a:ext cx="2586600" cy="1492927"/>
                          </a:xfrm>
                          <a:prstGeom prst="rect">
                            <a:avLst/>
                          </a:prstGeom>
                          <a:ln>
                            <a:noFill/>
                          </a:ln>
                          <a:extLst>
                            <a:ext uri="{53640926-AAD7-44D8-BBD7-CCE9431645EC}">
                              <a14:shadowObscured xmlns:a14="http://schemas.microsoft.com/office/drawing/2010/main"/>
                            </a:ext>
                          </a:extLst>
                        </pic:spPr>
                      </pic:pic>
                    </a:graphicData>
                  </a:graphic>
                </wp:inline>
              </w:drawing>
            </w:r>
          </w:p>
          <w:p w14:paraId="44F5CE3D" w14:textId="465B26E2" w:rsidR="00A65E05" w:rsidRDefault="00A65E05" w:rsidP="00C67F76">
            <w:pPr>
              <w:pStyle w:val="Descripcin"/>
            </w:pPr>
            <w:bookmarkStart w:id="169" w:name="_Toc230792292"/>
            <w:r>
              <w:t xml:space="preserve">Ilustración </w:t>
            </w:r>
            <w:fldSimple w:instr=" SEQ Ilustración \* ARABIC ">
              <w:r>
                <w:rPr>
                  <w:noProof/>
                </w:rPr>
                <w:t>20</w:t>
              </w:r>
            </w:fldSimple>
            <w:r>
              <w:t xml:space="preserve">. </w:t>
            </w:r>
            <w:proofErr w:type="spellStart"/>
            <w:r w:rsidRPr="00DB3896">
              <w:t>plotIndiv</w:t>
            </w:r>
            <w:proofErr w:type="spellEnd"/>
            <w:r w:rsidRPr="00DB3896">
              <w:t xml:space="preserve"> (Remisión estricta)</w:t>
            </w:r>
            <w:bookmarkEnd w:id="169"/>
          </w:p>
        </w:tc>
        <w:tc>
          <w:tcPr>
            <w:tcW w:w="0" w:type="auto"/>
          </w:tcPr>
          <w:p w14:paraId="24F5D2A7" w14:textId="77777777" w:rsidR="00A65E05" w:rsidRDefault="00A65E05" w:rsidP="008560E2"/>
        </w:tc>
      </w:tr>
    </w:tbl>
    <w:p w14:paraId="65F41C95" w14:textId="044CE17A" w:rsidR="00A41F0D" w:rsidRDefault="00A41F0D" w:rsidP="00A41F0D">
      <w:r>
        <w:t>En conjunto, los cinco modelos supervisados muestran que la separación entre grupos clínicos en el espacio latente de DIABLO es limitada, con un solapamiento amplio de las elipses en casi todos los casos y solo patrones diferenciales modestos.</w:t>
      </w:r>
    </w:p>
    <w:p w14:paraId="3C628AB5" w14:textId="77777777" w:rsidR="00097466" w:rsidRDefault="00000000">
      <w:pPr>
        <w:pStyle w:val="Ttulo3"/>
        <w:numPr>
          <w:ilvl w:val="2"/>
          <w:numId w:val="17"/>
        </w:numPr>
      </w:pPr>
      <w:r>
        <w:t>Coherencia inter-bloque e interpretación integrativa</w:t>
      </w:r>
    </w:p>
    <w:p w14:paraId="2B700E8F" w14:textId="7E927688" w:rsidR="00097466" w:rsidRDefault="00000000">
      <w:r>
        <w:t xml:space="preserve">La interpretación integrativa de los cinco modelos DIABLO se apoya en un conjunto de herramientas de visualización que permiten evaluar, desde ángulos complementarios, el grado de concordancia entre los bloques transcriptómico y proteómico, la estructura de covarianza de las variables seleccionadas y el peso relativo de cada molécula en los componentes latentes. </w:t>
      </w:r>
    </w:p>
    <w:p w14:paraId="04EB3E66" w14:textId="77777777" w:rsidR="00097466" w:rsidRDefault="00000000">
      <w:pPr>
        <w:pStyle w:val="Ttulo4"/>
        <w:numPr>
          <w:ilvl w:val="3"/>
          <w:numId w:val="17"/>
        </w:numPr>
      </w:pPr>
      <w:proofErr w:type="spellStart"/>
      <w:r>
        <w:lastRenderedPageBreak/>
        <w:t>Scatter</w:t>
      </w:r>
      <w:proofErr w:type="spellEnd"/>
      <w:r>
        <w:t xml:space="preserve"> </w:t>
      </w:r>
      <w:proofErr w:type="spellStart"/>
      <w:r>
        <w:t>plot</w:t>
      </w:r>
      <w:proofErr w:type="spellEnd"/>
      <w:r>
        <w:t xml:space="preserve"> inter-bloque y correlación de Pearson (</w:t>
      </w:r>
      <w:proofErr w:type="spellStart"/>
      <w:r>
        <w:t>plotDiablo</w:t>
      </w:r>
      <w:proofErr w:type="spellEnd"/>
      <w:r>
        <w:t>)</w:t>
      </w:r>
    </w:p>
    <w:p w14:paraId="57318298" w14:textId="77777777" w:rsidR="00DA2E05" w:rsidRDefault="00DA2E05" w:rsidP="00DA2E05">
      <w:r>
        <w:t xml:space="preserve">Un primer hallazgo destacable es que la magnitud de r de Pearson no predice linealmente la capacidad discriminativa del modelo. El modelo DORIS presenta la correlación inter-bloque más alta de toda la comparativa (r = 0,70), y sin embargo obtiene los AUROC más bajos en todos los bloques y componentes (&lt; 0,60). Este aparente paradoja se explica por la naturaleza de lo que mide cada indicador: la r de Pearson cuantifica el grado en que ambos bloques proyectan a los individuos de forma similar a lo largo del eje latente —es decir, la cohesión interna del componente—, pero no garantiza que ese eje latente separe los grupos clínicos de interés. En el caso de DORIS, el alto acoplamiento refleja que ISGs y proteínas </w:t>
      </w:r>
      <w:proofErr w:type="spellStart"/>
      <w:r>
        <w:t>co</w:t>
      </w:r>
      <w:proofErr w:type="spellEnd"/>
      <w:r>
        <w:t xml:space="preserve">-varían de forma coordinada en la muestra, pero esa covarianza no está alineada con el criterio clínico DORIS, que incorpora dimensiones farmacológicas y de evaluación global no capturadas por los bloques </w:t>
      </w:r>
      <w:proofErr w:type="spellStart"/>
      <w:r>
        <w:t>ómicos</w:t>
      </w:r>
      <w:proofErr w:type="spellEnd"/>
      <w:r>
        <w:t xml:space="preserve"> disponibles.</w:t>
      </w:r>
    </w:p>
    <w:p w14:paraId="216BF728" w14:textId="77777777" w:rsidR="00DA2E05" w:rsidRDefault="00DA2E05" w:rsidP="00DA2E05">
      <w:r>
        <w:t xml:space="preserve">En el extremo opuesto, el modelo SLEDAI-2K presenta la r de Pearson más baja (r = 0,35) y, sin embargo, los </w:t>
      </w:r>
      <w:proofErr w:type="spellStart"/>
      <w:r>
        <w:t>loadings</w:t>
      </w:r>
      <w:proofErr w:type="spellEnd"/>
      <w:r>
        <w:t xml:space="preserve"> del bloque proteómico muestran una estructura biológicamente interpretable —complemento en dirección opuesta a IFN-α— que se traduce en el AUROC proteómico más alto del Comp1 (0,685). El bajo acoplamiento inter-bloque en este modelo refleja que los dos bloques </w:t>
      </w:r>
      <w:proofErr w:type="spellStart"/>
      <w:r>
        <w:t>ómicos</w:t>
      </w:r>
      <w:proofErr w:type="spellEnd"/>
      <w:r>
        <w:t xml:space="preserve"> aportan información complementaria y no redundante: los ISGs capturan la activación transcriptómica de la firma IFN mientras que las proteínas séricas integran además el consumo de complemento, generando un eje latente más </w:t>
      </w:r>
      <w:proofErr w:type="gramStart"/>
      <w:r>
        <w:t>rico</w:t>
      </w:r>
      <w:proofErr w:type="gramEnd"/>
      <w:r>
        <w:t xml:space="preserve"> pero con menor cohesión geométrica entre bloques.</w:t>
      </w:r>
    </w:p>
    <w:p w14:paraId="45F58FA0" w14:textId="77777777" w:rsidR="00DA2E05" w:rsidRDefault="00DA2E05" w:rsidP="00DA2E05">
      <w:r>
        <w:t xml:space="preserve">Los modelos de SLE-DAS (r = 0,66) y remisión estricta (r = 0,61) ocupan posiciones intermedias consistentes con sus perfiles de </w:t>
      </w:r>
      <w:proofErr w:type="spellStart"/>
      <w:r>
        <w:t>loadings</w:t>
      </w:r>
      <w:proofErr w:type="spellEnd"/>
      <w:r>
        <w:t xml:space="preserve">. En SLE-DAS, la alta r refleja que ambos bloques están dominados por el mismo eje biológico —IFN tipo I, con IFI27/USP18 en el transcriptoma e IFN-α sérico en el proteoma—, lo que maximiza la correlación entre </w:t>
      </w:r>
      <w:proofErr w:type="gramStart"/>
      <w:r>
        <w:t>scores</w:t>
      </w:r>
      <w:proofErr w:type="gramEnd"/>
      <w:r>
        <w:t xml:space="preserve"> pero limita la información adicional que cada bloque aporta de forma independiente. En remisión estricta, la r intermedia es coherente con un modelo donde IFN-α y BAFF lideran el bloque proteómico en la misma dirección que los ISGs, pero C3 introduce una dimensión ortogonal que reduce parcialmente la cohesión geométrica.</w:t>
      </w:r>
    </w:p>
    <w:p w14:paraId="40DABFB2" w14:textId="7AD68014" w:rsidR="00DA2E05" w:rsidRDefault="00DA2E05">
      <w:r>
        <w:t>En el modelo SLICC/SDI (r = 0,56), la correlación inter-bloque de magnitud intermedia refleja una situación distinta a la de SLE-DAS: ambos bloques comparten el eje IFN tipo I —con IFN-α liderando el proteómico (</w:t>
      </w:r>
      <w:proofErr w:type="spellStart"/>
      <w:r>
        <w:t>loading</w:t>
      </w:r>
      <w:proofErr w:type="spellEnd"/>
      <w:r>
        <w:t xml:space="preserve"> = -0,80), pero el bloque proteómico incorpora adicionalmente la creatinina como segundo marcador de peso (</w:t>
      </w:r>
      <w:proofErr w:type="spellStart"/>
      <w:r>
        <w:t>loading</w:t>
      </w:r>
      <w:proofErr w:type="spellEnd"/>
      <w:r>
        <w:t xml:space="preserve"> = -0,44), introduciendo una dimensión de daño renal acumulado que el transcriptoma de ISGs no captura. Esta divergencia parcial entre bloques reduce la cohesión geométrica respecto a SLE-DAS, pero enriquece la firma multi-</w:t>
      </w:r>
      <w:proofErr w:type="spellStart"/>
      <w:r>
        <w:t>ómica</w:t>
      </w:r>
      <w:proofErr w:type="spellEnd"/>
      <w:r>
        <w:t xml:space="preserve"> al aportar información clínicamente relevante para un índice de daño orgánico como el SLICC/SDI. El resultado es un AUROC proteómico en Comp1 (0,669) comparable al de remisión estricta y ligeramente inferior al de SLEDAI-2K, coherente con una señal discriminativa real pero limitada por el solapamiento inherente entre pacientes con y sin daño orgánico establecido en una cohorte de actividad predominantemente baja.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4"/>
        <w:gridCol w:w="3656"/>
      </w:tblGrid>
      <w:tr w:rsidR="00500B5F" w14:paraId="47882E32" w14:textId="77777777" w:rsidTr="00626DEB">
        <w:tc>
          <w:tcPr>
            <w:tcW w:w="0" w:type="auto"/>
          </w:tcPr>
          <w:p w14:paraId="09987442" w14:textId="72951765" w:rsidR="002D15F6" w:rsidRDefault="00527FAB" w:rsidP="002D15F6">
            <w:pPr>
              <w:keepNext/>
              <w:jc w:val="center"/>
            </w:pPr>
            <w:r>
              <w:rPr>
                <w:noProof/>
              </w:rPr>
              <w:lastRenderedPageBreak/>
              <w:drawing>
                <wp:inline distT="0" distB="0" distL="0" distR="0" wp14:anchorId="5CAF84A3" wp14:editId="57B1FCB2">
                  <wp:extent cx="2100580" cy="2100580"/>
                  <wp:effectExtent l="0" t="0" r="0" b="0"/>
                  <wp:docPr id="1805260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60898" name="Imagen 180526089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115301" cy="2115301"/>
                          </a:xfrm>
                          <a:prstGeom prst="rect">
                            <a:avLst/>
                          </a:prstGeom>
                        </pic:spPr>
                      </pic:pic>
                    </a:graphicData>
                  </a:graphic>
                </wp:inline>
              </w:drawing>
            </w:r>
          </w:p>
          <w:p w14:paraId="2FA29B96" w14:textId="2494D559" w:rsidR="00500B5F" w:rsidRPr="002D15F6" w:rsidRDefault="002D15F6" w:rsidP="00C67F76">
            <w:pPr>
              <w:pStyle w:val="Descripcin"/>
            </w:pPr>
            <w:bookmarkStart w:id="170" w:name="_Toc230792293"/>
            <w:r>
              <w:t xml:space="preserve">Ilustración </w:t>
            </w:r>
            <w:fldSimple w:instr=" SEQ Ilustración \* ARABIC ">
              <w:r w:rsidR="00E76F9C">
                <w:rPr>
                  <w:noProof/>
                </w:rPr>
                <w:t>21</w:t>
              </w:r>
            </w:fldSimple>
            <w:r>
              <w:t xml:space="preserve">. </w:t>
            </w:r>
            <w:proofErr w:type="spellStart"/>
            <w:r w:rsidRPr="00154110">
              <w:t>plotDiablo</w:t>
            </w:r>
            <w:proofErr w:type="spellEnd"/>
            <w:r w:rsidRPr="00154110">
              <w:t xml:space="preserve"> (SLEDAI)</w:t>
            </w:r>
            <w:bookmarkEnd w:id="170"/>
          </w:p>
        </w:tc>
        <w:tc>
          <w:tcPr>
            <w:tcW w:w="0" w:type="auto"/>
          </w:tcPr>
          <w:p w14:paraId="7BD6B847" w14:textId="77777777" w:rsidR="002D15F6" w:rsidRDefault="00500B5F" w:rsidP="002D15F6">
            <w:pPr>
              <w:keepNext/>
              <w:jc w:val="center"/>
            </w:pPr>
            <w:r>
              <w:rPr>
                <w:noProof/>
              </w:rPr>
              <w:drawing>
                <wp:inline distT="0" distB="0" distL="0" distR="0" wp14:anchorId="5087D68F" wp14:editId="035A16A3">
                  <wp:extent cx="2130357" cy="2100580"/>
                  <wp:effectExtent l="0" t="0" r="381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5"/>
                          <a:srcRect/>
                          <a:stretch>
                            <a:fillRect/>
                          </a:stretch>
                        </pic:blipFill>
                        <pic:spPr>
                          <a:xfrm>
                            <a:off x="0" y="0"/>
                            <a:ext cx="2148754" cy="2118720"/>
                          </a:xfrm>
                          <a:prstGeom prst="rect">
                            <a:avLst/>
                          </a:prstGeom>
                          <a:ln/>
                        </pic:spPr>
                      </pic:pic>
                    </a:graphicData>
                  </a:graphic>
                </wp:inline>
              </w:drawing>
            </w:r>
          </w:p>
          <w:p w14:paraId="21FED042" w14:textId="38ECEE2E" w:rsidR="00500B5F" w:rsidRDefault="002D15F6" w:rsidP="00C67F76">
            <w:pPr>
              <w:pStyle w:val="Descripcin"/>
            </w:pPr>
            <w:bookmarkStart w:id="171" w:name="_Toc230792294"/>
            <w:r>
              <w:t xml:space="preserve">Ilustración </w:t>
            </w:r>
            <w:fldSimple w:instr=" SEQ Ilustración \* ARABIC ">
              <w:r w:rsidR="00E76F9C">
                <w:rPr>
                  <w:noProof/>
                </w:rPr>
                <w:t>22</w:t>
              </w:r>
            </w:fldSimple>
            <w:r>
              <w:t xml:space="preserve">. </w:t>
            </w:r>
            <w:proofErr w:type="spellStart"/>
            <w:r w:rsidRPr="00AC6856">
              <w:t>plotDiablo</w:t>
            </w:r>
            <w:proofErr w:type="spellEnd"/>
            <w:r w:rsidRPr="00AC6856">
              <w:t xml:space="preserve"> (SLE-DAS)</w:t>
            </w:r>
            <w:bookmarkEnd w:id="171"/>
          </w:p>
        </w:tc>
      </w:tr>
      <w:tr w:rsidR="00500B5F" w14:paraId="4C32F0B7" w14:textId="77777777" w:rsidTr="00626DEB">
        <w:tc>
          <w:tcPr>
            <w:tcW w:w="0" w:type="auto"/>
          </w:tcPr>
          <w:p w14:paraId="6DAFB2D8" w14:textId="77777777" w:rsidR="003E3FA5" w:rsidRDefault="00500B5F" w:rsidP="003E3FA5">
            <w:pPr>
              <w:keepNext/>
              <w:spacing w:before="120" w:after="120"/>
              <w:jc w:val="center"/>
            </w:pPr>
            <w:r>
              <w:rPr>
                <w:noProof/>
              </w:rPr>
              <w:drawing>
                <wp:inline distT="0" distB="0" distL="0" distR="0" wp14:anchorId="3B6C00F1" wp14:editId="13496D26">
                  <wp:extent cx="2266545" cy="2042808"/>
                  <wp:effectExtent l="0" t="0" r="0" b="1905"/>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6"/>
                          <a:srcRect/>
                          <a:stretch>
                            <a:fillRect/>
                          </a:stretch>
                        </pic:blipFill>
                        <pic:spPr>
                          <a:xfrm>
                            <a:off x="0" y="0"/>
                            <a:ext cx="2274406" cy="2049893"/>
                          </a:xfrm>
                          <a:prstGeom prst="rect">
                            <a:avLst/>
                          </a:prstGeom>
                          <a:ln/>
                        </pic:spPr>
                      </pic:pic>
                    </a:graphicData>
                  </a:graphic>
                </wp:inline>
              </w:drawing>
            </w:r>
          </w:p>
          <w:p w14:paraId="0805C1BC" w14:textId="77777777" w:rsidR="00500B5F" w:rsidRDefault="003E3FA5" w:rsidP="00C67F76">
            <w:pPr>
              <w:pStyle w:val="Descripcin"/>
            </w:pPr>
            <w:bookmarkStart w:id="172" w:name="_Toc230792295"/>
            <w:r>
              <w:t xml:space="preserve">Ilustración </w:t>
            </w:r>
            <w:fldSimple w:instr=" SEQ Ilustración \* ARABIC ">
              <w:r w:rsidR="00E76F9C">
                <w:rPr>
                  <w:noProof/>
                </w:rPr>
                <w:t>23</w:t>
              </w:r>
            </w:fldSimple>
            <w:r>
              <w:t xml:space="preserve">. </w:t>
            </w:r>
            <w:proofErr w:type="spellStart"/>
            <w:r w:rsidRPr="003D69AA">
              <w:t>plotDiablo</w:t>
            </w:r>
            <w:proofErr w:type="spellEnd"/>
            <w:r w:rsidRPr="003D69AA">
              <w:t xml:space="preserve"> (SLICC)</w:t>
            </w:r>
            <w:bookmarkEnd w:id="172"/>
          </w:p>
          <w:p w14:paraId="7D29651C" w14:textId="679E2165" w:rsidR="00DA2E05" w:rsidRPr="00DA2E05" w:rsidRDefault="00DA2E05" w:rsidP="00DA2E05"/>
        </w:tc>
        <w:tc>
          <w:tcPr>
            <w:tcW w:w="0" w:type="auto"/>
          </w:tcPr>
          <w:p w14:paraId="39B4749E" w14:textId="77777777" w:rsidR="003E3FA5" w:rsidRDefault="00500B5F" w:rsidP="003E3FA5">
            <w:pPr>
              <w:keepNext/>
              <w:jc w:val="center"/>
            </w:pPr>
            <w:r>
              <w:rPr>
                <w:noProof/>
              </w:rPr>
              <w:drawing>
                <wp:inline distT="0" distB="0" distL="0" distR="0" wp14:anchorId="24D163B3" wp14:editId="35C30A85">
                  <wp:extent cx="2178995" cy="2120616"/>
                  <wp:effectExtent l="0" t="0" r="5715" b="635"/>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7"/>
                          <a:srcRect/>
                          <a:stretch>
                            <a:fillRect/>
                          </a:stretch>
                        </pic:blipFill>
                        <pic:spPr>
                          <a:xfrm>
                            <a:off x="0" y="0"/>
                            <a:ext cx="2195049" cy="2136240"/>
                          </a:xfrm>
                          <a:prstGeom prst="rect">
                            <a:avLst/>
                          </a:prstGeom>
                          <a:ln/>
                        </pic:spPr>
                      </pic:pic>
                    </a:graphicData>
                  </a:graphic>
                </wp:inline>
              </w:drawing>
            </w:r>
          </w:p>
          <w:p w14:paraId="2B67E7C3" w14:textId="45E82DE9" w:rsidR="00500B5F" w:rsidRPr="003E3FA5" w:rsidRDefault="003E3FA5" w:rsidP="00C67F76">
            <w:pPr>
              <w:pStyle w:val="Descripcin"/>
            </w:pPr>
            <w:bookmarkStart w:id="173" w:name="_Toc230792296"/>
            <w:r>
              <w:t xml:space="preserve">Ilustración </w:t>
            </w:r>
            <w:fldSimple w:instr=" SEQ Ilustración \* ARABIC ">
              <w:r w:rsidR="00E76F9C">
                <w:rPr>
                  <w:noProof/>
                </w:rPr>
                <w:t>24</w:t>
              </w:r>
            </w:fldSimple>
            <w:r>
              <w:t xml:space="preserve">. </w:t>
            </w:r>
            <w:proofErr w:type="spellStart"/>
            <w:r w:rsidRPr="00F91232">
              <w:t>plotDiablo</w:t>
            </w:r>
            <w:proofErr w:type="spellEnd"/>
            <w:r w:rsidRPr="00F91232">
              <w:t xml:space="preserve"> (DORIS)</w:t>
            </w:r>
            <w:bookmarkEnd w:id="173"/>
          </w:p>
        </w:tc>
      </w:tr>
      <w:tr w:rsidR="00500B5F" w14:paraId="08084027" w14:textId="77777777" w:rsidTr="00626DEB">
        <w:tc>
          <w:tcPr>
            <w:tcW w:w="0" w:type="auto"/>
          </w:tcPr>
          <w:p w14:paraId="70674357" w14:textId="77777777" w:rsidR="003E3FA5" w:rsidRDefault="00500B5F" w:rsidP="003E3FA5">
            <w:pPr>
              <w:keepNext/>
              <w:jc w:val="center"/>
            </w:pPr>
            <w:r>
              <w:rPr>
                <w:noProof/>
              </w:rPr>
              <w:drawing>
                <wp:inline distT="0" distB="0" distL="0" distR="0" wp14:anchorId="353908DE" wp14:editId="2510D930">
                  <wp:extent cx="2081489" cy="2042808"/>
                  <wp:effectExtent l="0" t="0" r="1905" b="1905"/>
                  <wp:docPr id="3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8"/>
                          <a:srcRect/>
                          <a:stretch>
                            <a:fillRect/>
                          </a:stretch>
                        </pic:blipFill>
                        <pic:spPr>
                          <a:xfrm>
                            <a:off x="0" y="0"/>
                            <a:ext cx="2189169" cy="2148487"/>
                          </a:xfrm>
                          <a:prstGeom prst="rect">
                            <a:avLst/>
                          </a:prstGeom>
                          <a:ln/>
                        </pic:spPr>
                      </pic:pic>
                    </a:graphicData>
                  </a:graphic>
                </wp:inline>
              </w:drawing>
            </w:r>
          </w:p>
          <w:p w14:paraId="2D33ECEC" w14:textId="4B1C824E" w:rsidR="00500B5F" w:rsidRDefault="003E3FA5" w:rsidP="00C67F76">
            <w:pPr>
              <w:pStyle w:val="Descripcin"/>
            </w:pPr>
            <w:bookmarkStart w:id="174" w:name="_Toc230792297"/>
            <w:r>
              <w:t xml:space="preserve">Ilustración </w:t>
            </w:r>
            <w:fldSimple w:instr=" SEQ Ilustración \* ARABIC ">
              <w:r w:rsidR="00E76F9C">
                <w:rPr>
                  <w:noProof/>
                </w:rPr>
                <w:t>25</w:t>
              </w:r>
            </w:fldSimple>
            <w:r>
              <w:t xml:space="preserve">. </w:t>
            </w:r>
            <w:proofErr w:type="spellStart"/>
            <w:r w:rsidRPr="00E3488F">
              <w:t>plotDiablo</w:t>
            </w:r>
            <w:proofErr w:type="spellEnd"/>
            <w:r w:rsidRPr="00E3488F">
              <w:t xml:space="preserve"> (Remisión Estricta)</w:t>
            </w:r>
            <w:bookmarkEnd w:id="174"/>
          </w:p>
        </w:tc>
        <w:tc>
          <w:tcPr>
            <w:tcW w:w="0" w:type="auto"/>
          </w:tcPr>
          <w:p w14:paraId="3C14E0FE" w14:textId="77777777" w:rsidR="00500B5F" w:rsidRDefault="00500B5F"/>
        </w:tc>
      </w:tr>
    </w:tbl>
    <w:p w14:paraId="5C230089" w14:textId="7204B23F" w:rsidR="00386202" w:rsidRDefault="00386202">
      <w:r w:rsidRPr="00386202">
        <w:t xml:space="preserve">En </w:t>
      </w:r>
      <w:r>
        <w:t>resumen</w:t>
      </w:r>
      <w:r w:rsidRPr="00386202">
        <w:t xml:space="preserve">, la relación entre r de Pearson, </w:t>
      </w:r>
      <w:proofErr w:type="spellStart"/>
      <w:r w:rsidRPr="00386202">
        <w:t>loadings</w:t>
      </w:r>
      <w:proofErr w:type="spellEnd"/>
      <w:r w:rsidRPr="00386202">
        <w:t xml:space="preserve"> y AUROC en estos cinco modelos ilustra un principio metodológico relevante en la integración multi-</w:t>
      </w:r>
      <w:proofErr w:type="spellStart"/>
      <w:r w:rsidRPr="00386202">
        <w:t>ómica</w:t>
      </w:r>
      <w:proofErr w:type="spellEnd"/>
      <w:r w:rsidRPr="00386202">
        <w:t xml:space="preserve"> supervisada: un acoplamiento inter-bloque elevado indica que ambos </w:t>
      </w:r>
      <w:proofErr w:type="spellStart"/>
      <w:r w:rsidRPr="00386202">
        <w:t>ómicos</w:t>
      </w:r>
      <w:proofErr w:type="spellEnd"/>
      <w:r w:rsidRPr="00386202">
        <w:t xml:space="preserve"> capturan la misma señal biológica, lo que refuerza la cohesión del componente </w:t>
      </w:r>
      <w:proofErr w:type="gramStart"/>
      <w:r w:rsidRPr="00386202">
        <w:t>latente</w:t>
      </w:r>
      <w:proofErr w:type="gramEnd"/>
      <w:r w:rsidRPr="00386202">
        <w:t xml:space="preserve"> pero reduce la información complementaria que cada bloque aporta de forma independiente. Los modelos con r moderada, como SLEDAI-2K (r = 0,33) y SLICC/SDI (r = 0,56), muestran que la integración de bloques con información </w:t>
      </w:r>
      <w:r w:rsidRPr="00386202">
        <w:lastRenderedPageBreak/>
        <w:t>parcialmente distinta genera firmas multi-</w:t>
      </w:r>
      <w:proofErr w:type="spellStart"/>
      <w:r w:rsidRPr="00386202">
        <w:t>ómicas</w:t>
      </w:r>
      <w:proofErr w:type="spellEnd"/>
      <w:r w:rsidRPr="00386202">
        <w:t xml:space="preserve"> más ricas y con mayor capacidad discriminativa, a pesar de su menor cohesión geométrica.</w:t>
      </w:r>
    </w:p>
    <w:p w14:paraId="3F2EB9A3" w14:textId="77777777" w:rsidR="00097466" w:rsidRDefault="00000000">
      <w:pPr>
        <w:pStyle w:val="Ttulo4"/>
        <w:numPr>
          <w:ilvl w:val="3"/>
          <w:numId w:val="17"/>
        </w:numPr>
      </w:pPr>
      <w:r>
        <w:t xml:space="preserve">Circos </w:t>
      </w:r>
      <w:proofErr w:type="spellStart"/>
      <w:r>
        <w:t>plot</w:t>
      </w:r>
      <w:proofErr w:type="spellEnd"/>
      <w:r>
        <w:t xml:space="preserve"> y red de Relevancia (</w:t>
      </w:r>
      <w:proofErr w:type="spellStart"/>
      <w:r>
        <w:t>Relevance</w:t>
      </w:r>
      <w:proofErr w:type="spellEnd"/>
      <w:r>
        <w:t xml:space="preserve"> Network)</w:t>
      </w:r>
    </w:p>
    <w:p w14:paraId="7E9467E5" w14:textId="77777777" w:rsidR="00097466" w:rsidRDefault="00DB4D73">
      <w:r w:rsidRPr="00DB4D73">
        <w:t xml:space="preserve">El Circos </w:t>
      </w:r>
      <w:proofErr w:type="spellStart"/>
      <w:r w:rsidRPr="00DB4D73">
        <w:t>plot</w:t>
      </w:r>
      <w:proofErr w:type="spellEnd"/>
      <w:r w:rsidRPr="00DB4D73">
        <w:t xml:space="preserve"> y la Red de relevancia representan las correlaciones entre las variables seleccionadas de los bloques transcriptómico y proteómico en el espacio del Componente 1 de DIABLO. En ambos casos solo se muestran los pares con correlación absoluta alta (|r| ≥ 0,7): en el Circos </w:t>
      </w:r>
      <w:proofErr w:type="spellStart"/>
      <w:r w:rsidRPr="00DB4D73">
        <w:t>plot</w:t>
      </w:r>
      <w:proofErr w:type="spellEnd"/>
      <w:r w:rsidRPr="00DB4D73">
        <w:t xml:space="preserve"> como enlaces entre los arcos de ISGs (azul) y proteínas séricas (naranja</w:t>
      </w:r>
      <w:r w:rsidRPr="00DB4D73">
        <w:rPr>
          <w:rFonts w:ascii="Cambria Math" w:hAnsi="Cambria Math" w:cs="Cambria Math"/>
        </w:rPr>
        <w:t>‑</w:t>
      </w:r>
      <w:r w:rsidRPr="00DB4D73">
        <w:t>rojo), y en la red de relevancia como aristas entre nodos circulares (ISGs) y rectangulares (proteínas), con un grosor proporcional a la magnitud de la correlación. Estas visualizaciones permiten identificar de forma directa qué genes y proteínas constituyen el núcleo funcional integrado por DIABLO en cada modelo.</w:t>
      </w:r>
    </w:p>
    <w:p w14:paraId="1E62B98C" w14:textId="77777777" w:rsidR="00DB4D73" w:rsidRDefault="00DB4D73">
      <w:r w:rsidRPr="00DB4D73">
        <w:t>En cuatro de los cinco modelos (SLE</w:t>
      </w:r>
      <w:r w:rsidRPr="00DB4D73">
        <w:rPr>
          <w:rFonts w:ascii="Cambria Math" w:hAnsi="Cambria Math" w:cs="Cambria Math"/>
        </w:rPr>
        <w:t>‑</w:t>
      </w:r>
      <w:r w:rsidRPr="00DB4D73">
        <w:t>DAS, SLICC</w:t>
      </w:r>
      <w:r w:rsidRPr="00DB4D73">
        <w:rPr>
          <w:rFonts w:ascii="Cambria Math" w:hAnsi="Cambria Math" w:cs="Cambria Math"/>
        </w:rPr>
        <w:t>‑</w:t>
      </w:r>
      <w:r w:rsidRPr="00DB4D73">
        <w:t>SDI, DORIS y remisión estricta) la arquitectura de la red inter</w:t>
      </w:r>
      <w:r w:rsidRPr="00DB4D73">
        <w:rPr>
          <w:rFonts w:ascii="Cambria Math" w:hAnsi="Cambria Math" w:cs="Cambria Math"/>
        </w:rPr>
        <w:t>‑</w:t>
      </w:r>
      <w:r w:rsidRPr="00DB4D73">
        <w:t>bloque es muy consistente: IFN</w:t>
      </w:r>
      <w:r w:rsidRPr="00DB4D73">
        <w:rPr>
          <w:rFonts w:ascii="Cambria Math" w:hAnsi="Cambria Math" w:cs="Cambria Math"/>
        </w:rPr>
        <w:t>‑</w:t>
      </w:r>
      <w:r w:rsidRPr="00DB4D73">
        <w:t xml:space="preserve">α sérico actúa como </w:t>
      </w:r>
      <w:proofErr w:type="spellStart"/>
      <w:r w:rsidRPr="00DB4D73">
        <w:t>hub</w:t>
      </w:r>
      <w:proofErr w:type="spellEnd"/>
      <w:r w:rsidRPr="00DB4D73">
        <w:t xml:space="preserve"> proteómico principal, desde el que parten la práctica totalidad de los enlaces con ISGs, todos con correlación positiva. Esto indica que, cuando IFN</w:t>
      </w:r>
      <w:r w:rsidRPr="00DB4D73">
        <w:rPr>
          <w:rFonts w:ascii="Cambria Math" w:hAnsi="Cambria Math" w:cs="Cambria Math"/>
        </w:rPr>
        <w:t>‑</w:t>
      </w:r>
      <w:r w:rsidRPr="00DB4D73">
        <w:t>α aumenta, lo hace de forma coordinada con la sobreexpresión de un amplio conjunto de ISGs (IFI27, IFI44/44L, IFIT1/5, IFITM1, RSAD2, DDX60, USP18, SPATS2L, SP100, entre otros), reforzando que, en estos modelos, ambos bloques capturan un mismo eje biológico de actividad de interferón tipo I.</w:t>
      </w:r>
    </w:p>
    <w:p w14:paraId="4C75055A" w14:textId="77777777" w:rsidR="00DB4D73" w:rsidRDefault="00DB4D73" w:rsidP="00F7307B">
      <w:pPr>
        <w:keepNext/>
        <w:jc w:val="center"/>
      </w:pPr>
      <w:r>
        <w:rPr>
          <w:noProof/>
        </w:rPr>
        <w:drawing>
          <wp:inline distT="0" distB="0" distL="0" distR="0" wp14:anchorId="677D4F5A" wp14:editId="4D5A11DA">
            <wp:extent cx="2578675" cy="2578675"/>
            <wp:effectExtent l="0" t="0" r="0" b="0"/>
            <wp:docPr id="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9"/>
                    <a:srcRect/>
                    <a:stretch>
                      <a:fillRect/>
                    </a:stretch>
                  </pic:blipFill>
                  <pic:spPr>
                    <a:xfrm>
                      <a:off x="0" y="0"/>
                      <a:ext cx="2578675" cy="2578675"/>
                    </a:xfrm>
                    <a:prstGeom prst="rect">
                      <a:avLst/>
                    </a:prstGeom>
                    <a:ln/>
                  </pic:spPr>
                </pic:pic>
              </a:graphicData>
            </a:graphic>
          </wp:inline>
        </w:drawing>
      </w:r>
      <w:r>
        <w:t xml:space="preserve"> </w:t>
      </w:r>
      <w:r>
        <w:rPr>
          <w:noProof/>
        </w:rPr>
        <w:drawing>
          <wp:inline distT="0" distB="0" distL="0" distR="0" wp14:anchorId="136BB017" wp14:editId="254F184E">
            <wp:extent cx="2777216" cy="2221773"/>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0"/>
                    <a:srcRect/>
                    <a:stretch>
                      <a:fillRect/>
                    </a:stretch>
                  </pic:blipFill>
                  <pic:spPr>
                    <a:xfrm>
                      <a:off x="0" y="0"/>
                      <a:ext cx="2777216" cy="2221773"/>
                    </a:xfrm>
                    <a:prstGeom prst="rect">
                      <a:avLst/>
                    </a:prstGeom>
                    <a:ln/>
                  </pic:spPr>
                </pic:pic>
              </a:graphicData>
            </a:graphic>
          </wp:inline>
        </w:drawing>
      </w:r>
    </w:p>
    <w:p w14:paraId="66406D77" w14:textId="65B52992" w:rsidR="00F7307B" w:rsidRDefault="00F7307B" w:rsidP="00C67F76">
      <w:pPr>
        <w:pStyle w:val="Descripcin"/>
      </w:pPr>
      <w:bookmarkStart w:id="175" w:name="_Toc230792298"/>
      <w:r>
        <w:t xml:space="preserve">Ilustración </w:t>
      </w:r>
      <w:fldSimple w:instr=" SEQ Ilustración \* ARABIC ">
        <w:r w:rsidR="00E76F9C">
          <w:rPr>
            <w:noProof/>
          </w:rPr>
          <w:t>31</w:t>
        </w:r>
      </w:fldSimple>
      <w:r>
        <w:t xml:space="preserve">. </w:t>
      </w:r>
      <w:r w:rsidRPr="008B6D2F">
        <w:t xml:space="preserve">Circos </w:t>
      </w:r>
      <w:proofErr w:type="spellStart"/>
      <w:r w:rsidRPr="008B6D2F">
        <w:t>plot</w:t>
      </w:r>
      <w:proofErr w:type="spellEnd"/>
      <w:r w:rsidRPr="008B6D2F">
        <w:t xml:space="preserve"> y </w:t>
      </w:r>
      <w:proofErr w:type="spellStart"/>
      <w:r w:rsidRPr="008B6D2F">
        <w:t>Relevance</w:t>
      </w:r>
      <w:proofErr w:type="spellEnd"/>
      <w:r w:rsidRPr="008B6D2F">
        <w:t xml:space="preserve"> Network (SLE-DAS)</w:t>
      </w:r>
      <w:bookmarkEnd w:id="175"/>
    </w:p>
    <w:p w14:paraId="057B53C3" w14:textId="77777777" w:rsidR="00DB4D73" w:rsidRDefault="00DB4D73" w:rsidP="00F7307B">
      <w:pPr>
        <w:keepNext/>
        <w:jc w:val="center"/>
      </w:pPr>
      <w:r>
        <w:rPr>
          <w:noProof/>
        </w:rPr>
        <w:lastRenderedPageBreak/>
        <w:drawing>
          <wp:inline distT="0" distB="0" distL="0" distR="0" wp14:anchorId="666439C8" wp14:editId="2E099881">
            <wp:extent cx="2269314" cy="2422696"/>
            <wp:effectExtent l="0" t="0" r="4445" b="3175"/>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1"/>
                    <a:srcRect/>
                    <a:stretch>
                      <a:fillRect/>
                    </a:stretch>
                  </pic:blipFill>
                  <pic:spPr>
                    <a:xfrm>
                      <a:off x="0" y="0"/>
                      <a:ext cx="2274285" cy="2428003"/>
                    </a:xfrm>
                    <a:prstGeom prst="rect">
                      <a:avLst/>
                    </a:prstGeom>
                    <a:ln/>
                  </pic:spPr>
                </pic:pic>
              </a:graphicData>
            </a:graphic>
          </wp:inline>
        </w:drawing>
      </w:r>
      <w:r>
        <w:rPr>
          <w:noProof/>
        </w:rPr>
        <w:drawing>
          <wp:inline distT="0" distB="0" distL="0" distR="0" wp14:anchorId="412C6774" wp14:editId="5F8997C5">
            <wp:extent cx="2877340" cy="2301872"/>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2"/>
                    <a:srcRect/>
                    <a:stretch>
                      <a:fillRect/>
                    </a:stretch>
                  </pic:blipFill>
                  <pic:spPr>
                    <a:xfrm>
                      <a:off x="0" y="0"/>
                      <a:ext cx="2877340" cy="2301872"/>
                    </a:xfrm>
                    <a:prstGeom prst="rect">
                      <a:avLst/>
                    </a:prstGeom>
                    <a:ln/>
                  </pic:spPr>
                </pic:pic>
              </a:graphicData>
            </a:graphic>
          </wp:inline>
        </w:drawing>
      </w:r>
    </w:p>
    <w:p w14:paraId="3AEB3A99" w14:textId="0BC3C8DC" w:rsidR="00F7307B" w:rsidRDefault="00F7307B" w:rsidP="00C67F76">
      <w:pPr>
        <w:pStyle w:val="Descripcin"/>
      </w:pPr>
      <w:bookmarkStart w:id="176" w:name="_Toc230792299"/>
      <w:r>
        <w:t xml:space="preserve">Ilustración </w:t>
      </w:r>
      <w:fldSimple w:instr=" SEQ Ilustración \* ARABIC ">
        <w:r w:rsidR="00E76F9C">
          <w:rPr>
            <w:noProof/>
          </w:rPr>
          <w:t>32</w:t>
        </w:r>
      </w:fldSimple>
      <w:r>
        <w:t xml:space="preserve">. </w:t>
      </w:r>
      <w:r w:rsidRPr="00A23D72">
        <w:t xml:space="preserve">Circos </w:t>
      </w:r>
      <w:proofErr w:type="spellStart"/>
      <w:r w:rsidRPr="00A23D72">
        <w:t>plot</w:t>
      </w:r>
      <w:proofErr w:type="spellEnd"/>
      <w:r w:rsidRPr="00A23D72">
        <w:t xml:space="preserve"> y </w:t>
      </w:r>
      <w:proofErr w:type="spellStart"/>
      <w:r w:rsidRPr="00A23D72">
        <w:t>Relevance</w:t>
      </w:r>
      <w:proofErr w:type="spellEnd"/>
      <w:r w:rsidRPr="00A23D72">
        <w:t xml:space="preserve"> Network (SLICC)</w:t>
      </w:r>
      <w:bookmarkEnd w:id="176"/>
    </w:p>
    <w:p w14:paraId="7A37736E" w14:textId="77777777" w:rsidR="00DB4D73" w:rsidRDefault="00DB4D73" w:rsidP="00DB4D73">
      <w:pPr>
        <w:keepNext/>
        <w:jc w:val="center"/>
      </w:pPr>
      <w:r>
        <w:rPr>
          <w:noProof/>
        </w:rPr>
        <w:drawing>
          <wp:inline distT="0" distB="0" distL="0" distR="0" wp14:anchorId="3C90371C" wp14:editId="039EFF26">
            <wp:extent cx="2706528" cy="2706528"/>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3"/>
                    <a:srcRect/>
                    <a:stretch>
                      <a:fillRect/>
                    </a:stretch>
                  </pic:blipFill>
                  <pic:spPr>
                    <a:xfrm>
                      <a:off x="0" y="0"/>
                      <a:ext cx="2706528" cy="2706528"/>
                    </a:xfrm>
                    <a:prstGeom prst="rect">
                      <a:avLst/>
                    </a:prstGeom>
                    <a:ln/>
                  </pic:spPr>
                </pic:pic>
              </a:graphicData>
            </a:graphic>
          </wp:inline>
        </w:drawing>
      </w:r>
      <w:r>
        <w:rPr>
          <w:noProof/>
        </w:rPr>
        <w:drawing>
          <wp:inline distT="0" distB="0" distL="0" distR="0" wp14:anchorId="05AEFD58" wp14:editId="2539D6B6">
            <wp:extent cx="2678479" cy="2142783"/>
            <wp:effectExtent l="0" t="0" r="0" b="0"/>
            <wp:docPr id="7334606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4"/>
                    <a:srcRect/>
                    <a:stretch>
                      <a:fillRect/>
                    </a:stretch>
                  </pic:blipFill>
                  <pic:spPr>
                    <a:xfrm>
                      <a:off x="0" y="0"/>
                      <a:ext cx="2678479" cy="2142783"/>
                    </a:xfrm>
                    <a:prstGeom prst="rect">
                      <a:avLst/>
                    </a:prstGeom>
                    <a:ln/>
                  </pic:spPr>
                </pic:pic>
              </a:graphicData>
            </a:graphic>
          </wp:inline>
        </w:drawing>
      </w:r>
    </w:p>
    <w:p w14:paraId="3C543B25" w14:textId="77777777" w:rsidR="00DB4D73" w:rsidRDefault="00DB4D73" w:rsidP="00DB4D73">
      <w:pPr>
        <w:pBdr>
          <w:top w:val="nil"/>
          <w:left w:val="nil"/>
          <w:bottom w:val="nil"/>
          <w:right w:val="nil"/>
          <w:between w:val="nil"/>
        </w:pBdr>
        <w:spacing w:before="120" w:after="120"/>
        <w:jc w:val="center"/>
        <w:rPr>
          <w:color w:val="000000"/>
          <w:sz w:val="20"/>
          <w:szCs w:val="20"/>
        </w:rPr>
      </w:pPr>
      <w:r>
        <w:rPr>
          <w:color w:val="000000"/>
          <w:sz w:val="20"/>
          <w:szCs w:val="20"/>
        </w:rPr>
        <w:t xml:space="preserve">Ilustración 38. Circos </w:t>
      </w:r>
      <w:proofErr w:type="spellStart"/>
      <w:r>
        <w:rPr>
          <w:color w:val="000000"/>
          <w:sz w:val="20"/>
          <w:szCs w:val="20"/>
        </w:rPr>
        <w:t>plot</w:t>
      </w:r>
      <w:proofErr w:type="spellEnd"/>
      <w:r>
        <w:rPr>
          <w:color w:val="000000"/>
          <w:sz w:val="20"/>
          <w:szCs w:val="20"/>
        </w:rPr>
        <w:t xml:space="preserve"> y </w:t>
      </w:r>
      <w:proofErr w:type="spellStart"/>
      <w:r>
        <w:rPr>
          <w:color w:val="000000"/>
          <w:sz w:val="20"/>
          <w:szCs w:val="20"/>
        </w:rPr>
        <w:t>Relevance</w:t>
      </w:r>
      <w:proofErr w:type="spellEnd"/>
      <w:r>
        <w:rPr>
          <w:color w:val="000000"/>
          <w:sz w:val="20"/>
          <w:szCs w:val="20"/>
        </w:rPr>
        <w:t xml:space="preserve"> Network (DORIS)</w:t>
      </w:r>
    </w:p>
    <w:p w14:paraId="066DE1C5" w14:textId="77777777" w:rsidR="00DB4D73" w:rsidRDefault="00DB4D73" w:rsidP="00F7307B">
      <w:pPr>
        <w:keepNext/>
        <w:jc w:val="center"/>
      </w:pPr>
      <w:r>
        <w:rPr>
          <w:noProof/>
        </w:rPr>
        <w:lastRenderedPageBreak/>
        <w:drawing>
          <wp:inline distT="0" distB="0" distL="0" distR="0" wp14:anchorId="36EED15E" wp14:editId="02E2E768">
            <wp:extent cx="2527994" cy="2527994"/>
            <wp:effectExtent l="0" t="0" r="0" b="0"/>
            <wp:docPr id="11761459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5"/>
                    <a:srcRect/>
                    <a:stretch>
                      <a:fillRect/>
                    </a:stretch>
                  </pic:blipFill>
                  <pic:spPr>
                    <a:xfrm>
                      <a:off x="0" y="0"/>
                      <a:ext cx="2527994" cy="2527994"/>
                    </a:xfrm>
                    <a:prstGeom prst="rect">
                      <a:avLst/>
                    </a:prstGeom>
                    <a:ln/>
                  </pic:spPr>
                </pic:pic>
              </a:graphicData>
            </a:graphic>
          </wp:inline>
        </w:drawing>
      </w:r>
      <w:r>
        <w:rPr>
          <w:noProof/>
        </w:rPr>
        <w:drawing>
          <wp:inline distT="0" distB="0" distL="0" distR="0" wp14:anchorId="55D4359B" wp14:editId="49195753">
            <wp:extent cx="2776572" cy="2319176"/>
            <wp:effectExtent l="0" t="0" r="5080" b="508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6"/>
                    <a:srcRect/>
                    <a:stretch>
                      <a:fillRect/>
                    </a:stretch>
                  </pic:blipFill>
                  <pic:spPr>
                    <a:xfrm>
                      <a:off x="0" y="0"/>
                      <a:ext cx="2786298" cy="2327300"/>
                    </a:xfrm>
                    <a:prstGeom prst="rect">
                      <a:avLst/>
                    </a:prstGeom>
                    <a:ln/>
                  </pic:spPr>
                </pic:pic>
              </a:graphicData>
            </a:graphic>
          </wp:inline>
        </w:drawing>
      </w:r>
    </w:p>
    <w:p w14:paraId="67C0E0EB" w14:textId="07CB3D39" w:rsidR="00F7307B" w:rsidRDefault="00F7307B" w:rsidP="00C67F76">
      <w:pPr>
        <w:pStyle w:val="Descripcin"/>
      </w:pPr>
      <w:bookmarkStart w:id="177" w:name="_Toc230792300"/>
      <w:r>
        <w:t xml:space="preserve">Ilustración </w:t>
      </w:r>
      <w:fldSimple w:instr=" SEQ Ilustración \* ARABIC ">
        <w:r w:rsidR="00E76F9C">
          <w:rPr>
            <w:noProof/>
          </w:rPr>
          <w:t>33</w:t>
        </w:r>
      </w:fldSimple>
      <w:r>
        <w:t xml:space="preserve">. </w:t>
      </w:r>
      <w:r w:rsidRPr="00EC1F3A">
        <w:t xml:space="preserve">Circos </w:t>
      </w:r>
      <w:proofErr w:type="spellStart"/>
      <w:r w:rsidRPr="00EC1F3A">
        <w:t>plot</w:t>
      </w:r>
      <w:proofErr w:type="spellEnd"/>
      <w:r w:rsidRPr="00EC1F3A">
        <w:t xml:space="preserve"> y </w:t>
      </w:r>
      <w:proofErr w:type="spellStart"/>
      <w:r w:rsidRPr="00EC1F3A">
        <w:t>Relevance</w:t>
      </w:r>
      <w:proofErr w:type="spellEnd"/>
      <w:r w:rsidRPr="00EC1F3A">
        <w:t xml:space="preserve"> Network (Remisión Estricta)</w:t>
      </w:r>
      <w:bookmarkEnd w:id="177"/>
    </w:p>
    <w:p w14:paraId="4B03D5B9" w14:textId="3FA366B7" w:rsidR="00DB4D73" w:rsidRPr="00DB4D73" w:rsidRDefault="00DB4D73" w:rsidP="00DB4D73">
      <w:pPr>
        <w:pBdr>
          <w:top w:val="nil"/>
          <w:left w:val="nil"/>
          <w:bottom w:val="nil"/>
          <w:right w:val="nil"/>
          <w:between w:val="nil"/>
        </w:pBdr>
        <w:spacing w:before="120" w:after="120"/>
        <w:rPr>
          <w:color w:val="000000"/>
        </w:rPr>
      </w:pPr>
      <w:r w:rsidRPr="00DB4D73">
        <w:rPr>
          <w:color w:val="000000"/>
        </w:rPr>
        <w:t>El modelo SLEDAI</w:t>
      </w:r>
      <w:r w:rsidRPr="00DB4D73">
        <w:rPr>
          <w:rFonts w:ascii="Cambria Math" w:hAnsi="Cambria Math" w:cs="Cambria Math"/>
          <w:color w:val="000000"/>
        </w:rPr>
        <w:t>‑</w:t>
      </w:r>
      <w:r w:rsidRPr="00DB4D73">
        <w:rPr>
          <w:color w:val="000000"/>
        </w:rPr>
        <w:t xml:space="preserve">2K constituye la excepción más notable. En su Circos </w:t>
      </w:r>
      <w:proofErr w:type="spellStart"/>
      <w:r w:rsidRPr="00DB4D73">
        <w:rPr>
          <w:color w:val="000000"/>
        </w:rPr>
        <w:t>plot</w:t>
      </w:r>
      <w:proofErr w:type="spellEnd"/>
      <w:r w:rsidRPr="00DB4D73">
        <w:rPr>
          <w:color w:val="000000"/>
        </w:rPr>
        <w:t>, la única proteína que supera el umbral de conectividad con los ISGs no es IFN</w:t>
      </w:r>
      <w:r w:rsidRPr="00DB4D73">
        <w:rPr>
          <w:rFonts w:ascii="Cambria Math" w:hAnsi="Cambria Math" w:cs="Cambria Math"/>
          <w:color w:val="000000"/>
        </w:rPr>
        <w:t>‑</w:t>
      </w:r>
      <w:r w:rsidRPr="00DB4D73">
        <w:rPr>
          <w:color w:val="000000"/>
        </w:rPr>
        <w:t xml:space="preserve">α, sino C3, que actúa como </w:t>
      </w:r>
      <w:proofErr w:type="spellStart"/>
      <w:r w:rsidRPr="00DB4D73">
        <w:rPr>
          <w:color w:val="000000"/>
        </w:rPr>
        <w:t>hub</w:t>
      </w:r>
      <w:proofErr w:type="spellEnd"/>
      <w:r w:rsidRPr="00DB4D73">
        <w:rPr>
          <w:color w:val="000000"/>
        </w:rPr>
        <w:t xml:space="preserve"> proteómico único. Todos los enlaces C3–ISGs son de signo negativo, coherentes con el consumo de complemento (C3 bajo) en presencia de una firma ISG elevada durante la actividad de LES. Este patrón diferencia al SLEDAI</w:t>
      </w:r>
      <w:r w:rsidRPr="00DB4D73">
        <w:rPr>
          <w:rFonts w:ascii="Cambria Math" w:hAnsi="Cambria Math" w:cs="Cambria Math"/>
          <w:color w:val="000000"/>
        </w:rPr>
        <w:t>‑</w:t>
      </w:r>
      <w:r w:rsidRPr="00DB4D73">
        <w:rPr>
          <w:color w:val="000000"/>
        </w:rPr>
        <w:t>2K del resto de modelos y sugiere que, para la dicotomía SLEDAI</w:t>
      </w:r>
      <w:r w:rsidRPr="00DB4D73">
        <w:rPr>
          <w:rFonts w:ascii="Cambria Math" w:hAnsi="Cambria Math" w:cs="Cambria Math"/>
          <w:color w:val="000000"/>
        </w:rPr>
        <w:t>‑</w:t>
      </w:r>
      <w:r w:rsidRPr="00DB4D73">
        <w:rPr>
          <w:color w:val="000000"/>
        </w:rPr>
        <w:t>2K = 0 vs. ≥ 1, el eje funcional que mejor resume la integración multi</w:t>
      </w:r>
      <w:r w:rsidRPr="00DB4D73">
        <w:rPr>
          <w:rFonts w:ascii="Cambria Math" w:hAnsi="Cambria Math" w:cs="Cambria Math"/>
          <w:color w:val="000000"/>
        </w:rPr>
        <w:t>‑</w:t>
      </w:r>
      <w:proofErr w:type="spellStart"/>
      <w:r w:rsidRPr="00DB4D73">
        <w:rPr>
          <w:color w:val="000000"/>
        </w:rPr>
        <w:t>ómica</w:t>
      </w:r>
      <w:proofErr w:type="spellEnd"/>
      <w:r w:rsidRPr="00DB4D73">
        <w:rPr>
          <w:color w:val="000000"/>
        </w:rPr>
        <w:t xml:space="preserve"> es el gradiente ISGs–C3, más que la magnitud absoluta de IFN</w:t>
      </w:r>
      <w:r w:rsidRPr="00DB4D73">
        <w:rPr>
          <w:rFonts w:ascii="Cambria Math" w:hAnsi="Cambria Math" w:cs="Cambria Math"/>
          <w:color w:val="000000"/>
        </w:rPr>
        <w:t>‑</w:t>
      </w:r>
      <w:r w:rsidRPr="00DB4D73">
        <w:rPr>
          <w:color w:val="000000"/>
        </w:rPr>
        <w:t>α sérico.</w:t>
      </w:r>
    </w:p>
    <w:p w14:paraId="6D2B0580" w14:textId="33803EFC" w:rsidR="00097466" w:rsidRDefault="0056683F" w:rsidP="00F7307B">
      <w:pPr>
        <w:keepNext/>
        <w:jc w:val="center"/>
      </w:pPr>
      <w:r>
        <w:rPr>
          <w:noProof/>
        </w:rPr>
        <w:drawing>
          <wp:inline distT="0" distB="0" distL="0" distR="0" wp14:anchorId="59FD0EB4" wp14:editId="76D3578C">
            <wp:extent cx="2694561" cy="2694561"/>
            <wp:effectExtent l="0" t="0" r="0" b="0"/>
            <wp:docPr id="1680716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1679" name="Imagen 16807167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06678" cy="2706678"/>
                    </a:xfrm>
                    <a:prstGeom prst="rect">
                      <a:avLst/>
                    </a:prstGeom>
                  </pic:spPr>
                </pic:pic>
              </a:graphicData>
            </a:graphic>
          </wp:inline>
        </w:drawing>
      </w:r>
      <w:r>
        <w:rPr>
          <w:noProof/>
        </w:rPr>
        <w:drawing>
          <wp:inline distT="0" distB="0" distL="0" distR="0" wp14:anchorId="2299A7BC" wp14:editId="60703396">
            <wp:extent cx="2704290" cy="2222589"/>
            <wp:effectExtent l="0" t="0" r="127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8"/>
                    <a:srcRect/>
                    <a:stretch>
                      <a:fillRect/>
                    </a:stretch>
                  </pic:blipFill>
                  <pic:spPr>
                    <a:xfrm>
                      <a:off x="0" y="0"/>
                      <a:ext cx="2717253" cy="2233243"/>
                    </a:xfrm>
                    <a:prstGeom prst="rect">
                      <a:avLst/>
                    </a:prstGeom>
                    <a:ln/>
                  </pic:spPr>
                </pic:pic>
              </a:graphicData>
            </a:graphic>
          </wp:inline>
        </w:drawing>
      </w:r>
    </w:p>
    <w:p w14:paraId="32764753" w14:textId="5F79E277" w:rsidR="00F7307B" w:rsidRDefault="00F7307B" w:rsidP="00C67F76">
      <w:pPr>
        <w:pStyle w:val="Descripcin"/>
      </w:pPr>
      <w:bookmarkStart w:id="178" w:name="_Toc230792301"/>
      <w:r>
        <w:t xml:space="preserve">Ilustración </w:t>
      </w:r>
      <w:fldSimple w:instr=" SEQ Ilustración \* ARABIC ">
        <w:r w:rsidR="00E76F9C">
          <w:rPr>
            <w:noProof/>
          </w:rPr>
          <w:t>34</w:t>
        </w:r>
      </w:fldSimple>
      <w:r>
        <w:t xml:space="preserve">. </w:t>
      </w:r>
      <w:r w:rsidRPr="00E9224C">
        <w:t xml:space="preserve">Circos </w:t>
      </w:r>
      <w:proofErr w:type="spellStart"/>
      <w:r w:rsidRPr="00E9224C">
        <w:t>plot</w:t>
      </w:r>
      <w:proofErr w:type="spellEnd"/>
      <w:r w:rsidRPr="00E9224C">
        <w:t xml:space="preserve"> y </w:t>
      </w:r>
      <w:proofErr w:type="spellStart"/>
      <w:r w:rsidRPr="00E9224C">
        <w:t>Relevance</w:t>
      </w:r>
      <w:proofErr w:type="spellEnd"/>
      <w:r w:rsidRPr="00E9224C">
        <w:t xml:space="preserve"> Network (SLEDAI</w:t>
      </w:r>
      <w:r>
        <w:t>)</w:t>
      </w:r>
      <w:bookmarkEnd w:id="178"/>
    </w:p>
    <w:p w14:paraId="71C566E4" w14:textId="77777777" w:rsidR="00DB4D73" w:rsidRDefault="00DB4D73">
      <w:r w:rsidRPr="00DB4D73">
        <w:t xml:space="preserve">En conjunto, los Circos </w:t>
      </w:r>
      <w:proofErr w:type="spellStart"/>
      <w:r w:rsidRPr="00DB4D73">
        <w:t>plot</w:t>
      </w:r>
      <w:proofErr w:type="spellEnd"/>
      <w:r w:rsidRPr="00DB4D73">
        <w:t xml:space="preserve"> y las redes de relevancia confirman que el acoplamiento inter</w:t>
      </w:r>
      <w:r w:rsidRPr="00DB4D73">
        <w:rPr>
          <w:rFonts w:ascii="Cambria Math" w:hAnsi="Cambria Math" w:cs="Cambria Math"/>
        </w:rPr>
        <w:t>‑</w:t>
      </w:r>
      <w:r w:rsidRPr="00DB4D73">
        <w:t>bloque de alta magnitud se organiza alrededor de un único eje proteómico dominante: IFN</w:t>
      </w:r>
      <w:r w:rsidRPr="00DB4D73">
        <w:rPr>
          <w:rFonts w:ascii="Cambria Math" w:hAnsi="Cambria Math" w:cs="Cambria Math"/>
        </w:rPr>
        <w:t>‑</w:t>
      </w:r>
      <w:r w:rsidRPr="00DB4D73">
        <w:t>α en los modelos de SLE</w:t>
      </w:r>
      <w:r w:rsidRPr="00DB4D73">
        <w:rPr>
          <w:rFonts w:ascii="Cambria Math" w:hAnsi="Cambria Math" w:cs="Cambria Math"/>
        </w:rPr>
        <w:t>‑</w:t>
      </w:r>
      <w:r w:rsidRPr="00DB4D73">
        <w:t>DAS, SLICC</w:t>
      </w:r>
      <w:r w:rsidRPr="00DB4D73">
        <w:rPr>
          <w:rFonts w:ascii="Cambria Math" w:hAnsi="Cambria Math" w:cs="Cambria Math"/>
        </w:rPr>
        <w:t>‑</w:t>
      </w:r>
      <w:r w:rsidRPr="00DB4D73">
        <w:t>SDI, DORIS y remisión estricta, y C3 en SLEDAI</w:t>
      </w:r>
      <w:r w:rsidRPr="00DB4D73">
        <w:rPr>
          <w:rFonts w:ascii="Cambria Math" w:hAnsi="Cambria Math" w:cs="Cambria Math"/>
        </w:rPr>
        <w:t>‑</w:t>
      </w:r>
      <w:r w:rsidRPr="00DB4D73">
        <w:t xml:space="preserve">2K, proporcionando </w:t>
      </w:r>
      <w:r w:rsidRPr="00DB4D73">
        <w:lastRenderedPageBreak/>
        <w:t>una lectura compacta de los puentes moleculares que estructuran la firma multi</w:t>
      </w:r>
      <w:r w:rsidRPr="00DB4D73">
        <w:rPr>
          <w:rFonts w:ascii="Cambria Math" w:hAnsi="Cambria Math" w:cs="Cambria Math"/>
        </w:rPr>
        <w:t>‑</w:t>
      </w:r>
      <w:proofErr w:type="spellStart"/>
      <w:r w:rsidRPr="00DB4D73">
        <w:t>ómica</w:t>
      </w:r>
      <w:proofErr w:type="spellEnd"/>
      <w:r w:rsidRPr="00DB4D73">
        <w:t xml:space="preserve"> en cada desenlace clínico.</w:t>
      </w:r>
    </w:p>
    <w:p w14:paraId="126F9524" w14:textId="77777777" w:rsidR="00097466" w:rsidRDefault="00000000">
      <w:pPr>
        <w:pStyle w:val="Ttulo3"/>
        <w:numPr>
          <w:ilvl w:val="2"/>
          <w:numId w:val="17"/>
        </w:numPr>
      </w:pPr>
      <w:r>
        <w:t>Síntesis comparativa de los cinco modelos</w:t>
      </w:r>
    </w:p>
    <w:p w14:paraId="5DB9338F" w14:textId="341D00BC" w:rsidR="00097466" w:rsidRDefault="00EB4880">
      <w:r w:rsidRPr="00EB4880">
        <w:t xml:space="preserve">En conjunto, el análisis panel a panel de los cinco modelos DIABLO revela un patrón de coherencia transversal notable: en todos los modelos, el eje IFN tipo I —capturado por los ISGs de mayor </w:t>
      </w:r>
      <w:proofErr w:type="spellStart"/>
      <w:r w:rsidRPr="00EB4880">
        <w:t>loading</w:t>
      </w:r>
      <w:proofErr w:type="spellEnd"/>
      <w:r w:rsidRPr="00EB4880">
        <w:t xml:space="preserve"> y por el IFN</w:t>
      </w:r>
      <w:r w:rsidRPr="00EB4880">
        <w:rPr>
          <w:rFonts w:ascii="Cambria Math" w:hAnsi="Cambria Math" w:cs="Cambria Math"/>
        </w:rPr>
        <w:t>‑</w:t>
      </w:r>
      <w:r w:rsidRPr="00EB4880">
        <w:t>α sérico— constituye el núcleo central de la firma multi</w:t>
      </w:r>
      <w:r w:rsidRPr="00EB4880">
        <w:rPr>
          <w:rFonts w:ascii="Cambria Math" w:hAnsi="Cambria Math" w:cs="Cambria Math"/>
        </w:rPr>
        <w:t>‑</w:t>
      </w:r>
      <w:proofErr w:type="spellStart"/>
      <w:r w:rsidRPr="00EB4880">
        <w:t>ómica</w:t>
      </w:r>
      <w:proofErr w:type="spellEnd"/>
      <w:r w:rsidRPr="00EB4880">
        <w:t xml:space="preserve"> integrada. No obstante, la composición específica de ese núcleo, la magnitud del acoplamiento inter</w:t>
      </w:r>
      <w:r w:rsidRPr="00EB4880">
        <w:rPr>
          <w:rFonts w:ascii="Cambria Math" w:hAnsi="Cambria Math" w:cs="Cambria Math"/>
        </w:rPr>
        <w:t>‑</w:t>
      </w:r>
      <w:r w:rsidRPr="00EB4880">
        <w:t xml:space="preserve">bloque y la capacidad discriminativa varían de forma sistemática en función de la naturaleza de la variable respuesta, tal como se sintetiza en la Tabla </w:t>
      </w:r>
      <w:r w:rsidR="00DA2E05">
        <w:t>42</w:t>
      </w:r>
      <w:r w:rsidRPr="00EB4880">
        <w:t>.</w:t>
      </w:r>
    </w:p>
    <w:tbl>
      <w:tblPr>
        <w:tblStyle w:val="aff4"/>
        <w:tblW w:w="8485" w:type="dxa"/>
        <w:tblInd w:w="0" w:type="dxa"/>
        <w:tblLayout w:type="fixed"/>
        <w:tblLook w:val="0400" w:firstRow="0" w:lastRow="0" w:firstColumn="0" w:lastColumn="0" w:noHBand="0" w:noVBand="1"/>
      </w:tblPr>
      <w:tblGrid>
        <w:gridCol w:w="1689"/>
        <w:gridCol w:w="1683"/>
        <w:gridCol w:w="1683"/>
        <w:gridCol w:w="1685"/>
        <w:gridCol w:w="1745"/>
      </w:tblGrid>
      <w:tr w:rsidR="00097466" w14:paraId="69F9DAA0" w14:textId="77777777">
        <w:trPr>
          <w:trHeight w:val="397"/>
        </w:trPr>
        <w:tc>
          <w:tcPr>
            <w:tcW w:w="1689" w:type="dxa"/>
            <w:tcBorders>
              <w:top w:val="single" w:sz="8" w:space="0" w:color="DDDDDD"/>
              <w:left w:val="single" w:sz="8" w:space="0" w:color="DDDDDD"/>
              <w:bottom w:val="single" w:sz="8" w:space="0" w:color="DDDDDD"/>
              <w:right w:val="single" w:sz="8" w:space="0" w:color="DDDDDD"/>
            </w:tcBorders>
            <w:shd w:val="clear" w:color="auto" w:fill="F2F2F2"/>
            <w:vAlign w:val="center"/>
          </w:tcPr>
          <w:p w14:paraId="24FBD89B" w14:textId="77777777" w:rsidR="00097466" w:rsidRDefault="00000000">
            <w:pPr>
              <w:spacing w:before="0" w:after="0" w:line="240" w:lineRule="auto"/>
              <w:jc w:val="left"/>
              <w:rPr>
                <w:b/>
                <w:bCs/>
                <w:color w:val="000000"/>
                <w:sz w:val="20"/>
                <w:szCs w:val="20"/>
              </w:rPr>
            </w:pPr>
            <w:r>
              <w:rPr>
                <w:b/>
                <w:bCs/>
                <w:color w:val="000000"/>
                <w:sz w:val="20"/>
                <w:szCs w:val="20"/>
              </w:rPr>
              <w:t>Modelo</w:t>
            </w:r>
          </w:p>
        </w:tc>
        <w:tc>
          <w:tcPr>
            <w:tcW w:w="1683" w:type="dxa"/>
            <w:tcBorders>
              <w:top w:val="single" w:sz="8" w:space="0" w:color="DDDDDD"/>
              <w:left w:val="nil"/>
              <w:bottom w:val="single" w:sz="8" w:space="0" w:color="DDDDDD"/>
              <w:right w:val="single" w:sz="8" w:space="0" w:color="DDDDDD"/>
            </w:tcBorders>
            <w:shd w:val="clear" w:color="auto" w:fill="F2F2F2"/>
            <w:vAlign w:val="center"/>
          </w:tcPr>
          <w:p w14:paraId="6CB17C1C" w14:textId="77777777" w:rsidR="00097466" w:rsidRDefault="00000000">
            <w:pPr>
              <w:spacing w:before="0" w:after="0" w:line="240" w:lineRule="auto"/>
              <w:jc w:val="left"/>
              <w:rPr>
                <w:b/>
                <w:bCs/>
                <w:color w:val="000000"/>
                <w:sz w:val="20"/>
                <w:szCs w:val="20"/>
              </w:rPr>
            </w:pPr>
            <w:r>
              <w:rPr>
                <w:b/>
                <w:bCs/>
                <w:color w:val="000000"/>
                <w:sz w:val="20"/>
                <w:szCs w:val="20"/>
              </w:rPr>
              <w:t>Var. Comp1 ISG (%)</w:t>
            </w:r>
          </w:p>
        </w:tc>
        <w:tc>
          <w:tcPr>
            <w:tcW w:w="1683" w:type="dxa"/>
            <w:tcBorders>
              <w:top w:val="single" w:sz="8" w:space="0" w:color="DDDDDD"/>
              <w:left w:val="nil"/>
              <w:bottom w:val="single" w:sz="8" w:space="0" w:color="DDDDDD"/>
              <w:right w:val="single" w:sz="8" w:space="0" w:color="DDDDDD"/>
            </w:tcBorders>
            <w:shd w:val="clear" w:color="auto" w:fill="F2F2F2"/>
            <w:vAlign w:val="center"/>
          </w:tcPr>
          <w:p w14:paraId="6FF33B26" w14:textId="77777777" w:rsidR="00097466" w:rsidRDefault="00000000">
            <w:pPr>
              <w:spacing w:before="0" w:after="0" w:line="240" w:lineRule="auto"/>
              <w:jc w:val="left"/>
              <w:rPr>
                <w:b/>
                <w:bCs/>
                <w:color w:val="000000"/>
                <w:sz w:val="20"/>
                <w:szCs w:val="20"/>
              </w:rPr>
            </w:pPr>
            <w:r>
              <w:rPr>
                <w:b/>
                <w:bCs/>
                <w:color w:val="000000"/>
                <w:sz w:val="20"/>
                <w:szCs w:val="20"/>
              </w:rPr>
              <w:t xml:space="preserve">Var. Comp1 </w:t>
            </w:r>
            <w:proofErr w:type="spellStart"/>
            <w:r>
              <w:rPr>
                <w:b/>
                <w:bCs/>
                <w:color w:val="000000"/>
                <w:sz w:val="20"/>
                <w:szCs w:val="20"/>
              </w:rPr>
              <w:t>Prot</w:t>
            </w:r>
            <w:proofErr w:type="spellEnd"/>
            <w:r>
              <w:rPr>
                <w:b/>
                <w:bCs/>
                <w:color w:val="000000"/>
                <w:sz w:val="20"/>
                <w:szCs w:val="20"/>
              </w:rPr>
              <w:t xml:space="preserve"> (%)</w:t>
            </w:r>
          </w:p>
        </w:tc>
        <w:tc>
          <w:tcPr>
            <w:tcW w:w="1685" w:type="dxa"/>
            <w:tcBorders>
              <w:top w:val="single" w:sz="8" w:space="0" w:color="DDDDDD"/>
              <w:left w:val="nil"/>
              <w:bottom w:val="single" w:sz="8" w:space="0" w:color="DDDDDD"/>
              <w:right w:val="single" w:sz="8" w:space="0" w:color="DDDDDD"/>
            </w:tcBorders>
            <w:shd w:val="clear" w:color="auto" w:fill="F2F2F2"/>
            <w:vAlign w:val="center"/>
          </w:tcPr>
          <w:p w14:paraId="6131201B" w14:textId="77777777" w:rsidR="00097466" w:rsidRDefault="00000000">
            <w:pPr>
              <w:spacing w:before="0" w:after="0" w:line="240" w:lineRule="auto"/>
              <w:jc w:val="left"/>
              <w:rPr>
                <w:b/>
                <w:bCs/>
                <w:color w:val="000000"/>
                <w:sz w:val="20"/>
                <w:szCs w:val="20"/>
              </w:rPr>
            </w:pPr>
            <w:r>
              <w:rPr>
                <w:b/>
                <w:bCs/>
                <w:color w:val="000000"/>
                <w:sz w:val="20"/>
                <w:szCs w:val="20"/>
              </w:rPr>
              <w:t xml:space="preserve">AUROC </w:t>
            </w:r>
            <w:proofErr w:type="spellStart"/>
            <w:r>
              <w:rPr>
                <w:b/>
                <w:bCs/>
                <w:color w:val="000000"/>
                <w:sz w:val="20"/>
                <w:szCs w:val="20"/>
              </w:rPr>
              <w:t>Prot</w:t>
            </w:r>
            <w:proofErr w:type="spellEnd"/>
            <w:r>
              <w:rPr>
                <w:b/>
                <w:bCs/>
                <w:color w:val="000000"/>
                <w:sz w:val="20"/>
                <w:szCs w:val="20"/>
              </w:rPr>
              <w:t xml:space="preserve"> Comp1</w:t>
            </w:r>
          </w:p>
        </w:tc>
        <w:tc>
          <w:tcPr>
            <w:tcW w:w="1745" w:type="dxa"/>
            <w:tcBorders>
              <w:top w:val="single" w:sz="8" w:space="0" w:color="DDDDDD"/>
              <w:left w:val="nil"/>
              <w:bottom w:val="single" w:sz="8" w:space="0" w:color="DDDDDD"/>
              <w:right w:val="single" w:sz="8" w:space="0" w:color="DDDDDD"/>
            </w:tcBorders>
            <w:shd w:val="clear" w:color="auto" w:fill="F2F2F2"/>
            <w:vAlign w:val="center"/>
          </w:tcPr>
          <w:p w14:paraId="34A99D07" w14:textId="77777777" w:rsidR="00097466" w:rsidRDefault="00000000">
            <w:pPr>
              <w:spacing w:before="0" w:after="0" w:line="240" w:lineRule="auto"/>
              <w:jc w:val="left"/>
              <w:rPr>
                <w:b/>
                <w:bCs/>
                <w:color w:val="000000"/>
                <w:sz w:val="20"/>
                <w:szCs w:val="20"/>
              </w:rPr>
            </w:pPr>
            <w:r>
              <w:rPr>
                <w:b/>
                <w:bCs/>
                <w:color w:val="000000"/>
                <w:sz w:val="20"/>
                <w:szCs w:val="20"/>
              </w:rPr>
              <w:t>Hub proteómico</w:t>
            </w:r>
          </w:p>
        </w:tc>
      </w:tr>
      <w:tr w:rsidR="00097466" w14:paraId="6036DDC5" w14:textId="77777777">
        <w:trPr>
          <w:trHeight w:val="397"/>
        </w:trPr>
        <w:tc>
          <w:tcPr>
            <w:tcW w:w="1689" w:type="dxa"/>
            <w:tcBorders>
              <w:top w:val="nil"/>
              <w:left w:val="single" w:sz="8" w:space="0" w:color="DDDDDD"/>
              <w:bottom w:val="single" w:sz="8" w:space="0" w:color="DDDDDD"/>
              <w:right w:val="single" w:sz="8" w:space="0" w:color="DDDDDD"/>
            </w:tcBorders>
            <w:shd w:val="clear" w:color="auto" w:fill="auto"/>
            <w:vAlign w:val="center"/>
          </w:tcPr>
          <w:p w14:paraId="31451819" w14:textId="77777777" w:rsidR="00097466" w:rsidRDefault="00000000">
            <w:pPr>
              <w:spacing w:before="0" w:after="0" w:line="240" w:lineRule="auto"/>
              <w:jc w:val="left"/>
              <w:rPr>
                <w:color w:val="000000"/>
                <w:sz w:val="20"/>
                <w:szCs w:val="20"/>
              </w:rPr>
            </w:pPr>
            <w:r>
              <w:rPr>
                <w:color w:val="000000"/>
                <w:sz w:val="20"/>
                <w:szCs w:val="20"/>
              </w:rPr>
              <w:t>SLEDAI-2K</w:t>
            </w:r>
          </w:p>
        </w:tc>
        <w:tc>
          <w:tcPr>
            <w:tcW w:w="1683" w:type="dxa"/>
            <w:tcBorders>
              <w:top w:val="nil"/>
              <w:left w:val="nil"/>
              <w:bottom w:val="single" w:sz="8" w:space="0" w:color="DDDDDD"/>
              <w:right w:val="single" w:sz="8" w:space="0" w:color="DDDDDD"/>
            </w:tcBorders>
            <w:shd w:val="clear" w:color="auto" w:fill="auto"/>
            <w:vAlign w:val="center"/>
          </w:tcPr>
          <w:p w14:paraId="42BA471B" w14:textId="3CA5F010" w:rsidR="00097466" w:rsidRDefault="0056683F">
            <w:pPr>
              <w:spacing w:before="0" w:after="0" w:line="240" w:lineRule="auto"/>
              <w:jc w:val="left"/>
              <w:rPr>
                <w:color w:val="000000"/>
                <w:sz w:val="20"/>
                <w:szCs w:val="20"/>
              </w:rPr>
            </w:pPr>
            <w:r>
              <w:rPr>
                <w:color w:val="000000"/>
                <w:sz w:val="20"/>
                <w:szCs w:val="20"/>
              </w:rPr>
              <w:t>66,12</w:t>
            </w:r>
          </w:p>
        </w:tc>
        <w:tc>
          <w:tcPr>
            <w:tcW w:w="1683" w:type="dxa"/>
            <w:tcBorders>
              <w:top w:val="nil"/>
              <w:left w:val="nil"/>
              <w:bottom w:val="single" w:sz="8" w:space="0" w:color="DDDDDD"/>
              <w:right w:val="single" w:sz="8" w:space="0" w:color="DDDDDD"/>
            </w:tcBorders>
            <w:shd w:val="clear" w:color="auto" w:fill="auto"/>
            <w:vAlign w:val="center"/>
          </w:tcPr>
          <w:p w14:paraId="7F46B058" w14:textId="79DC2B68" w:rsidR="00097466" w:rsidRDefault="0056683F">
            <w:pPr>
              <w:spacing w:before="0" w:after="0" w:line="240" w:lineRule="auto"/>
              <w:jc w:val="left"/>
              <w:rPr>
                <w:color w:val="000000"/>
                <w:sz w:val="20"/>
                <w:szCs w:val="20"/>
              </w:rPr>
            </w:pPr>
            <w:r>
              <w:rPr>
                <w:color w:val="000000"/>
                <w:sz w:val="20"/>
                <w:szCs w:val="20"/>
              </w:rPr>
              <w:t>11,92</w:t>
            </w:r>
          </w:p>
        </w:tc>
        <w:tc>
          <w:tcPr>
            <w:tcW w:w="1685" w:type="dxa"/>
            <w:tcBorders>
              <w:top w:val="nil"/>
              <w:left w:val="nil"/>
              <w:bottom w:val="single" w:sz="8" w:space="0" w:color="DDDDDD"/>
              <w:right w:val="single" w:sz="8" w:space="0" w:color="DDDDDD"/>
            </w:tcBorders>
            <w:shd w:val="clear" w:color="auto" w:fill="auto"/>
            <w:vAlign w:val="center"/>
          </w:tcPr>
          <w:p w14:paraId="55E8227E" w14:textId="5F4468C1" w:rsidR="00097466" w:rsidRDefault="00000000">
            <w:pPr>
              <w:spacing w:before="0" w:after="0" w:line="240" w:lineRule="auto"/>
              <w:jc w:val="left"/>
              <w:rPr>
                <w:color w:val="000000"/>
                <w:sz w:val="20"/>
                <w:szCs w:val="20"/>
              </w:rPr>
            </w:pPr>
            <w:r>
              <w:rPr>
                <w:color w:val="000000"/>
                <w:sz w:val="20"/>
                <w:szCs w:val="20"/>
              </w:rPr>
              <w:t>0,6</w:t>
            </w:r>
            <w:r w:rsidR="0056683F">
              <w:rPr>
                <w:color w:val="000000"/>
                <w:sz w:val="20"/>
                <w:szCs w:val="20"/>
              </w:rPr>
              <w:t>47</w:t>
            </w:r>
          </w:p>
        </w:tc>
        <w:tc>
          <w:tcPr>
            <w:tcW w:w="1745" w:type="dxa"/>
            <w:tcBorders>
              <w:top w:val="nil"/>
              <w:left w:val="nil"/>
              <w:bottom w:val="single" w:sz="8" w:space="0" w:color="DDDDDD"/>
              <w:right w:val="single" w:sz="8" w:space="0" w:color="DDDDDD"/>
            </w:tcBorders>
            <w:shd w:val="clear" w:color="auto" w:fill="auto"/>
            <w:vAlign w:val="center"/>
          </w:tcPr>
          <w:p w14:paraId="458025CC" w14:textId="77777777" w:rsidR="00097466" w:rsidRDefault="00000000">
            <w:pPr>
              <w:spacing w:before="0" w:after="0" w:line="240" w:lineRule="auto"/>
              <w:jc w:val="left"/>
              <w:rPr>
                <w:color w:val="000000"/>
                <w:sz w:val="20"/>
                <w:szCs w:val="20"/>
              </w:rPr>
            </w:pPr>
            <w:r>
              <w:rPr>
                <w:color w:val="000000"/>
                <w:sz w:val="20"/>
                <w:szCs w:val="20"/>
              </w:rPr>
              <w:t>C3/C4</w:t>
            </w:r>
          </w:p>
        </w:tc>
      </w:tr>
      <w:tr w:rsidR="00097466" w14:paraId="5CD74DAC" w14:textId="77777777">
        <w:trPr>
          <w:trHeight w:val="397"/>
        </w:trPr>
        <w:tc>
          <w:tcPr>
            <w:tcW w:w="1689" w:type="dxa"/>
            <w:tcBorders>
              <w:top w:val="nil"/>
              <w:left w:val="single" w:sz="8" w:space="0" w:color="DDDDDD"/>
              <w:bottom w:val="single" w:sz="8" w:space="0" w:color="DDDDDD"/>
              <w:right w:val="single" w:sz="8" w:space="0" w:color="DDDDDD"/>
            </w:tcBorders>
            <w:shd w:val="clear" w:color="auto" w:fill="auto"/>
            <w:vAlign w:val="center"/>
          </w:tcPr>
          <w:p w14:paraId="33E6C687" w14:textId="77777777" w:rsidR="00097466" w:rsidRDefault="00000000">
            <w:pPr>
              <w:spacing w:before="0" w:after="0" w:line="240" w:lineRule="auto"/>
              <w:jc w:val="left"/>
              <w:rPr>
                <w:color w:val="000000"/>
                <w:sz w:val="20"/>
                <w:szCs w:val="20"/>
              </w:rPr>
            </w:pPr>
            <w:r>
              <w:rPr>
                <w:color w:val="000000"/>
                <w:sz w:val="20"/>
                <w:szCs w:val="20"/>
              </w:rPr>
              <w:t>SLE-DAS</w:t>
            </w:r>
          </w:p>
        </w:tc>
        <w:tc>
          <w:tcPr>
            <w:tcW w:w="1683" w:type="dxa"/>
            <w:tcBorders>
              <w:top w:val="nil"/>
              <w:left w:val="nil"/>
              <w:bottom w:val="single" w:sz="8" w:space="0" w:color="DDDDDD"/>
              <w:right w:val="single" w:sz="8" w:space="0" w:color="DDDDDD"/>
            </w:tcBorders>
            <w:shd w:val="clear" w:color="auto" w:fill="auto"/>
            <w:vAlign w:val="center"/>
          </w:tcPr>
          <w:p w14:paraId="375AFB77" w14:textId="77777777" w:rsidR="00097466" w:rsidRDefault="00000000">
            <w:pPr>
              <w:spacing w:before="0" w:after="0" w:line="240" w:lineRule="auto"/>
              <w:jc w:val="left"/>
              <w:rPr>
                <w:color w:val="000000"/>
                <w:sz w:val="20"/>
                <w:szCs w:val="20"/>
              </w:rPr>
            </w:pPr>
            <w:r>
              <w:rPr>
                <w:color w:val="000000"/>
                <w:sz w:val="20"/>
                <w:szCs w:val="20"/>
              </w:rPr>
              <w:t>71,88</w:t>
            </w:r>
          </w:p>
        </w:tc>
        <w:tc>
          <w:tcPr>
            <w:tcW w:w="1683" w:type="dxa"/>
            <w:tcBorders>
              <w:top w:val="nil"/>
              <w:left w:val="nil"/>
              <w:bottom w:val="single" w:sz="8" w:space="0" w:color="DDDDDD"/>
              <w:right w:val="single" w:sz="8" w:space="0" w:color="DDDDDD"/>
            </w:tcBorders>
            <w:shd w:val="clear" w:color="auto" w:fill="auto"/>
            <w:vAlign w:val="center"/>
          </w:tcPr>
          <w:p w14:paraId="386DD694" w14:textId="77777777" w:rsidR="00097466" w:rsidRDefault="00000000">
            <w:pPr>
              <w:spacing w:before="0" w:after="0" w:line="240" w:lineRule="auto"/>
              <w:jc w:val="left"/>
              <w:rPr>
                <w:color w:val="000000"/>
                <w:sz w:val="20"/>
                <w:szCs w:val="20"/>
              </w:rPr>
            </w:pPr>
            <w:r>
              <w:rPr>
                <w:color w:val="000000"/>
                <w:sz w:val="20"/>
                <w:szCs w:val="20"/>
              </w:rPr>
              <w:t>12,02</w:t>
            </w:r>
          </w:p>
        </w:tc>
        <w:tc>
          <w:tcPr>
            <w:tcW w:w="1685" w:type="dxa"/>
            <w:tcBorders>
              <w:top w:val="nil"/>
              <w:left w:val="nil"/>
              <w:bottom w:val="single" w:sz="8" w:space="0" w:color="DDDDDD"/>
              <w:right w:val="single" w:sz="8" w:space="0" w:color="DDDDDD"/>
            </w:tcBorders>
            <w:shd w:val="clear" w:color="auto" w:fill="auto"/>
            <w:vAlign w:val="center"/>
          </w:tcPr>
          <w:p w14:paraId="68CDB724" w14:textId="77777777" w:rsidR="00097466" w:rsidRDefault="00000000">
            <w:pPr>
              <w:spacing w:before="0" w:after="0" w:line="240" w:lineRule="auto"/>
              <w:jc w:val="left"/>
              <w:rPr>
                <w:color w:val="000000"/>
                <w:sz w:val="20"/>
                <w:szCs w:val="20"/>
              </w:rPr>
            </w:pPr>
            <w:r>
              <w:rPr>
                <w:color w:val="000000"/>
                <w:sz w:val="20"/>
                <w:szCs w:val="20"/>
              </w:rPr>
              <w:t>0,65</w:t>
            </w:r>
          </w:p>
        </w:tc>
        <w:tc>
          <w:tcPr>
            <w:tcW w:w="1745" w:type="dxa"/>
            <w:tcBorders>
              <w:top w:val="nil"/>
              <w:left w:val="nil"/>
              <w:bottom w:val="single" w:sz="8" w:space="0" w:color="DDDDDD"/>
              <w:right w:val="single" w:sz="8" w:space="0" w:color="DDDDDD"/>
            </w:tcBorders>
            <w:shd w:val="clear" w:color="auto" w:fill="auto"/>
            <w:vAlign w:val="center"/>
          </w:tcPr>
          <w:p w14:paraId="36F7D5F1" w14:textId="77777777" w:rsidR="00097466" w:rsidRDefault="00000000">
            <w:pPr>
              <w:spacing w:before="0" w:after="0" w:line="240" w:lineRule="auto"/>
              <w:jc w:val="left"/>
              <w:rPr>
                <w:color w:val="000000"/>
                <w:sz w:val="20"/>
                <w:szCs w:val="20"/>
              </w:rPr>
            </w:pPr>
            <w:r>
              <w:rPr>
                <w:color w:val="000000"/>
                <w:sz w:val="20"/>
                <w:szCs w:val="20"/>
              </w:rPr>
              <w:t>IFN-α</w:t>
            </w:r>
            <w:r w:rsidR="008E1FEB">
              <w:rPr>
                <w:color w:val="000000"/>
                <w:sz w:val="20"/>
                <w:szCs w:val="20"/>
              </w:rPr>
              <w:t xml:space="preserve"> + Apo A1</w:t>
            </w:r>
          </w:p>
        </w:tc>
      </w:tr>
      <w:tr w:rsidR="00097466" w14:paraId="10089401" w14:textId="77777777">
        <w:trPr>
          <w:trHeight w:val="397"/>
        </w:trPr>
        <w:tc>
          <w:tcPr>
            <w:tcW w:w="1689" w:type="dxa"/>
            <w:tcBorders>
              <w:top w:val="nil"/>
              <w:left w:val="single" w:sz="8" w:space="0" w:color="DDDDDD"/>
              <w:bottom w:val="single" w:sz="8" w:space="0" w:color="DDDDDD"/>
              <w:right w:val="single" w:sz="8" w:space="0" w:color="DDDDDD"/>
            </w:tcBorders>
            <w:shd w:val="clear" w:color="auto" w:fill="auto"/>
            <w:vAlign w:val="center"/>
          </w:tcPr>
          <w:p w14:paraId="4ACBB87E" w14:textId="77777777" w:rsidR="00097466" w:rsidRDefault="00000000">
            <w:pPr>
              <w:spacing w:before="0" w:after="0" w:line="240" w:lineRule="auto"/>
              <w:jc w:val="left"/>
              <w:rPr>
                <w:color w:val="000000"/>
                <w:sz w:val="20"/>
                <w:szCs w:val="20"/>
              </w:rPr>
            </w:pPr>
            <w:r>
              <w:rPr>
                <w:color w:val="000000"/>
                <w:sz w:val="20"/>
                <w:szCs w:val="20"/>
              </w:rPr>
              <w:t>SLICC-SDI</w:t>
            </w:r>
          </w:p>
        </w:tc>
        <w:tc>
          <w:tcPr>
            <w:tcW w:w="1683" w:type="dxa"/>
            <w:tcBorders>
              <w:top w:val="nil"/>
              <w:left w:val="nil"/>
              <w:bottom w:val="single" w:sz="8" w:space="0" w:color="DDDDDD"/>
              <w:right w:val="single" w:sz="8" w:space="0" w:color="DDDDDD"/>
            </w:tcBorders>
            <w:shd w:val="clear" w:color="auto" w:fill="auto"/>
            <w:vAlign w:val="center"/>
          </w:tcPr>
          <w:p w14:paraId="0471A107" w14:textId="77777777" w:rsidR="00097466" w:rsidRDefault="00000000">
            <w:pPr>
              <w:spacing w:before="0" w:after="0" w:line="240" w:lineRule="auto"/>
              <w:jc w:val="left"/>
              <w:rPr>
                <w:color w:val="000000"/>
                <w:sz w:val="20"/>
                <w:szCs w:val="20"/>
              </w:rPr>
            </w:pPr>
            <w:r>
              <w:rPr>
                <w:color w:val="000000"/>
                <w:sz w:val="20"/>
                <w:szCs w:val="20"/>
              </w:rPr>
              <w:t>69,29</w:t>
            </w:r>
          </w:p>
        </w:tc>
        <w:tc>
          <w:tcPr>
            <w:tcW w:w="1683" w:type="dxa"/>
            <w:tcBorders>
              <w:top w:val="nil"/>
              <w:left w:val="nil"/>
              <w:bottom w:val="single" w:sz="8" w:space="0" w:color="DDDDDD"/>
              <w:right w:val="single" w:sz="8" w:space="0" w:color="DDDDDD"/>
            </w:tcBorders>
            <w:shd w:val="clear" w:color="auto" w:fill="auto"/>
            <w:vAlign w:val="center"/>
          </w:tcPr>
          <w:p w14:paraId="163B488F" w14:textId="77777777" w:rsidR="00097466" w:rsidRDefault="00000000">
            <w:pPr>
              <w:spacing w:before="0" w:after="0" w:line="240" w:lineRule="auto"/>
              <w:jc w:val="left"/>
              <w:rPr>
                <w:color w:val="000000"/>
                <w:sz w:val="20"/>
                <w:szCs w:val="20"/>
              </w:rPr>
            </w:pPr>
            <w:r>
              <w:rPr>
                <w:color w:val="000000"/>
                <w:sz w:val="20"/>
                <w:szCs w:val="20"/>
              </w:rPr>
              <w:t>7,3</w:t>
            </w:r>
          </w:p>
        </w:tc>
        <w:tc>
          <w:tcPr>
            <w:tcW w:w="1685" w:type="dxa"/>
            <w:tcBorders>
              <w:top w:val="nil"/>
              <w:left w:val="nil"/>
              <w:bottom w:val="single" w:sz="8" w:space="0" w:color="DDDDDD"/>
              <w:right w:val="single" w:sz="8" w:space="0" w:color="DDDDDD"/>
            </w:tcBorders>
            <w:shd w:val="clear" w:color="auto" w:fill="auto"/>
            <w:vAlign w:val="center"/>
          </w:tcPr>
          <w:p w14:paraId="7B5B6692" w14:textId="77777777" w:rsidR="00097466" w:rsidRDefault="00000000">
            <w:pPr>
              <w:spacing w:before="0" w:after="0" w:line="240" w:lineRule="auto"/>
              <w:jc w:val="left"/>
              <w:rPr>
                <w:color w:val="000000"/>
                <w:sz w:val="20"/>
                <w:szCs w:val="20"/>
              </w:rPr>
            </w:pPr>
            <w:r>
              <w:rPr>
                <w:color w:val="000000"/>
                <w:sz w:val="20"/>
                <w:szCs w:val="20"/>
              </w:rPr>
              <w:t>0,669</w:t>
            </w:r>
          </w:p>
        </w:tc>
        <w:tc>
          <w:tcPr>
            <w:tcW w:w="1745" w:type="dxa"/>
            <w:tcBorders>
              <w:top w:val="nil"/>
              <w:left w:val="nil"/>
              <w:bottom w:val="single" w:sz="8" w:space="0" w:color="DDDDDD"/>
              <w:right w:val="single" w:sz="8" w:space="0" w:color="DDDDDD"/>
            </w:tcBorders>
            <w:shd w:val="clear" w:color="auto" w:fill="auto"/>
            <w:vAlign w:val="center"/>
          </w:tcPr>
          <w:p w14:paraId="7C7AD9F5" w14:textId="77777777" w:rsidR="00097466" w:rsidRDefault="00000000">
            <w:pPr>
              <w:spacing w:before="0" w:after="0" w:line="240" w:lineRule="auto"/>
              <w:jc w:val="left"/>
              <w:rPr>
                <w:color w:val="000000"/>
                <w:sz w:val="20"/>
                <w:szCs w:val="20"/>
              </w:rPr>
            </w:pPr>
            <w:r>
              <w:rPr>
                <w:color w:val="000000"/>
                <w:sz w:val="20"/>
                <w:szCs w:val="20"/>
              </w:rPr>
              <w:t>IFN-α + Creatinina</w:t>
            </w:r>
          </w:p>
        </w:tc>
      </w:tr>
      <w:tr w:rsidR="00097466" w14:paraId="0AF11C78" w14:textId="77777777">
        <w:trPr>
          <w:trHeight w:val="397"/>
        </w:trPr>
        <w:tc>
          <w:tcPr>
            <w:tcW w:w="1689" w:type="dxa"/>
            <w:tcBorders>
              <w:top w:val="nil"/>
              <w:left w:val="single" w:sz="8" w:space="0" w:color="DDDDDD"/>
              <w:bottom w:val="single" w:sz="8" w:space="0" w:color="DDDDDD"/>
              <w:right w:val="single" w:sz="8" w:space="0" w:color="DDDDDD"/>
            </w:tcBorders>
            <w:shd w:val="clear" w:color="auto" w:fill="auto"/>
            <w:vAlign w:val="center"/>
          </w:tcPr>
          <w:p w14:paraId="3422918D" w14:textId="77777777" w:rsidR="00097466" w:rsidRDefault="00000000">
            <w:pPr>
              <w:spacing w:before="0" w:after="0" w:line="240" w:lineRule="auto"/>
              <w:jc w:val="left"/>
              <w:rPr>
                <w:color w:val="000000"/>
                <w:sz w:val="20"/>
                <w:szCs w:val="20"/>
              </w:rPr>
            </w:pPr>
            <w:r>
              <w:rPr>
                <w:color w:val="000000"/>
                <w:sz w:val="20"/>
                <w:szCs w:val="20"/>
              </w:rPr>
              <w:t>DORIS</w:t>
            </w:r>
          </w:p>
        </w:tc>
        <w:tc>
          <w:tcPr>
            <w:tcW w:w="1683" w:type="dxa"/>
            <w:tcBorders>
              <w:top w:val="nil"/>
              <w:left w:val="nil"/>
              <w:bottom w:val="single" w:sz="8" w:space="0" w:color="DDDDDD"/>
              <w:right w:val="single" w:sz="8" w:space="0" w:color="DDDDDD"/>
            </w:tcBorders>
            <w:shd w:val="clear" w:color="auto" w:fill="auto"/>
            <w:vAlign w:val="center"/>
          </w:tcPr>
          <w:p w14:paraId="2D36A7FD" w14:textId="77777777" w:rsidR="00097466" w:rsidRDefault="00000000">
            <w:pPr>
              <w:spacing w:before="0" w:after="0" w:line="240" w:lineRule="auto"/>
              <w:jc w:val="left"/>
              <w:rPr>
                <w:color w:val="000000"/>
                <w:sz w:val="20"/>
                <w:szCs w:val="20"/>
              </w:rPr>
            </w:pPr>
            <w:r>
              <w:rPr>
                <w:color w:val="000000"/>
                <w:sz w:val="20"/>
                <w:szCs w:val="20"/>
              </w:rPr>
              <w:t>70,5</w:t>
            </w:r>
          </w:p>
        </w:tc>
        <w:tc>
          <w:tcPr>
            <w:tcW w:w="1683" w:type="dxa"/>
            <w:tcBorders>
              <w:top w:val="nil"/>
              <w:left w:val="nil"/>
              <w:bottom w:val="single" w:sz="8" w:space="0" w:color="DDDDDD"/>
              <w:right w:val="single" w:sz="8" w:space="0" w:color="DDDDDD"/>
            </w:tcBorders>
            <w:shd w:val="clear" w:color="auto" w:fill="auto"/>
            <w:vAlign w:val="center"/>
          </w:tcPr>
          <w:p w14:paraId="24D75F9E" w14:textId="77777777" w:rsidR="00097466" w:rsidRDefault="00000000">
            <w:pPr>
              <w:spacing w:before="0" w:after="0" w:line="240" w:lineRule="auto"/>
              <w:jc w:val="left"/>
              <w:rPr>
                <w:color w:val="000000"/>
                <w:sz w:val="20"/>
                <w:szCs w:val="20"/>
              </w:rPr>
            </w:pPr>
            <w:r>
              <w:rPr>
                <w:color w:val="000000"/>
                <w:sz w:val="20"/>
                <w:szCs w:val="20"/>
              </w:rPr>
              <w:t>11,77</w:t>
            </w:r>
          </w:p>
        </w:tc>
        <w:tc>
          <w:tcPr>
            <w:tcW w:w="1685" w:type="dxa"/>
            <w:tcBorders>
              <w:top w:val="nil"/>
              <w:left w:val="nil"/>
              <w:bottom w:val="single" w:sz="8" w:space="0" w:color="DDDDDD"/>
              <w:right w:val="single" w:sz="8" w:space="0" w:color="DDDDDD"/>
            </w:tcBorders>
            <w:shd w:val="clear" w:color="auto" w:fill="auto"/>
            <w:vAlign w:val="center"/>
          </w:tcPr>
          <w:p w14:paraId="757BE78B" w14:textId="77777777" w:rsidR="00097466" w:rsidRDefault="00000000">
            <w:pPr>
              <w:spacing w:before="0" w:after="0" w:line="240" w:lineRule="auto"/>
              <w:jc w:val="left"/>
              <w:rPr>
                <w:color w:val="000000"/>
                <w:sz w:val="20"/>
                <w:szCs w:val="20"/>
              </w:rPr>
            </w:pPr>
            <w:r>
              <w:rPr>
                <w:color w:val="000000"/>
                <w:sz w:val="20"/>
                <w:szCs w:val="20"/>
              </w:rPr>
              <w:t>0,574</w:t>
            </w:r>
          </w:p>
        </w:tc>
        <w:tc>
          <w:tcPr>
            <w:tcW w:w="1745" w:type="dxa"/>
            <w:tcBorders>
              <w:top w:val="nil"/>
              <w:left w:val="nil"/>
              <w:bottom w:val="single" w:sz="8" w:space="0" w:color="DDDDDD"/>
              <w:right w:val="single" w:sz="8" w:space="0" w:color="DDDDDD"/>
            </w:tcBorders>
            <w:shd w:val="clear" w:color="auto" w:fill="auto"/>
            <w:vAlign w:val="center"/>
          </w:tcPr>
          <w:p w14:paraId="2D6EB3B6" w14:textId="77777777" w:rsidR="00097466" w:rsidRDefault="00000000">
            <w:pPr>
              <w:spacing w:before="0" w:after="0" w:line="240" w:lineRule="auto"/>
              <w:jc w:val="left"/>
              <w:rPr>
                <w:color w:val="000000"/>
                <w:sz w:val="20"/>
                <w:szCs w:val="20"/>
              </w:rPr>
            </w:pPr>
            <w:r>
              <w:rPr>
                <w:color w:val="000000"/>
                <w:sz w:val="20"/>
                <w:szCs w:val="20"/>
              </w:rPr>
              <w:t>IFN-α</w:t>
            </w:r>
          </w:p>
        </w:tc>
      </w:tr>
      <w:tr w:rsidR="00097466" w14:paraId="5A6948D8" w14:textId="77777777">
        <w:trPr>
          <w:trHeight w:val="397"/>
        </w:trPr>
        <w:tc>
          <w:tcPr>
            <w:tcW w:w="1689" w:type="dxa"/>
            <w:tcBorders>
              <w:top w:val="nil"/>
              <w:left w:val="single" w:sz="8" w:space="0" w:color="DDDDDD"/>
              <w:bottom w:val="single" w:sz="8" w:space="0" w:color="DDDDDD"/>
              <w:right w:val="single" w:sz="8" w:space="0" w:color="DDDDDD"/>
            </w:tcBorders>
            <w:shd w:val="clear" w:color="auto" w:fill="auto"/>
            <w:vAlign w:val="center"/>
          </w:tcPr>
          <w:p w14:paraId="5EDDE8C8" w14:textId="77777777" w:rsidR="00097466" w:rsidRDefault="00000000">
            <w:pPr>
              <w:spacing w:before="0" w:after="0" w:line="240" w:lineRule="auto"/>
              <w:jc w:val="left"/>
              <w:rPr>
                <w:color w:val="000000"/>
                <w:sz w:val="20"/>
                <w:szCs w:val="20"/>
              </w:rPr>
            </w:pPr>
            <w:r>
              <w:rPr>
                <w:color w:val="000000"/>
                <w:sz w:val="20"/>
                <w:szCs w:val="20"/>
              </w:rPr>
              <w:t>Remisión estricta</w:t>
            </w:r>
          </w:p>
        </w:tc>
        <w:tc>
          <w:tcPr>
            <w:tcW w:w="1683" w:type="dxa"/>
            <w:tcBorders>
              <w:top w:val="nil"/>
              <w:left w:val="nil"/>
              <w:bottom w:val="single" w:sz="8" w:space="0" w:color="DDDDDD"/>
              <w:right w:val="single" w:sz="8" w:space="0" w:color="DDDDDD"/>
            </w:tcBorders>
            <w:shd w:val="clear" w:color="auto" w:fill="auto"/>
            <w:vAlign w:val="center"/>
          </w:tcPr>
          <w:p w14:paraId="02381B8C" w14:textId="77777777" w:rsidR="00097466" w:rsidRDefault="00000000">
            <w:pPr>
              <w:spacing w:before="0" w:after="0" w:line="240" w:lineRule="auto"/>
              <w:jc w:val="left"/>
              <w:rPr>
                <w:color w:val="000000"/>
                <w:sz w:val="20"/>
                <w:szCs w:val="20"/>
              </w:rPr>
            </w:pPr>
            <w:r>
              <w:rPr>
                <w:color w:val="000000"/>
                <w:sz w:val="20"/>
                <w:szCs w:val="20"/>
              </w:rPr>
              <w:t>69,31</w:t>
            </w:r>
          </w:p>
        </w:tc>
        <w:tc>
          <w:tcPr>
            <w:tcW w:w="1683" w:type="dxa"/>
            <w:tcBorders>
              <w:top w:val="nil"/>
              <w:left w:val="nil"/>
              <w:bottom w:val="single" w:sz="8" w:space="0" w:color="DDDDDD"/>
              <w:right w:val="single" w:sz="8" w:space="0" w:color="DDDDDD"/>
            </w:tcBorders>
            <w:shd w:val="clear" w:color="auto" w:fill="auto"/>
            <w:vAlign w:val="center"/>
          </w:tcPr>
          <w:p w14:paraId="3D858A00" w14:textId="77777777" w:rsidR="00097466" w:rsidRDefault="00000000">
            <w:pPr>
              <w:spacing w:before="0" w:after="0" w:line="240" w:lineRule="auto"/>
              <w:jc w:val="left"/>
              <w:rPr>
                <w:color w:val="000000"/>
                <w:sz w:val="20"/>
                <w:szCs w:val="20"/>
              </w:rPr>
            </w:pPr>
            <w:r>
              <w:rPr>
                <w:color w:val="000000"/>
                <w:sz w:val="20"/>
                <w:szCs w:val="20"/>
              </w:rPr>
              <w:t>7,4</w:t>
            </w:r>
          </w:p>
        </w:tc>
        <w:tc>
          <w:tcPr>
            <w:tcW w:w="1685" w:type="dxa"/>
            <w:tcBorders>
              <w:top w:val="nil"/>
              <w:left w:val="nil"/>
              <w:bottom w:val="single" w:sz="8" w:space="0" w:color="DDDDDD"/>
              <w:right w:val="single" w:sz="8" w:space="0" w:color="DDDDDD"/>
            </w:tcBorders>
            <w:shd w:val="clear" w:color="auto" w:fill="auto"/>
            <w:vAlign w:val="center"/>
          </w:tcPr>
          <w:p w14:paraId="470BE80F" w14:textId="77777777" w:rsidR="00097466" w:rsidRDefault="00000000">
            <w:pPr>
              <w:spacing w:before="0" w:after="0" w:line="240" w:lineRule="auto"/>
              <w:jc w:val="left"/>
              <w:rPr>
                <w:color w:val="000000"/>
                <w:sz w:val="20"/>
                <w:szCs w:val="20"/>
              </w:rPr>
            </w:pPr>
            <w:r>
              <w:rPr>
                <w:color w:val="000000"/>
                <w:sz w:val="20"/>
                <w:szCs w:val="20"/>
              </w:rPr>
              <w:t>0,671</w:t>
            </w:r>
          </w:p>
        </w:tc>
        <w:tc>
          <w:tcPr>
            <w:tcW w:w="1745" w:type="dxa"/>
            <w:tcBorders>
              <w:top w:val="nil"/>
              <w:left w:val="nil"/>
              <w:bottom w:val="single" w:sz="8" w:space="0" w:color="DDDDDD"/>
              <w:right w:val="single" w:sz="8" w:space="0" w:color="DDDDDD"/>
            </w:tcBorders>
            <w:shd w:val="clear" w:color="auto" w:fill="auto"/>
            <w:vAlign w:val="center"/>
          </w:tcPr>
          <w:p w14:paraId="2ED271EC" w14:textId="77777777" w:rsidR="00097466" w:rsidRDefault="00000000" w:rsidP="00F7307B">
            <w:pPr>
              <w:keepNext/>
              <w:spacing w:before="0" w:after="0" w:line="240" w:lineRule="auto"/>
              <w:jc w:val="left"/>
              <w:rPr>
                <w:color w:val="000000"/>
                <w:sz w:val="20"/>
                <w:szCs w:val="20"/>
              </w:rPr>
            </w:pPr>
            <w:r>
              <w:rPr>
                <w:color w:val="000000"/>
                <w:sz w:val="20"/>
                <w:szCs w:val="20"/>
              </w:rPr>
              <w:t>IFN-α + BAFF + C3</w:t>
            </w:r>
          </w:p>
        </w:tc>
      </w:tr>
    </w:tbl>
    <w:p w14:paraId="528C9491" w14:textId="0442FE45" w:rsidR="00F7307B" w:rsidRDefault="00F7307B" w:rsidP="00C67F76">
      <w:pPr>
        <w:pStyle w:val="Descripcin"/>
      </w:pPr>
      <w:bookmarkStart w:id="179" w:name="_Toc230792271"/>
      <w:r>
        <w:t xml:space="preserve">Tabla </w:t>
      </w:r>
      <w:fldSimple w:instr=" SEQ Tabla \* ARABIC ">
        <w:r w:rsidR="00716AEA">
          <w:rPr>
            <w:noProof/>
          </w:rPr>
          <w:t>42</w:t>
        </w:r>
      </w:fldSimple>
      <w:r>
        <w:t xml:space="preserve">. </w:t>
      </w:r>
      <w:r w:rsidRPr="00F00DE0">
        <w:t>Parámetros de coherencia inter-bloque y capacidad discriminativa de los cinco modelos DIABLO según la variable respuesta.</w:t>
      </w:r>
      <w:bookmarkEnd w:id="179"/>
    </w:p>
    <w:p w14:paraId="688C63BD" w14:textId="40469BFF" w:rsidR="00EB4880" w:rsidRDefault="00EB4880" w:rsidP="00EB4880">
      <w:r>
        <w:t>El modelo SLEDAI</w:t>
      </w:r>
      <w:r>
        <w:rPr>
          <w:rFonts w:ascii="Cambria Math" w:hAnsi="Cambria Math" w:cs="Cambria Math"/>
        </w:rPr>
        <w:t>‑</w:t>
      </w:r>
      <w:r>
        <w:t xml:space="preserve">2K es el único en el que la proteómica introduce una dimensión genuinamente complementaria a través del complemento: C3 y C4 actúan como </w:t>
      </w:r>
      <w:proofErr w:type="spellStart"/>
      <w:r>
        <w:t>hub</w:t>
      </w:r>
      <w:proofErr w:type="spellEnd"/>
      <w:r>
        <w:t xml:space="preserve"> proteómico principal. Esto sugiere que, para la dicotomía SLEDAI</w:t>
      </w:r>
      <w:r>
        <w:rPr>
          <w:rFonts w:ascii="Cambria Math" w:hAnsi="Cambria Math" w:cs="Cambria Math"/>
        </w:rPr>
        <w:t>‑</w:t>
      </w:r>
      <w:r>
        <w:t>2K = 0 vs. ≥ 1, el gradiente “ISGs altos / complemento bajo” resume mejor la actividad de la enfermedad que la magnitud absoluta de IFN</w:t>
      </w:r>
      <w:r>
        <w:rPr>
          <w:rFonts w:ascii="Cambria Math" w:hAnsi="Cambria Math" w:cs="Cambria Math"/>
        </w:rPr>
        <w:t>‑</w:t>
      </w:r>
      <w:r>
        <w:t>α sérico.</w:t>
      </w:r>
      <w:r w:rsidR="00C67F76">
        <w:t xml:space="preserve"> </w:t>
      </w:r>
      <w:r>
        <w:t>En contraste, los modelos SLE</w:t>
      </w:r>
      <w:r>
        <w:rPr>
          <w:rFonts w:ascii="Cambria Math" w:hAnsi="Cambria Math" w:cs="Cambria Math"/>
        </w:rPr>
        <w:t>‑</w:t>
      </w:r>
      <w:r>
        <w:t>DAS y DORIS muestran la arquitectura inter</w:t>
      </w:r>
      <w:r>
        <w:rPr>
          <w:rFonts w:ascii="Cambria Math" w:hAnsi="Cambria Math" w:cs="Cambria Math"/>
        </w:rPr>
        <w:t>‑</w:t>
      </w:r>
      <w:r>
        <w:t>bloque más “clásica”, con IFN</w:t>
      </w:r>
      <w:r>
        <w:rPr>
          <w:rFonts w:ascii="Cambria Math" w:hAnsi="Cambria Math" w:cs="Cambria Math"/>
        </w:rPr>
        <w:t>‑</w:t>
      </w:r>
      <w:r>
        <w:t xml:space="preserve">α como </w:t>
      </w:r>
      <w:proofErr w:type="spellStart"/>
      <w:r>
        <w:t>hub</w:t>
      </w:r>
      <w:proofErr w:type="spellEnd"/>
      <w:r>
        <w:t xml:space="preserve"> proteómico dominante y un conjunto amplio de ISGs fuertemente correlacionados en la misma dirección. El modelo SLICC</w:t>
      </w:r>
      <w:r>
        <w:rPr>
          <w:rFonts w:ascii="Cambria Math" w:hAnsi="Cambria Math" w:cs="Cambria Math"/>
        </w:rPr>
        <w:t>‑</w:t>
      </w:r>
      <w:r>
        <w:t>SDI introduce una dimensión adicional ligada al daño renal crónico</w:t>
      </w:r>
      <w:r w:rsidR="00C67F76">
        <w:t xml:space="preserve">, la creatinina, </w:t>
      </w:r>
      <w:r>
        <w:t>aunque IFN</w:t>
      </w:r>
      <w:r>
        <w:rPr>
          <w:rFonts w:ascii="Cambria Math" w:hAnsi="Cambria Math" w:cs="Cambria Math"/>
        </w:rPr>
        <w:t>‑</w:t>
      </w:r>
      <w:r>
        <w:t>α sigue concentrando la mayor parte de la conectividad inter</w:t>
      </w:r>
      <w:r>
        <w:rPr>
          <w:rFonts w:ascii="Cambria Math" w:hAnsi="Cambria Math" w:cs="Cambria Math"/>
        </w:rPr>
        <w:t>‑</w:t>
      </w:r>
      <w:r>
        <w:t xml:space="preserve">bloque con los ISGs. </w:t>
      </w:r>
    </w:p>
    <w:p w14:paraId="0E5C239D" w14:textId="67B86ED3" w:rsidR="00567404" w:rsidRDefault="00EB4880" w:rsidP="00567404">
      <w:r>
        <w:t>En conjunto, estos resultados respaldan la utilidad de DIABLO para descomponer cómo cada índice clínico de LES “lee” la biología subyacente y para identificar qué combinaciones de biomarcadores multi</w:t>
      </w:r>
      <w:r>
        <w:rPr>
          <w:rFonts w:ascii="Cambria Math" w:hAnsi="Cambria Math" w:cs="Cambria Math"/>
        </w:rPr>
        <w:t>‑</w:t>
      </w:r>
      <w:proofErr w:type="spellStart"/>
      <w:r>
        <w:t>ómicos</w:t>
      </w:r>
      <w:proofErr w:type="spellEnd"/>
      <w:r>
        <w:t xml:space="preserve"> son más coherentes con cada definición de actividad, daño o remisión.</w:t>
      </w:r>
    </w:p>
    <w:p w14:paraId="3DA64B00" w14:textId="368E1054" w:rsidR="00567404" w:rsidRDefault="00567404" w:rsidP="00567404">
      <w:pPr>
        <w:pStyle w:val="Ttulo2"/>
        <w:numPr>
          <w:ilvl w:val="1"/>
          <w:numId w:val="17"/>
        </w:numPr>
      </w:pPr>
      <w:bookmarkStart w:id="180" w:name="_Toc230792333"/>
      <w:r w:rsidRPr="00567404">
        <w:t>Modelo predictivo LASSO multi-</w:t>
      </w:r>
      <w:proofErr w:type="spellStart"/>
      <w:r w:rsidRPr="00567404">
        <w:t>ómico</w:t>
      </w:r>
      <w:bookmarkEnd w:id="180"/>
      <w:proofErr w:type="spellEnd"/>
    </w:p>
    <w:p w14:paraId="7AA0FCE7" w14:textId="6FDB586E" w:rsidR="00553362" w:rsidRPr="00553362" w:rsidRDefault="00553362" w:rsidP="00553362">
      <w:r w:rsidRPr="00553362">
        <w:t xml:space="preserve">Como paso final del pipeline analítico, y partiendo de las dos capas </w:t>
      </w:r>
      <w:proofErr w:type="spellStart"/>
      <w:r w:rsidRPr="00553362">
        <w:t>ómicas</w:t>
      </w:r>
      <w:proofErr w:type="spellEnd"/>
      <w:r w:rsidRPr="00553362">
        <w:t xml:space="preserve"> integradas en el análisis DIABLO —el bloque transcriptómico de 72 ISGs y el bloque proteómico sérico de 18 variables—, se construyó un modelo de regresión logística penalizada LASSO con el objetivo de identificar el subconjunto mínimo de biomarcadores multi-</w:t>
      </w:r>
      <w:proofErr w:type="spellStart"/>
      <w:r w:rsidRPr="00553362">
        <w:t>ómicos</w:t>
      </w:r>
      <w:proofErr w:type="spellEnd"/>
      <w:r w:rsidRPr="00553362">
        <w:t xml:space="preserve"> con mayor capacidad </w:t>
      </w:r>
      <w:r w:rsidRPr="00553362">
        <w:lastRenderedPageBreak/>
        <w:t>predictiva individual para cada desenlace clínico. A diferencia de DIABLO, que modela la estructura de covariación entre bloques, el LASSO opera sobre una matriz de predictores unificada y selecciona variables en función de su asociación directa con la variable respuesta, proporcionando así modelos interpretables y potencialmente trasladables al contexto clínico.</w:t>
      </w:r>
    </w:p>
    <w:p w14:paraId="5F250DD1" w14:textId="5FB16C02" w:rsidR="00567404" w:rsidRDefault="00567404" w:rsidP="00567404">
      <w:pPr>
        <w:pStyle w:val="Ttulo3"/>
        <w:numPr>
          <w:ilvl w:val="2"/>
          <w:numId w:val="17"/>
        </w:numPr>
      </w:pPr>
      <w:r w:rsidRPr="00567404">
        <w:t>Selección de variables y parámetros de regularización</w:t>
      </w:r>
    </w:p>
    <w:p w14:paraId="15C939C5" w14:textId="1B95F5ED" w:rsidR="00567404" w:rsidRDefault="00567404" w:rsidP="00567404">
      <w:r w:rsidRPr="00567404">
        <w:t xml:space="preserve">La </w:t>
      </w:r>
      <w:r>
        <w:t>siguiente tabla</w:t>
      </w:r>
      <w:r w:rsidRPr="00567404">
        <w:t xml:space="preserve"> </w:t>
      </w:r>
      <w:r w:rsidR="00C67F76">
        <w:t xml:space="preserve">43 </w:t>
      </w:r>
      <w:r w:rsidRPr="00567404">
        <w:t>recoge, para cada uno de los cinco desenlaces clínicos, el valor del parámetro λ seleccionado con el criterio de parsimonia (lambda.1se), el AUC medio en la validación cruzada 10-fold y el número de variables con coeficiente no nulo en el modelo final.</w:t>
      </w:r>
    </w:p>
    <w:tbl>
      <w:tblPr>
        <w:tblW w:w="5000" w:type="pct"/>
        <w:tblCellMar>
          <w:left w:w="70" w:type="dxa"/>
          <w:right w:w="70" w:type="dxa"/>
        </w:tblCellMar>
        <w:tblLook w:val="04A0" w:firstRow="1" w:lastRow="0" w:firstColumn="1" w:lastColumn="0" w:noHBand="0" w:noVBand="1"/>
      </w:tblPr>
      <w:tblGrid>
        <w:gridCol w:w="2510"/>
        <w:gridCol w:w="1309"/>
        <w:gridCol w:w="1701"/>
        <w:gridCol w:w="1593"/>
        <w:gridCol w:w="1377"/>
      </w:tblGrid>
      <w:tr w:rsidR="00A97971" w:rsidRPr="00567404" w14:paraId="108C9125" w14:textId="77777777" w:rsidTr="00B5566C">
        <w:trPr>
          <w:trHeight w:val="397"/>
        </w:trPr>
        <w:tc>
          <w:tcPr>
            <w:tcW w:w="1478" w:type="pct"/>
            <w:tcBorders>
              <w:top w:val="single" w:sz="8" w:space="0" w:color="DDDDDD"/>
              <w:left w:val="single" w:sz="8" w:space="0" w:color="DDDDDD"/>
              <w:bottom w:val="single" w:sz="8" w:space="0" w:color="DDDDDD"/>
              <w:right w:val="single" w:sz="8" w:space="0" w:color="DDDDDD"/>
            </w:tcBorders>
            <w:shd w:val="clear" w:color="000000" w:fill="F2F2F2"/>
            <w:vAlign w:val="center"/>
            <w:hideMark/>
          </w:tcPr>
          <w:p w14:paraId="427DD761" w14:textId="77777777" w:rsidR="00A97971" w:rsidRPr="00567404" w:rsidRDefault="00A97971" w:rsidP="00567404">
            <w:pPr>
              <w:spacing w:before="0" w:after="0" w:line="240" w:lineRule="auto"/>
              <w:jc w:val="left"/>
              <w:rPr>
                <w:rFonts w:eastAsia="Times New Roman"/>
                <w:b/>
                <w:bCs/>
                <w:color w:val="000000"/>
                <w:sz w:val="20"/>
                <w:szCs w:val="20"/>
                <w:lang w:val="es-ES"/>
              </w:rPr>
            </w:pPr>
            <w:r w:rsidRPr="00567404">
              <w:rPr>
                <w:rFonts w:eastAsia="Times New Roman"/>
                <w:b/>
                <w:bCs/>
                <w:color w:val="000000"/>
                <w:sz w:val="20"/>
                <w:szCs w:val="20"/>
                <w:lang w:val="es-ES"/>
              </w:rPr>
              <w:t>Desenlace</w:t>
            </w:r>
          </w:p>
        </w:tc>
        <w:tc>
          <w:tcPr>
            <w:tcW w:w="771" w:type="pct"/>
            <w:tcBorders>
              <w:top w:val="single" w:sz="8" w:space="0" w:color="DDDDDD"/>
              <w:left w:val="nil"/>
              <w:bottom w:val="single" w:sz="8" w:space="0" w:color="DDDDDD"/>
              <w:right w:val="single" w:sz="8" w:space="0" w:color="DDDDDD"/>
            </w:tcBorders>
            <w:shd w:val="clear" w:color="000000" w:fill="F2F2F2"/>
            <w:vAlign w:val="center"/>
            <w:hideMark/>
          </w:tcPr>
          <w:p w14:paraId="70BC71F0" w14:textId="77777777" w:rsidR="00A97971" w:rsidRPr="00567404" w:rsidRDefault="00A97971" w:rsidP="00567404">
            <w:pPr>
              <w:spacing w:before="0" w:after="0" w:line="240" w:lineRule="auto"/>
              <w:jc w:val="left"/>
              <w:rPr>
                <w:rFonts w:eastAsia="Times New Roman"/>
                <w:b/>
                <w:bCs/>
                <w:color w:val="000000"/>
                <w:sz w:val="20"/>
                <w:szCs w:val="20"/>
                <w:lang w:val="es-ES"/>
              </w:rPr>
            </w:pPr>
            <w:r w:rsidRPr="00567404">
              <w:rPr>
                <w:rFonts w:eastAsia="Times New Roman"/>
                <w:b/>
                <w:bCs/>
                <w:color w:val="000000"/>
                <w:sz w:val="20"/>
                <w:szCs w:val="20"/>
                <w:lang w:val="es-ES"/>
              </w:rPr>
              <w:t>λ (1SE)</w:t>
            </w:r>
          </w:p>
        </w:tc>
        <w:tc>
          <w:tcPr>
            <w:tcW w:w="1002" w:type="pct"/>
            <w:tcBorders>
              <w:top w:val="single" w:sz="8" w:space="0" w:color="DDDDDD"/>
              <w:left w:val="nil"/>
              <w:bottom w:val="single" w:sz="8" w:space="0" w:color="DDDDDD"/>
              <w:right w:val="single" w:sz="4" w:space="0" w:color="D9D9D9" w:themeColor="background1" w:themeShade="D9"/>
            </w:tcBorders>
            <w:shd w:val="clear" w:color="000000" w:fill="F2F2F2"/>
            <w:vAlign w:val="center"/>
            <w:hideMark/>
          </w:tcPr>
          <w:p w14:paraId="086BEBE4" w14:textId="77777777" w:rsidR="00A97971" w:rsidRPr="00567404" w:rsidRDefault="00A97971" w:rsidP="00567404">
            <w:pPr>
              <w:spacing w:before="0" w:after="0" w:line="240" w:lineRule="auto"/>
              <w:jc w:val="left"/>
              <w:rPr>
                <w:rFonts w:eastAsia="Times New Roman"/>
                <w:b/>
                <w:bCs/>
                <w:color w:val="000000"/>
                <w:sz w:val="20"/>
                <w:szCs w:val="20"/>
                <w:lang w:val="es-ES"/>
              </w:rPr>
            </w:pPr>
            <w:r w:rsidRPr="00567404">
              <w:rPr>
                <w:rFonts w:eastAsia="Times New Roman"/>
                <w:b/>
                <w:bCs/>
                <w:color w:val="000000"/>
                <w:sz w:val="20"/>
                <w:szCs w:val="20"/>
                <w:lang w:val="es-ES"/>
              </w:rPr>
              <w:t>AUC CV (</w:t>
            </w:r>
            <w:proofErr w:type="spellStart"/>
            <w:r w:rsidRPr="00567404">
              <w:rPr>
                <w:rFonts w:eastAsia="Times New Roman"/>
                <w:b/>
                <w:bCs/>
                <w:color w:val="000000"/>
                <w:sz w:val="20"/>
                <w:szCs w:val="20"/>
                <w:lang w:val="es-ES"/>
              </w:rPr>
              <w:t>λ.min</w:t>
            </w:r>
            <w:proofErr w:type="spellEnd"/>
            <w:r w:rsidRPr="00567404">
              <w:rPr>
                <w:rFonts w:eastAsia="Times New Roman"/>
                <w:b/>
                <w:bCs/>
                <w:color w:val="000000"/>
                <w:sz w:val="20"/>
                <w:szCs w:val="20"/>
                <w:lang w:val="es-ES"/>
              </w:rPr>
              <w:t>)</w:t>
            </w:r>
          </w:p>
        </w:tc>
        <w:tc>
          <w:tcPr>
            <w:tcW w:w="93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000000" w:fill="F2F2F2"/>
            <w:vAlign w:val="center"/>
          </w:tcPr>
          <w:p w14:paraId="33060FCE" w14:textId="7A8D8AD2" w:rsidR="00A97971" w:rsidRPr="00567404" w:rsidRDefault="00A97971" w:rsidP="008846B2">
            <w:pPr>
              <w:spacing w:before="0" w:after="0" w:line="240" w:lineRule="auto"/>
              <w:jc w:val="left"/>
              <w:rPr>
                <w:rFonts w:eastAsia="Times New Roman"/>
                <w:b/>
                <w:bCs/>
                <w:color w:val="000000"/>
                <w:sz w:val="20"/>
                <w:szCs w:val="20"/>
                <w:lang w:val="es-ES"/>
              </w:rPr>
            </w:pPr>
            <w:r w:rsidRPr="00A97971">
              <w:rPr>
                <w:rFonts w:eastAsia="Times New Roman"/>
                <w:b/>
                <w:bCs/>
                <w:color w:val="000000"/>
                <w:sz w:val="20"/>
                <w:szCs w:val="20"/>
                <w:lang w:val="es-ES"/>
              </w:rPr>
              <w:t>AUC CV (λ.1se)</w:t>
            </w:r>
          </w:p>
        </w:tc>
        <w:tc>
          <w:tcPr>
            <w:tcW w:w="81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000000" w:fill="F2F2F2"/>
            <w:vAlign w:val="center"/>
            <w:hideMark/>
          </w:tcPr>
          <w:p w14:paraId="2F454C4A" w14:textId="197184F3" w:rsidR="00A97971" w:rsidRPr="00567404" w:rsidRDefault="00A97971" w:rsidP="00567404">
            <w:pPr>
              <w:spacing w:before="0" w:after="0" w:line="240" w:lineRule="auto"/>
              <w:jc w:val="left"/>
              <w:rPr>
                <w:rFonts w:eastAsia="Times New Roman"/>
                <w:b/>
                <w:bCs/>
                <w:color w:val="000000"/>
                <w:sz w:val="20"/>
                <w:szCs w:val="20"/>
                <w:lang w:val="es-ES"/>
              </w:rPr>
            </w:pPr>
            <w:r w:rsidRPr="00567404">
              <w:rPr>
                <w:rFonts w:eastAsia="Times New Roman"/>
                <w:b/>
                <w:bCs/>
                <w:color w:val="000000"/>
                <w:sz w:val="20"/>
                <w:szCs w:val="20"/>
                <w:lang w:val="es-ES"/>
              </w:rPr>
              <w:t>Variables seleccionadas</w:t>
            </w:r>
          </w:p>
        </w:tc>
      </w:tr>
      <w:tr w:rsidR="00A97971" w:rsidRPr="00567404" w14:paraId="352183C1" w14:textId="77777777" w:rsidTr="00B5566C">
        <w:trPr>
          <w:trHeight w:val="397"/>
        </w:trPr>
        <w:tc>
          <w:tcPr>
            <w:tcW w:w="1478" w:type="pct"/>
            <w:tcBorders>
              <w:top w:val="nil"/>
              <w:left w:val="single" w:sz="8" w:space="0" w:color="DDDDDD"/>
              <w:bottom w:val="single" w:sz="8" w:space="0" w:color="DDDDDD"/>
              <w:right w:val="single" w:sz="8" w:space="0" w:color="DDDDDD"/>
            </w:tcBorders>
            <w:shd w:val="clear" w:color="auto" w:fill="auto"/>
            <w:vAlign w:val="center"/>
            <w:hideMark/>
          </w:tcPr>
          <w:p w14:paraId="7BA8FF3F"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Remisión SLEDAI-2K</w:t>
            </w:r>
          </w:p>
        </w:tc>
        <w:tc>
          <w:tcPr>
            <w:tcW w:w="771" w:type="pct"/>
            <w:tcBorders>
              <w:top w:val="nil"/>
              <w:left w:val="nil"/>
              <w:bottom w:val="single" w:sz="8" w:space="0" w:color="DDDDDD"/>
              <w:right w:val="single" w:sz="8" w:space="0" w:color="DDDDDD"/>
            </w:tcBorders>
            <w:shd w:val="clear" w:color="auto" w:fill="auto"/>
            <w:vAlign w:val="center"/>
            <w:hideMark/>
          </w:tcPr>
          <w:p w14:paraId="1D5506AE"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0.0417</w:t>
            </w:r>
          </w:p>
        </w:tc>
        <w:tc>
          <w:tcPr>
            <w:tcW w:w="1002" w:type="pct"/>
            <w:tcBorders>
              <w:top w:val="nil"/>
              <w:left w:val="nil"/>
              <w:bottom w:val="single" w:sz="8" w:space="0" w:color="DDDDDD"/>
              <w:right w:val="single" w:sz="4" w:space="0" w:color="D9D9D9" w:themeColor="background1" w:themeShade="D9"/>
            </w:tcBorders>
            <w:shd w:val="clear" w:color="auto" w:fill="auto"/>
            <w:vAlign w:val="center"/>
            <w:hideMark/>
          </w:tcPr>
          <w:p w14:paraId="61EDFF2D"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0.668</w:t>
            </w:r>
          </w:p>
        </w:tc>
        <w:tc>
          <w:tcPr>
            <w:tcW w:w="93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18C3941" w14:textId="1EFC1C12" w:rsidR="00A97971" w:rsidRPr="00567404" w:rsidRDefault="00A97971" w:rsidP="008846B2">
            <w:pPr>
              <w:spacing w:before="0" w:after="0" w:line="240" w:lineRule="auto"/>
              <w:jc w:val="left"/>
              <w:rPr>
                <w:rFonts w:eastAsia="Times New Roman"/>
                <w:color w:val="000000"/>
                <w:sz w:val="20"/>
                <w:szCs w:val="20"/>
                <w:lang w:val="es-ES"/>
              </w:rPr>
            </w:pPr>
            <w:r>
              <w:rPr>
                <w:rFonts w:eastAsia="Times New Roman"/>
                <w:color w:val="000000"/>
                <w:sz w:val="20"/>
                <w:szCs w:val="20"/>
                <w:lang w:val="es-ES"/>
              </w:rPr>
              <w:t>0.630</w:t>
            </w:r>
          </w:p>
        </w:tc>
        <w:tc>
          <w:tcPr>
            <w:tcW w:w="81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02634382" w14:textId="0A992E2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6</w:t>
            </w:r>
          </w:p>
        </w:tc>
      </w:tr>
      <w:tr w:rsidR="00A97971" w:rsidRPr="00567404" w14:paraId="5A0E4F53" w14:textId="77777777" w:rsidTr="00B5566C">
        <w:trPr>
          <w:trHeight w:val="397"/>
        </w:trPr>
        <w:tc>
          <w:tcPr>
            <w:tcW w:w="1478" w:type="pct"/>
            <w:tcBorders>
              <w:top w:val="nil"/>
              <w:left w:val="single" w:sz="8" w:space="0" w:color="DDDDDD"/>
              <w:bottom w:val="single" w:sz="8" w:space="0" w:color="DDDDDD"/>
              <w:right w:val="single" w:sz="8" w:space="0" w:color="DDDDDD"/>
            </w:tcBorders>
            <w:shd w:val="clear" w:color="auto" w:fill="auto"/>
            <w:vAlign w:val="center"/>
            <w:hideMark/>
          </w:tcPr>
          <w:p w14:paraId="61C85F6D"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Remisión SLE-DAS</w:t>
            </w:r>
          </w:p>
        </w:tc>
        <w:tc>
          <w:tcPr>
            <w:tcW w:w="771" w:type="pct"/>
            <w:tcBorders>
              <w:top w:val="nil"/>
              <w:left w:val="nil"/>
              <w:bottom w:val="single" w:sz="8" w:space="0" w:color="DDDDDD"/>
              <w:right w:val="single" w:sz="8" w:space="0" w:color="DDDDDD"/>
            </w:tcBorders>
            <w:shd w:val="clear" w:color="auto" w:fill="auto"/>
            <w:vAlign w:val="center"/>
            <w:hideMark/>
          </w:tcPr>
          <w:p w14:paraId="5F01C10C"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0.0749</w:t>
            </w:r>
          </w:p>
        </w:tc>
        <w:tc>
          <w:tcPr>
            <w:tcW w:w="1002" w:type="pct"/>
            <w:tcBorders>
              <w:top w:val="nil"/>
              <w:left w:val="nil"/>
              <w:bottom w:val="single" w:sz="8" w:space="0" w:color="DDDDDD"/>
              <w:right w:val="single" w:sz="4" w:space="0" w:color="D9D9D9" w:themeColor="background1" w:themeShade="D9"/>
            </w:tcBorders>
            <w:shd w:val="clear" w:color="auto" w:fill="auto"/>
            <w:vAlign w:val="center"/>
            <w:hideMark/>
          </w:tcPr>
          <w:p w14:paraId="6157CB24"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0.626</w:t>
            </w:r>
          </w:p>
        </w:tc>
        <w:tc>
          <w:tcPr>
            <w:tcW w:w="93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DB794AC" w14:textId="5CF2FD62" w:rsidR="00A97971" w:rsidRPr="00567404" w:rsidRDefault="00A97971" w:rsidP="008846B2">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0.614</w:t>
            </w:r>
          </w:p>
        </w:tc>
        <w:tc>
          <w:tcPr>
            <w:tcW w:w="81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0018FF7F" w14:textId="6B7D3718"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2</w:t>
            </w:r>
          </w:p>
        </w:tc>
      </w:tr>
      <w:tr w:rsidR="00A97971" w:rsidRPr="00567404" w14:paraId="0AE7D61B" w14:textId="77777777" w:rsidTr="00B5566C">
        <w:trPr>
          <w:trHeight w:val="397"/>
        </w:trPr>
        <w:tc>
          <w:tcPr>
            <w:tcW w:w="1478" w:type="pct"/>
            <w:tcBorders>
              <w:top w:val="nil"/>
              <w:left w:val="single" w:sz="8" w:space="0" w:color="DDDDDD"/>
              <w:bottom w:val="single" w:sz="8" w:space="0" w:color="DDDDDD"/>
              <w:right w:val="single" w:sz="8" w:space="0" w:color="DDDDDD"/>
            </w:tcBorders>
            <w:shd w:val="clear" w:color="auto" w:fill="auto"/>
            <w:vAlign w:val="center"/>
            <w:hideMark/>
          </w:tcPr>
          <w:p w14:paraId="72061917"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Daño acumulado SLICC-SDI</w:t>
            </w:r>
          </w:p>
        </w:tc>
        <w:tc>
          <w:tcPr>
            <w:tcW w:w="771" w:type="pct"/>
            <w:tcBorders>
              <w:top w:val="nil"/>
              <w:left w:val="nil"/>
              <w:bottom w:val="single" w:sz="8" w:space="0" w:color="DDDDDD"/>
              <w:right w:val="single" w:sz="8" w:space="0" w:color="DDDDDD"/>
            </w:tcBorders>
            <w:shd w:val="clear" w:color="auto" w:fill="auto"/>
            <w:vAlign w:val="center"/>
            <w:hideMark/>
          </w:tcPr>
          <w:p w14:paraId="6EFD6B15"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0.0802</w:t>
            </w:r>
          </w:p>
        </w:tc>
        <w:tc>
          <w:tcPr>
            <w:tcW w:w="1002" w:type="pct"/>
            <w:tcBorders>
              <w:top w:val="nil"/>
              <w:left w:val="nil"/>
              <w:bottom w:val="single" w:sz="8" w:space="0" w:color="DDDDDD"/>
              <w:right w:val="single" w:sz="4" w:space="0" w:color="D9D9D9" w:themeColor="background1" w:themeShade="D9"/>
            </w:tcBorders>
            <w:shd w:val="clear" w:color="auto" w:fill="auto"/>
            <w:vAlign w:val="center"/>
            <w:hideMark/>
          </w:tcPr>
          <w:p w14:paraId="0B01FBD8"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0.664</w:t>
            </w:r>
          </w:p>
        </w:tc>
        <w:tc>
          <w:tcPr>
            <w:tcW w:w="93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B03EFF3" w14:textId="437E4B30" w:rsidR="00A97971" w:rsidRPr="00567404" w:rsidRDefault="008846B2" w:rsidP="008846B2">
            <w:pPr>
              <w:spacing w:before="0" w:after="0" w:line="240" w:lineRule="auto"/>
              <w:jc w:val="left"/>
              <w:rPr>
                <w:rFonts w:eastAsia="Times New Roman"/>
                <w:color w:val="000000"/>
                <w:sz w:val="20"/>
                <w:szCs w:val="20"/>
                <w:lang w:val="es-ES"/>
              </w:rPr>
            </w:pPr>
            <w:r>
              <w:rPr>
                <w:rFonts w:eastAsia="Times New Roman"/>
                <w:color w:val="000000"/>
                <w:sz w:val="20"/>
                <w:szCs w:val="20"/>
                <w:lang w:val="es-ES"/>
              </w:rPr>
              <w:t>0.625</w:t>
            </w:r>
          </w:p>
        </w:tc>
        <w:tc>
          <w:tcPr>
            <w:tcW w:w="81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662740A5" w14:textId="46CF5530"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3</w:t>
            </w:r>
          </w:p>
        </w:tc>
      </w:tr>
      <w:tr w:rsidR="00A97971" w:rsidRPr="00567404" w14:paraId="33D3FF69" w14:textId="77777777" w:rsidTr="00B5566C">
        <w:trPr>
          <w:trHeight w:val="397"/>
        </w:trPr>
        <w:tc>
          <w:tcPr>
            <w:tcW w:w="1478" w:type="pct"/>
            <w:tcBorders>
              <w:top w:val="nil"/>
              <w:left w:val="single" w:sz="8" w:space="0" w:color="DDDDDD"/>
              <w:bottom w:val="single" w:sz="8" w:space="0" w:color="DDDDDD"/>
              <w:right w:val="single" w:sz="8" w:space="0" w:color="DDDDDD"/>
            </w:tcBorders>
            <w:shd w:val="clear" w:color="auto" w:fill="auto"/>
            <w:vAlign w:val="center"/>
            <w:hideMark/>
          </w:tcPr>
          <w:p w14:paraId="7B0D8D51"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Remisión DORIS</w:t>
            </w:r>
          </w:p>
        </w:tc>
        <w:tc>
          <w:tcPr>
            <w:tcW w:w="771" w:type="pct"/>
            <w:tcBorders>
              <w:top w:val="nil"/>
              <w:left w:val="nil"/>
              <w:bottom w:val="single" w:sz="8" w:space="0" w:color="DDDDDD"/>
              <w:right w:val="single" w:sz="8" w:space="0" w:color="DDDDDD"/>
            </w:tcBorders>
            <w:shd w:val="clear" w:color="auto" w:fill="auto"/>
            <w:vAlign w:val="center"/>
            <w:hideMark/>
          </w:tcPr>
          <w:p w14:paraId="51F34F84"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0.0810</w:t>
            </w:r>
          </w:p>
        </w:tc>
        <w:tc>
          <w:tcPr>
            <w:tcW w:w="1002" w:type="pct"/>
            <w:tcBorders>
              <w:top w:val="nil"/>
              <w:left w:val="nil"/>
              <w:bottom w:val="single" w:sz="8" w:space="0" w:color="DDDDDD"/>
              <w:right w:val="single" w:sz="4" w:space="0" w:color="D9D9D9" w:themeColor="background1" w:themeShade="D9"/>
            </w:tcBorders>
            <w:shd w:val="clear" w:color="auto" w:fill="auto"/>
            <w:vAlign w:val="center"/>
            <w:hideMark/>
          </w:tcPr>
          <w:p w14:paraId="7E3E54CA"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0.582</w:t>
            </w:r>
          </w:p>
        </w:tc>
        <w:tc>
          <w:tcPr>
            <w:tcW w:w="93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8CCC043" w14:textId="67D2B6E6" w:rsidR="00A97971" w:rsidRPr="00567404" w:rsidRDefault="008846B2" w:rsidP="008846B2">
            <w:pPr>
              <w:spacing w:before="0" w:after="0" w:line="240" w:lineRule="auto"/>
              <w:jc w:val="left"/>
              <w:rPr>
                <w:rFonts w:eastAsia="Times New Roman"/>
                <w:color w:val="000000"/>
                <w:sz w:val="20"/>
                <w:szCs w:val="20"/>
                <w:lang w:val="es-ES"/>
              </w:rPr>
            </w:pPr>
            <w:r w:rsidRPr="008846B2">
              <w:rPr>
                <w:rFonts w:eastAsia="Times New Roman"/>
                <w:color w:val="000000"/>
                <w:sz w:val="20"/>
                <w:szCs w:val="20"/>
                <w:lang w:val="es-ES"/>
              </w:rPr>
              <w:t>0.554</w:t>
            </w:r>
          </w:p>
        </w:tc>
        <w:tc>
          <w:tcPr>
            <w:tcW w:w="81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3847C16B" w14:textId="01190B22"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2</w:t>
            </w:r>
          </w:p>
        </w:tc>
      </w:tr>
      <w:tr w:rsidR="00A97971" w:rsidRPr="00567404" w14:paraId="6A844CDE" w14:textId="77777777" w:rsidTr="00B5566C">
        <w:trPr>
          <w:trHeight w:val="397"/>
        </w:trPr>
        <w:tc>
          <w:tcPr>
            <w:tcW w:w="1478" w:type="pct"/>
            <w:tcBorders>
              <w:top w:val="nil"/>
              <w:left w:val="single" w:sz="8" w:space="0" w:color="DDDDDD"/>
              <w:bottom w:val="single" w:sz="8" w:space="0" w:color="DDDDDD"/>
              <w:right w:val="single" w:sz="8" w:space="0" w:color="DDDDDD"/>
            </w:tcBorders>
            <w:shd w:val="clear" w:color="auto" w:fill="auto"/>
            <w:vAlign w:val="center"/>
            <w:hideMark/>
          </w:tcPr>
          <w:p w14:paraId="66FA3B4E"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Remisión estricta</w:t>
            </w:r>
          </w:p>
        </w:tc>
        <w:tc>
          <w:tcPr>
            <w:tcW w:w="771" w:type="pct"/>
            <w:tcBorders>
              <w:top w:val="nil"/>
              <w:left w:val="nil"/>
              <w:bottom w:val="single" w:sz="8" w:space="0" w:color="DDDDDD"/>
              <w:right w:val="single" w:sz="8" w:space="0" w:color="DDDDDD"/>
            </w:tcBorders>
            <w:shd w:val="clear" w:color="auto" w:fill="auto"/>
            <w:vAlign w:val="center"/>
            <w:hideMark/>
          </w:tcPr>
          <w:p w14:paraId="28C20936"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0.0083</w:t>
            </w:r>
          </w:p>
        </w:tc>
        <w:tc>
          <w:tcPr>
            <w:tcW w:w="1002" w:type="pct"/>
            <w:tcBorders>
              <w:top w:val="nil"/>
              <w:left w:val="nil"/>
              <w:bottom w:val="single" w:sz="8" w:space="0" w:color="DDDDDD"/>
              <w:right w:val="single" w:sz="4" w:space="0" w:color="D9D9D9" w:themeColor="background1" w:themeShade="D9"/>
            </w:tcBorders>
            <w:shd w:val="clear" w:color="auto" w:fill="auto"/>
            <w:vAlign w:val="center"/>
            <w:hideMark/>
          </w:tcPr>
          <w:p w14:paraId="36E82958" w14:textId="77777777" w:rsidR="00A97971" w:rsidRPr="00567404" w:rsidRDefault="00A97971" w:rsidP="00567404">
            <w:pPr>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0.688</w:t>
            </w:r>
          </w:p>
        </w:tc>
        <w:tc>
          <w:tcPr>
            <w:tcW w:w="938"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BC20A35" w14:textId="3BA07777" w:rsidR="00A97971" w:rsidRPr="00567404" w:rsidRDefault="008846B2" w:rsidP="008846B2">
            <w:pPr>
              <w:keepNext/>
              <w:spacing w:before="0" w:after="0" w:line="240" w:lineRule="auto"/>
              <w:jc w:val="left"/>
              <w:rPr>
                <w:rFonts w:eastAsia="Times New Roman"/>
                <w:color w:val="000000"/>
                <w:sz w:val="20"/>
                <w:szCs w:val="20"/>
                <w:lang w:val="es-ES"/>
              </w:rPr>
            </w:pPr>
            <w:r w:rsidRPr="008846B2">
              <w:rPr>
                <w:rFonts w:eastAsia="Times New Roman"/>
                <w:color w:val="000000"/>
                <w:sz w:val="20"/>
                <w:szCs w:val="20"/>
                <w:lang w:val="es-ES"/>
              </w:rPr>
              <w:t>0.663</w:t>
            </w:r>
          </w:p>
        </w:tc>
        <w:tc>
          <w:tcPr>
            <w:tcW w:w="811" w:type="pct"/>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auto"/>
            <w:vAlign w:val="center"/>
            <w:hideMark/>
          </w:tcPr>
          <w:p w14:paraId="0386EED0" w14:textId="21F8AAED" w:rsidR="00A97971" w:rsidRPr="00567404" w:rsidRDefault="00A97971" w:rsidP="00567404">
            <w:pPr>
              <w:keepNext/>
              <w:spacing w:before="0" w:after="0" w:line="240" w:lineRule="auto"/>
              <w:jc w:val="left"/>
              <w:rPr>
                <w:rFonts w:eastAsia="Times New Roman"/>
                <w:color w:val="000000"/>
                <w:sz w:val="20"/>
                <w:szCs w:val="20"/>
                <w:lang w:val="es-ES"/>
              </w:rPr>
            </w:pPr>
            <w:r w:rsidRPr="00567404">
              <w:rPr>
                <w:rFonts w:eastAsia="Times New Roman"/>
                <w:color w:val="000000"/>
                <w:sz w:val="20"/>
                <w:szCs w:val="20"/>
                <w:lang w:val="es-ES"/>
              </w:rPr>
              <w:t>26</w:t>
            </w:r>
          </w:p>
        </w:tc>
      </w:tr>
    </w:tbl>
    <w:p w14:paraId="78C7CACA" w14:textId="61AC506F" w:rsidR="00567404" w:rsidRDefault="00567404" w:rsidP="00C67F76">
      <w:pPr>
        <w:pStyle w:val="Descripcin"/>
      </w:pPr>
      <w:bookmarkStart w:id="181" w:name="_Toc230792272"/>
      <w:r>
        <w:t xml:space="preserve">Tabla </w:t>
      </w:r>
      <w:fldSimple w:instr=" SEQ Tabla \* ARABIC ">
        <w:r w:rsidR="00716AEA">
          <w:rPr>
            <w:noProof/>
          </w:rPr>
          <w:t>43</w:t>
        </w:r>
      </w:fldSimple>
      <w:r>
        <w:t xml:space="preserve">. </w:t>
      </w:r>
      <w:r w:rsidRPr="003D39CC">
        <w:t>Selección del parámetro de regularización λ y AUC en validación cruzada 10-fold</w:t>
      </w:r>
      <w:r>
        <w:t xml:space="preserve">. </w:t>
      </w:r>
      <w:r w:rsidRPr="00567404">
        <w:t xml:space="preserve">AUC CV = AUC máximo estimado en la validación cruzada 10-fold con </w:t>
      </w:r>
      <w:proofErr w:type="spellStart"/>
      <w:r w:rsidRPr="00567404">
        <w:t>lambda.min</w:t>
      </w:r>
      <w:proofErr w:type="spellEnd"/>
      <w:r w:rsidRPr="00567404">
        <w:t>. Variables seleccionadas = número de predictores con coeficiente LASSO ≠ 0 tras aplicar lambda.1se.</w:t>
      </w:r>
      <w:bookmarkEnd w:id="181"/>
    </w:p>
    <w:p w14:paraId="4A1A61EF" w14:textId="77777777" w:rsidR="008846B2" w:rsidRDefault="008846B2" w:rsidP="008846B2">
      <w:r w:rsidRPr="008846B2">
        <w:t xml:space="preserve">El modelo de remisión estricta exhibió el mayor AUC en validación cruzada (0,688 con </w:t>
      </w:r>
      <w:proofErr w:type="spellStart"/>
      <w:r w:rsidRPr="008846B2">
        <w:t>lambda.min</w:t>
      </w:r>
      <w:proofErr w:type="spellEnd"/>
      <w:r w:rsidRPr="008846B2">
        <w:t>; 0,663 con lambda.1se) pero también la mayor complejidad (26 variables seleccionadas), en tanto que los modelos para DORIS y SLE-DAS resultaron los más parsimoniosos (2 variables cada uno).</w:t>
      </w:r>
    </w:p>
    <w:p w14:paraId="467ABFDF" w14:textId="32695281" w:rsidR="008846B2" w:rsidRDefault="008846B2" w:rsidP="008846B2">
      <w:r>
        <w:t xml:space="preserve">Remisión SLEDAI-2K (6 variables): el modelo seleccionó C3 (coeficiente = −0,387), C4 (−0,311), TYK2 (−0,259), triglicéridos (−0,200), </w:t>
      </w:r>
      <w:r w:rsidRPr="008846B2">
        <w:t>TYK2</w:t>
      </w:r>
      <w:r>
        <w:t xml:space="preserve"> (-0,2585), TRIM38 (0,157) e IFITM1 (0,052). Los signos negativos de C3 y C4 son consistentes con el papel de la activación del complemento como indicador de actividad lúpica; los coeficientes positivos de TRIM38 e IFITM1 reflejan la contribución de la firma de interferón tipo I a la discriminación del estado de actividad.</w:t>
      </w:r>
    </w:p>
    <w:p w14:paraId="4DF5F932" w14:textId="01BED789" w:rsidR="008846B2" w:rsidRDefault="008846B2" w:rsidP="008846B2">
      <w:r>
        <w:t xml:space="preserve">Remisión SLE-DAS (2 variables): el modelo seleccionó Apo A-I (coeficiente = −0,308) e IFI27 (+0,013). El coeficiente negativo de Apo A-I —principal componente de las lipoproteínas de alta densidad (HDL)— es coherente con la asociación conocida entre hipoalfalipoproteinemia y actividad inflamatoria en LES. </w:t>
      </w:r>
    </w:p>
    <w:p w14:paraId="0EA9D7B1" w14:textId="72FEAA5A" w:rsidR="008846B2" w:rsidRDefault="008846B2" w:rsidP="008846B2">
      <w:r>
        <w:t xml:space="preserve">Daño acumulado SLICC-SDI (3 variables): el modelo retuvo creatinina (+0,695), TRIM38 (+0,121) y BAFF sérico (+0,001). El peso preponderante de la creatinina refleja la implicación renal como principal contribuyente al daño orgánico crónico en LES. La presencia de TRIM38 —un ISG con función de E3 ubiquitina-ligasa implicado en la regulación negativa de la respuesta antiviral— apunta a una modulación persistente de la vía de interferón en pacientes con daño acumulado, </w:t>
      </w:r>
      <w:r>
        <w:lastRenderedPageBreak/>
        <w:t xml:space="preserve">mientras que BAFF, factor de supervivencia de linfocitos B </w:t>
      </w:r>
      <w:proofErr w:type="spellStart"/>
      <w:r>
        <w:t>sobreexpresado</w:t>
      </w:r>
      <w:proofErr w:type="spellEnd"/>
      <w:r>
        <w:t xml:space="preserve"> en LES activo, contribuiría como marcador de activación inmune crónica.</w:t>
      </w:r>
    </w:p>
    <w:p w14:paraId="1A992C1B" w14:textId="3AB95500" w:rsidR="008846B2" w:rsidRDefault="008846B2" w:rsidP="008846B2">
      <w:r>
        <w:t>Remisión DORIS (2 variables): el modelo seleccionó IFN-α sérico (+0,024) e IFI27 (+0,001), ambos con coeficientes positivos, lo que indica que niveles más elevados de estos marcadores de la vía de interferón tipo I se asocian con el cumplimiento de los criterios DORIS en esta muestra. Este hallazgo, aparentemente contraintuitivo, podría reflejar la heterogeneidad clínica de la cohorte o la limitada separabilidad entre clases para este desenlace (AUC CV = 0,582).</w:t>
      </w:r>
    </w:p>
    <w:p w14:paraId="5515465B" w14:textId="23F6AA90" w:rsidR="00EF0AD8" w:rsidRPr="00EF0AD8" w:rsidRDefault="008846B2" w:rsidP="00EF0AD8">
      <w:r>
        <w:t>Remisión estricta compuesta (26 variables): dado que este desenlace exige el cumplimiento simultáneo de los tres criterios (SLEDAI-2K = 0, SLE-DAS &lt; 2,08 y SLICC-SDI = 0), la clase positiva resultó la más pequeña (n = 61 frente a n = 190), lo que explica la mayor complejidad del modelo. Entre las variables con mayor peso absoluto se encuentran IRF1 (+1,243), UNC93B1 (−0,920), C3 (−0,919), creatinina (+0,882), TRIM38 (+0,864), SERPING1 (−0,664), HDL (+0,640), Apo B (−0,547) y TAP1 (+0,411). La notable presencia de ISGs con coeficientes elevados (IRF1, UNC93B1, TRIM38, SERPING1, TAP1, EIFAK2, SP100, NC0A7, IFITM1, LAMP3, IFI27, LY6E, IL6) junto a biomarcadores proteómicos de las vías metabólica (HDL, Apo B, lipoproteína(a), creatinina), inflamatoria (PCR, BAFF, IL-6, IL-8, IL-2 séricas) e inmune (IFN-α, IFN-γ, C3, C4) subraya el papel central de la señalización de interferón tipo I, así como la convergencia de alteraciones lipídicas y renales, en la definición de remisión estricta en LES.</w:t>
      </w:r>
    </w:p>
    <w:p w14:paraId="1809CA28" w14:textId="1CE82F73" w:rsidR="00567404" w:rsidRPr="00567404" w:rsidRDefault="00567404" w:rsidP="00567404">
      <w:pPr>
        <w:pStyle w:val="Ttulo3"/>
        <w:numPr>
          <w:ilvl w:val="2"/>
          <w:numId w:val="17"/>
        </w:numPr>
      </w:pPr>
      <w:r w:rsidRPr="00567404">
        <w:t>Rendimiento discriminativo y comparación con biomarcadores individuales</w:t>
      </w:r>
    </w:p>
    <w:p w14:paraId="4BB9AB3B" w14:textId="75A9DBCA" w:rsidR="00097466" w:rsidRDefault="00EF0AD8">
      <w:pPr>
        <w:ind w:hanging="2"/>
      </w:pPr>
      <w:r w:rsidRPr="00EF0AD8">
        <w:t xml:space="preserve">La </w:t>
      </w:r>
      <w:r w:rsidR="00BE2DC0">
        <w:t>tabla 45</w:t>
      </w:r>
      <w:r w:rsidRPr="00EF0AD8">
        <w:t xml:space="preserve"> recoge el AUC aparente del modelo LASSO multi-</w:t>
      </w:r>
      <w:proofErr w:type="spellStart"/>
      <w:r w:rsidRPr="00EF0AD8">
        <w:t>ómico</w:t>
      </w:r>
      <w:proofErr w:type="spellEnd"/>
      <w:r w:rsidRPr="00EF0AD8">
        <w:t xml:space="preserve"> y el de los tres biomarcadores individuales de referencia (IFN-α sérico, C3 y C4) para cada desenlace. Estos valores deben interpretarse con cautela, ya que la evaluación aparente sobre la muestra completa tiende a sobreestimar el rendimiento; los valores de AUC en validación cruzada de la tabla anterior constituyen la estimación más robusta.</w:t>
      </w:r>
    </w:p>
    <w:tbl>
      <w:tblPr>
        <w:tblW w:w="5000" w:type="pct"/>
        <w:tblCellMar>
          <w:left w:w="70" w:type="dxa"/>
          <w:right w:w="70" w:type="dxa"/>
        </w:tblCellMar>
        <w:tblLook w:val="04A0" w:firstRow="1" w:lastRow="0" w:firstColumn="1" w:lastColumn="0" w:noHBand="0" w:noVBand="1"/>
      </w:tblPr>
      <w:tblGrid>
        <w:gridCol w:w="1734"/>
        <w:gridCol w:w="1690"/>
        <w:gridCol w:w="1687"/>
        <w:gridCol w:w="1687"/>
        <w:gridCol w:w="1687"/>
      </w:tblGrid>
      <w:tr w:rsidR="00A97971" w:rsidRPr="00A97971" w14:paraId="7EF4E3CF" w14:textId="77777777" w:rsidTr="00A97971">
        <w:trPr>
          <w:trHeight w:val="397"/>
        </w:trPr>
        <w:tc>
          <w:tcPr>
            <w:tcW w:w="1022" w:type="pct"/>
            <w:tcBorders>
              <w:top w:val="single" w:sz="8" w:space="0" w:color="DDDDDD"/>
              <w:left w:val="single" w:sz="8" w:space="0" w:color="DDDDDD"/>
              <w:bottom w:val="single" w:sz="8" w:space="0" w:color="DDDDDD"/>
              <w:right w:val="single" w:sz="8" w:space="0" w:color="DDDDDD"/>
            </w:tcBorders>
            <w:shd w:val="clear" w:color="000000" w:fill="F2F2F2"/>
            <w:vAlign w:val="center"/>
            <w:hideMark/>
          </w:tcPr>
          <w:p w14:paraId="67BB0114" w14:textId="77777777" w:rsidR="00A97971" w:rsidRPr="00A97971" w:rsidRDefault="00A97971" w:rsidP="00A97971">
            <w:pPr>
              <w:spacing w:before="0" w:after="0" w:line="240" w:lineRule="auto"/>
              <w:jc w:val="left"/>
              <w:rPr>
                <w:rFonts w:eastAsia="Times New Roman"/>
                <w:b/>
                <w:bCs/>
                <w:color w:val="000000"/>
                <w:sz w:val="20"/>
                <w:szCs w:val="20"/>
                <w:lang w:val="es-ES"/>
              </w:rPr>
            </w:pPr>
            <w:r w:rsidRPr="00A97971">
              <w:rPr>
                <w:rFonts w:eastAsia="Times New Roman"/>
                <w:b/>
                <w:bCs/>
                <w:color w:val="000000"/>
                <w:sz w:val="20"/>
                <w:szCs w:val="20"/>
                <w:lang w:val="es-ES"/>
              </w:rPr>
              <w:t>Desenlace</w:t>
            </w:r>
          </w:p>
        </w:tc>
        <w:tc>
          <w:tcPr>
            <w:tcW w:w="996" w:type="pct"/>
            <w:tcBorders>
              <w:top w:val="single" w:sz="8" w:space="0" w:color="DDDDDD"/>
              <w:left w:val="nil"/>
              <w:bottom w:val="single" w:sz="8" w:space="0" w:color="DDDDDD"/>
              <w:right w:val="single" w:sz="8" w:space="0" w:color="DDDDDD"/>
            </w:tcBorders>
            <w:shd w:val="clear" w:color="000000" w:fill="F2F2F2"/>
            <w:vAlign w:val="center"/>
            <w:hideMark/>
          </w:tcPr>
          <w:p w14:paraId="0C255AAC" w14:textId="77777777" w:rsidR="00A97971" w:rsidRPr="00A97971" w:rsidRDefault="00A97971" w:rsidP="00A97971">
            <w:pPr>
              <w:spacing w:before="0" w:after="0" w:line="240" w:lineRule="auto"/>
              <w:jc w:val="left"/>
              <w:rPr>
                <w:rFonts w:eastAsia="Times New Roman"/>
                <w:b/>
                <w:bCs/>
                <w:color w:val="000000"/>
                <w:sz w:val="20"/>
                <w:szCs w:val="20"/>
                <w:lang w:val="es-ES"/>
              </w:rPr>
            </w:pPr>
            <w:r w:rsidRPr="00A97971">
              <w:rPr>
                <w:rFonts w:eastAsia="Times New Roman"/>
                <w:b/>
                <w:bCs/>
                <w:color w:val="000000"/>
                <w:sz w:val="20"/>
                <w:szCs w:val="20"/>
                <w:lang w:val="es-ES"/>
              </w:rPr>
              <w:t>AUC LASSO</w:t>
            </w:r>
          </w:p>
        </w:tc>
        <w:tc>
          <w:tcPr>
            <w:tcW w:w="994" w:type="pct"/>
            <w:tcBorders>
              <w:top w:val="single" w:sz="8" w:space="0" w:color="DDDDDD"/>
              <w:left w:val="nil"/>
              <w:bottom w:val="single" w:sz="8" w:space="0" w:color="DDDDDD"/>
              <w:right w:val="single" w:sz="8" w:space="0" w:color="DDDDDD"/>
            </w:tcBorders>
            <w:shd w:val="clear" w:color="000000" w:fill="F2F2F2"/>
            <w:vAlign w:val="center"/>
            <w:hideMark/>
          </w:tcPr>
          <w:p w14:paraId="10143C5F" w14:textId="77777777" w:rsidR="00A97971" w:rsidRPr="00A97971" w:rsidRDefault="00A97971" w:rsidP="00A97971">
            <w:pPr>
              <w:spacing w:before="0" w:after="0" w:line="240" w:lineRule="auto"/>
              <w:jc w:val="left"/>
              <w:rPr>
                <w:rFonts w:eastAsia="Times New Roman"/>
                <w:b/>
                <w:bCs/>
                <w:color w:val="000000"/>
                <w:sz w:val="20"/>
                <w:szCs w:val="20"/>
                <w:lang w:val="es-ES"/>
              </w:rPr>
            </w:pPr>
            <w:r w:rsidRPr="00A97971">
              <w:rPr>
                <w:rFonts w:eastAsia="Times New Roman"/>
                <w:b/>
                <w:bCs/>
                <w:color w:val="000000"/>
                <w:sz w:val="20"/>
                <w:szCs w:val="20"/>
                <w:lang w:val="es-ES"/>
              </w:rPr>
              <w:t>AUC IFN-α</w:t>
            </w:r>
          </w:p>
        </w:tc>
        <w:tc>
          <w:tcPr>
            <w:tcW w:w="994" w:type="pct"/>
            <w:tcBorders>
              <w:top w:val="single" w:sz="8" w:space="0" w:color="DDDDDD"/>
              <w:left w:val="nil"/>
              <w:bottom w:val="single" w:sz="8" w:space="0" w:color="DDDDDD"/>
              <w:right w:val="single" w:sz="8" w:space="0" w:color="DDDDDD"/>
            </w:tcBorders>
            <w:shd w:val="clear" w:color="000000" w:fill="F2F2F2"/>
            <w:vAlign w:val="center"/>
            <w:hideMark/>
          </w:tcPr>
          <w:p w14:paraId="735CD1B7" w14:textId="77777777" w:rsidR="00A97971" w:rsidRPr="00A97971" w:rsidRDefault="00A97971" w:rsidP="00A97971">
            <w:pPr>
              <w:spacing w:before="0" w:after="0" w:line="240" w:lineRule="auto"/>
              <w:jc w:val="left"/>
              <w:rPr>
                <w:rFonts w:eastAsia="Times New Roman"/>
                <w:b/>
                <w:bCs/>
                <w:color w:val="000000"/>
                <w:sz w:val="20"/>
                <w:szCs w:val="20"/>
                <w:lang w:val="es-ES"/>
              </w:rPr>
            </w:pPr>
            <w:r w:rsidRPr="00A97971">
              <w:rPr>
                <w:rFonts w:eastAsia="Times New Roman"/>
                <w:b/>
                <w:bCs/>
                <w:color w:val="000000"/>
                <w:sz w:val="20"/>
                <w:szCs w:val="20"/>
                <w:lang w:val="es-ES"/>
              </w:rPr>
              <w:t>AUC C3</w:t>
            </w:r>
          </w:p>
        </w:tc>
        <w:tc>
          <w:tcPr>
            <w:tcW w:w="994" w:type="pct"/>
            <w:tcBorders>
              <w:top w:val="single" w:sz="8" w:space="0" w:color="DDDDDD"/>
              <w:left w:val="nil"/>
              <w:bottom w:val="single" w:sz="8" w:space="0" w:color="DDDDDD"/>
              <w:right w:val="single" w:sz="8" w:space="0" w:color="DDDDDD"/>
            </w:tcBorders>
            <w:shd w:val="clear" w:color="000000" w:fill="F2F2F2"/>
            <w:vAlign w:val="center"/>
            <w:hideMark/>
          </w:tcPr>
          <w:p w14:paraId="4AE64514" w14:textId="77777777" w:rsidR="00A97971" w:rsidRPr="00A97971" w:rsidRDefault="00A97971" w:rsidP="00A97971">
            <w:pPr>
              <w:spacing w:before="0" w:after="0" w:line="240" w:lineRule="auto"/>
              <w:jc w:val="left"/>
              <w:rPr>
                <w:rFonts w:eastAsia="Times New Roman"/>
                <w:b/>
                <w:bCs/>
                <w:color w:val="000000"/>
                <w:sz w:val="20"/>
                <w:szCs w:val="20"/>
                <w:lang w:val="es-ES"/>
              </w:rPr>
            </w:pPr>
            <w:r w:rsidRPr="00A97971">
              <w:rPr>
                <w:rFonts w:eastAsia="Times New Roman"/>
                <w:b/>
                <w:bCs/>
                <w:color w:val="000000"/>
                <w:sz w:val="20"/>
                <w:szCs w:val="20"/>
                <w:lang w:val="es-ES"/>
              </w:rPr>
              <w:t>AUC C4</w:t>
            </w:r>
          </w:p>
        </w:tc>
      </w:tr>
      <w:tr w:rsidR="00A97971" w:rsidRPr="00A97971" w14:paraId="5E6D76A5" w14:textId="77777777" w:rsidTr="00A97971">
        <w:trPr>
          <w:trHeight w:val="397"/>
        </w:trPr>
        <w:tc>
          <w:tcPr>
            <w:tcW w:w="1022" w:type="pct"/>
            <w:tcBorders>
              <w:top w:val="nil"/>
              <w:left w:val="single" w:sz="8" w:space="0" w:color="DDDDDD"/>
              <w:bottom w:val="single" w:sz="8" w:space="0" w:color="DDDDDD"/>
              <w:right w:val="single" w:sz="8" w:space="0" w:color="DDDDDD"/>
            </w:tcBorders>
            <w:shd w:val="clear" w:color="auto" w:fill="auto"/>
            <w:vAlign w:val="center"/>
            <w:hideMark/>
          </w:tcPr>
          <w:p w14:paraId="13D46A59"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Remisión SLEDAI-2K</w:t>
            </w:r>
          </w:p>
        </w:tc>
        <w:tc>
          <w:tcPr>
            <w:tcW w:w="996" w:type="pct"/>
            <w:tcBorders>
              <w:top w:val="nil"/>
              <w:left w:val="nil"/>
              <w:bottom w:val="single" w:sz="8" w:space="0" w:color="DDDDDD"/>
              <w:right w:val="single" w:sz="8" w:space="0" w:color="DDDDDD"/>
            </w:tcBorders>
            <w:shd w:val="clear" w:color="auto" w:fill="auto"/>
            <w:vAlign w:val="center"/>
            <w:hideMark/>
          </w:tcPr>
          <w:p w14:paraId="57008C68"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0.288</w:t>
            </w:r>
          </w:p>
        </w:tc>
        <w:tc>
          <w:tcPr>
            <w:tcW w:w="994" w:type="pct"/>
            <w:tcBorders>
              <w:top w:val="nil"/>
              <w:left w:val="nil"/>
              <w:bottom w:val="single" w:sz="8" w:space="0" w:color="DDDDDD"/>
              <w:right w:val="single" w:sz="8" w:space="0" w:color="DDDDDD"/>
            </w:tcBorders>
            <w:shd w:val="clear" w:color="auto" w:fill="auto"/>
            <w:vAlign w:val="center"/>
            <w:hideMark/>
          </w:tcPr>
          <w:p w14:paraId="4B1754D6"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0.417</w:t>
            </w:r>
          </w:p>
        </w:tc>
        <w:tc>
          <w:tcPr>
            <w:tcW w:w="994" w:type="pct"/>
            <w:tcBorders>
              <w:top w:val="nil"/>
              <w:left w:val="nil"/>
              <w:bottom w:val="single" w:sz="8" w:space="0" w:color="DDDDDD"/>
              <w:right w:val="single" w:sz="8" w:space="0" w:color="DDDDDD"/>
            </w:tcBorders>
            <w:shd w:val="clear" w:color="auto" w:fill="auto"/>
            <w:vAlign w:val="center"/>
            <w:hideMark/>
          </w:tcPr>
          <w:p w14:paraId="591E7486"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0.324</w:t>
            </w:r>
          </w:p>
        </w:tc>
        <w:tc>
          <w:tcPr>
            <w:tcW w:w="994" w:type="pct"/>
            <w:tcBorders>
              <w:top w:val="nil"/>
              <w:left w:val="nil"/>
              <w:bottom w:val="single" w:sz="8" w:space="0" w:color="DDDDDD"/>
              <w:right w:val="single" w:sz="8" w:space="0" w:color="DDDDDD"/>
            </w:tcBorders>
            <w:shd w:val="clear" w:color="auto" w:fill="auto"/>
            <w:vAlign w:val="center"/>
            <w:hideMark/>
          </w:tcPr>
          <w:p w14:paraId="00693045"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0.367</w:t>
            </w:r>
          </w:p>
        </w:tc>
      </w:tr>
      <w:tr w:rsidR="00A97971" w:rsidRPr="00A97971" w14:paraId="3EB66EA3" w14:textId="77777777" w:rsidTr="00A97971">
        <w:trPr>
          <w:trHeight w:val="397"/>
        </w:trPr>
        <w:tc>
          <w:tcPr>
            <w:tcW w:w="1022" w:type="pct"/>
            <w:tcBorders>
              <w:top w:val="nil"/>
              <w:left w:val="single" w:sz="8" w:space="0" w:color="DDDDDD"/>
              <w:bottom w:val="single" w:sz="8" w:space="0" w:color="DDDDDD"/>
              <w:right w:val="single" w:sz="8" w:space="0" w:color="DDDDDD"/>
            </w:tcBorders>
            <w:shd w:val="clear" w:color="auto" w:fill="auto"/>
            <w:vAlign w:val="center"/>
            <w:hideMark/>
          </w:tcPr>
          <w:p w14:paraId="286D7EE5"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Remisión SLE-DAS</w:t>
            </w:r>
          </w:p>
        </w:tc>
        <w:tc>
          <w:tcPr>
            <w:tcW w:w="996" w:type="pct"/>
            <w:tcBorders>
              <w:top w:val="nil"/>
              <w:left w:val="nil"/>
              <w:bottom w:val="single" w:sz="8" w:space="0" w:color="DDDDDD"/>
              <w:right w:val="single" w:sz="8" w:space="0" w:color="DDDDDD"/>
            </w:tcBorders>
            <w:shd w:val="clear" w:color="auto" w:fill="auto"/>
            <w:vAlign w:val="center"/>
            <w:hideMark/>
          </w:tcPr>
          <w:p w14:paraId="0BA9EF16"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0.343</w:t>
            </w:r>
          </w:p>
        </w:tc>
        <w:tc>
          <w:tcPr>
            <w:tcW w:w="994" w:type="pct"/>
            <w:tcBorders>
              <w:top w:val="nil"/>
              <w:left w:val="nil"/>
              <w:bottom w:val="single" w:sz="8" w:space="0" w:color="DDDDDD"/>
              <w:right w:val="single" w:sz="8" w:space="0" w:color="DDDDDD"/>
            </w:tcBorders>
            <w:shd w:val="clear" w:color="auto" w:fill="auto"/>
            <w:vAlign w:val="center"/>
            <w:hideMark/>
          </w:tcPr>
          <w:p w14:paraId="1145D4F2"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0.371</w:t>
            </w:r>
          </w:p>
        </w:tc>
        <w:tc>
          <w:tcPr>
            <w:tcW w:w="994" w:type="pct"/>
            <w:tcBorders>
              <w:top w:val="nil"/>
              <w:left w:val="nil"/>
              <w:bottom w:val="single" w:sz="8" w:space="0" w:color="DDDDDD"/>
              <w:right w:val="single" w:sz="8" w:space="0" w:color="DDDDDD"/>
            </w:tcBorders>
            <w:shd w:val="clear" w:color="auto" w:fill="auto"/>
            <w:vAlign w:val="center"/>
            <w:hideMark/>
          </w:tcPr>
          <w:p w14:paraId="3F06F300"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0.435</w:t>
            </w:r>
          </w:p>
        </w:tc>
        <w:tc>
          <w:tcPr>
            <w:tcW w:w="994" w:type="pct"/>
            <w:tcBorders>
              <w:top w:val="nil"/>
              <w:left w:val="nil"/>
              <w:bottom w:val="single" w:sz="8" w:space="0" w:color="DDDDDD"/>
              <w:right w:val="single" w:sz="8" w:space="0" w:color="DDDDDD"/>
            </w:tcBorders>
            <w:shd w:val="clear" w:color="auto" w:fill="auto"/>
            <w:vAlign w:val="center"/>
            <w:hideMark/>
          </w:tcPr>
          <w:p w14:paraId="08A50B7D"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0.508</w:t>
            </w:r>
          </w:p>
        </w:tc>
      </w:tr>
      <w:tr w:rsidR="00A97971" w:rsidRPr="00A97971" w14:paraId="40404EFF" w14:textId="77777777" w:rsidTr="00A97971">
        <w:trPr>
          <w:trHeight w:val="397"/>
        </w:trPr>
        <w:tc>
          <w:tcPr>
            <w:tcW w:w="1022" w:type="pct"/>
            <w:tcBorders>
              <w:top w:val="nil"/>
              <w:left w:val="single" w:sz="8" w:space="0" w:color="DDDDDD"/>
              <w:bottom w:val="single" w:sz="8" w:space="0" w:color="DDDDDD"/>
              <w:right w:val="single" w:sz="8" w:space="0" w:color="DDDDDD"/>
            </w:tcBorders>
            <w:shd w:val="clear" w:color="auto" w:fill="auto"/>
            <w:vAlign w:val="center"/>
            <w:hideMark/>
          </w:tcPr>
          <w:p w14:paraId="77BF2DD7"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Daño SLICC-SDI</w:t>
            </w:r>
          </w:p>
        </w:tc>
        <w:tc>
          <w:tcPr>
            <w:tcW w:w="996" w:type="pct"/>
            <w:tcBorders>
              <w:top w:val="nil"/>
              <w:left w:val="nil"/>
              <w:bottom w:val="single" w:sz="8" w:space="0" w:color="DDDDDD"/>
              <w:right w:val="single" w:sz="8" w:space="0" w:color="DDDDDD"/>
            </w:tcBorders>
            <w:shd w:val="clear" w:color="auto" w:fill="auto"/>
            <w:vAlign w:val="center"/>
            <w:hideMark/>
          </w:tcPr>
          <w:p w14:paraId="7C4E8E02"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0.319</w:t>
            </w:r>
          </w:p>
        </w:tc>
        <w:tc>
          <w:tcPr>
            <w:tcW w:w="994" w:type="pct"/>
            <w:tcBorders>
              <w:top w:val="nil"/>
              <w:left w:val="nil"/>
              <w:bottom w:val="single" w:sz="8" w:space="0" w:color="DDDDDD"/>
              <w:right w:val="single" w:sz="8" w:space="0" w:color="DDDDDD"/>
            </w:tcBorders>
            <w:shd w:val="clear" w:color="auto" w:fill="auto"/>
            <w:vAlign w:val="center"/>
            <w:hideMark/>
          </w:tcPr>
          <w:p w14:paraId="6CAADB22"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0.572</w:t>
            </w:r>
          </w:p>
        </w:tc>
        <w:tc>
          <w:tcPr>
            <w:tcW w:w="994" w:type="pct"/>
            <w:tcBorders>
              <w:top w:val="nil"/>
              <w:left w:val="nil"/>
              <w:bottom w:val="single" w:sz="8" w:space="0" w:color="DDDDDD"/>
              <w:right w:val="single" w:sz="8" w:space="0" w:color="DDDDDD"/>
            </w:tcBorders>
            <w:shd w:val="clear" w:color="auto" w:fill="auto"/>
            <w:vAlign w:val="center"/>
            <w:hideMark/>
          </w:tcPr>
          <w:p w14:paraId="71A5A3A8"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0.492</w:t>
            </w:r>
          </w:p>
        </w:tc>
        <w:tc>
          <w:tcPr>
            <w:tcW w:w="994" w:type="pct"/>
            <w:tcBorders>
              <w:top w:val="nil"/>
              <w:left w:val="nil"/>
              <w:bottom w:val="single" w:sz="8" w:space="0" w:color="DDDDDD"/>
              <w:right w:val="single" w:sz="8" w:space="0" w:color="DDDDDD"/>
            </w:tcBorders>
            <w:shd w:val="clear" w:color="auto" w:fill="auto"/>
            <w:vAlign w:val="center"/>
            <w:hideMark/>
          </w:tcPr>
          <w:p w14:paraId="7A844B0E"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0.476</w:t>
            </w:r>
          </w:p>
        </w:tc>
      </w:tr>
      <w:tr w:rsidR="00A97971" w:rsidRPr="00A97971" w14:paraId="4141575F" w14:textId="77777777" w:rsidTr="00A97971">
        <w:trPr>
          <w:trHeight w:val="397"/>
        </w:trPr>
        <w:tc>
          <w:tcPr>
            <w:tcW w:w="1022" w:type="pct"/>
            <w:tcBorders>
              <w:top w:val="nil"/>
              <w:left w:val="single" w:sz="8" w:space="0" w:color="DDDDDD"/>
              <w:bottom w:val="single" w:sz="8" w:space="0" w:color="DDDDDD"/>
              <w:right w:val="single" w:sz="8" w:space="0" w:color="DDDDDD"/>
            </w:tcBorders>
            <w:shd w:val="clear" w:color="auto" w:fill="auto"/>
            <w:vAlign w:val="center"/>
            <w:hideMark/>
          </w:tcPr>
          <w:p w14:paraId="7E2370AA"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Remisión DORIS</w:t>
            </w:r>
          </w:p>
        </w:tc>
        <w:tc>
          <w:tcPr>
            <w:tcW w:w="996" w:type="pct"/>
            <w:tcBorders>
              <w:top w:val="nil"/>
              <w:left w:val="nil"/>
              <w:bottom w:val="single" w:sz="8" w:space="0" w:color="DDDDDD"/>
              <w:right w:val="single" w:sz="8" w:space="0" w:color="DDDDDD"/>
            </w:tcBorders>
            <w:shd w:val="clear" w:color="auto" w:fill="auto"/>
            <w:vAlign w:val="center"/>
            <w:hideMark/>
          </w:tcPr>
          <w:p w14:paraId="30A61668"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0.410</w:t>
            </w:r>
          </w:p>
        </w:tc>
        <w:tc>
          <w:tcPr>
            <w:tcW w:w="994" w:type="pct"/>
            <w:tcBorders>
              <w:top w:val="nil"/>
              <w:left w:val="nil"/>
              <w:bottom w:val="single" w:sz="8" w:space="0" w:color="DDDDDD"/>
              <w:right w:val="single" w:sz="8" w:space="0" w:color="DDDDDD"/>
            </w:tcBorders>
            <w:shd w:val="clear" w:color="auto" w:fill="auto"/>
            <w:vAlign w:val="center"/>
            <w:hideMark/>
          </w:tcPr>
          <w:p w14:paraId="6EB655F1"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0.415</w:t>
            </w:r>
          </w:p>
        </w:tc>
        <w:tc>
          <w:tcPr>
            <w:tcW w:w="994" w:type="pct"/>
            <w:tcBorders>
              <w:top w:val="nil"/>
              <w:left w:val="nil"/>
              <w:bottom w:val="single" w:sz="8" w:space="0" w:color="DDDDDD"/>
              <w:right w:val="single" w:sz="8" w:space="0" w:color="DDDDDD"/>
            </w:tcBorders>
            <w:shd w:val="clear" w:color="auto" w:fill="auto"/>
            <w:vAlign w:val="center"/>
            <w:hideMark/>
          </w:tcPr>
          <w:p w14:paraId="640BE74C"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0.444</w:t>
            </w:r>
          </w:p>
        </w:tc>
        <w:tc>
          <w:tcPr>
            <w:tcW w:w="994" w:type="pct"/>
            <w:tcBorders>
              <w:top w:val="nil"/>
              <w:left w:val="nil"/>
              <w:bottom w:val="single" w:sz="8" w:space="0" w:color="DDDDDD"/>
              <w:right w:val="single" w:sz="8" w:space="0" w:color="DDDDDD"/>
            </w:tcBorders>
            <w:shd w:val="clear" w:color="auto" w:fill="auto"/>
            <w:vAlign w:val="center"/>
            <w:hideMark/>
          </w:tcPr>
          <w:p w14:paraId="37B54C6A"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0.490</w:t>
            </w:r>
          </w:p>
        </w:tc>
      </w:tr>
      <w:tr w:rsidR="00A97971" w:rsidRPr="00A97971" w14:paraId="73A0133B" w14:textId="77777777" w:rsidTr="00A97971">
        <w:trPr>
          <w:trHeight w:val="397"/>
        </w:trPr>
        <w:tc>
          <w:tcPr>
            <w:tcW w:w="1022" w:type="pct"/>
            <w:tcBorders>
              <w:top w:val="nil"/>
              <w:left w:val="single" w:sz="8" w:space="0" w:color="DDDDDD"/>
              <w:bottom w:val="single" w:sz="8" w:space="0" w:color="DDDDDD"/>
              <w:right w:val="single" w:sz="8" w:space="0" w:color="DDDDDD"/>
            </w:tcBorders>
            <w:shd w:val="clear" w:color="auto" w:fill="auto"/>
            <w:vAlign w:val="center"/>
            <w:hideMark/>
          </w:tcPr>
          <w:p w14:paraId="02C1C1B0"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Remisión estricta</w:t>
            </w:r>
          </w:p>
        </w:tc>
        <w:tc>
          <w:tcPr>
            <w:tcW w:w="996" w:type="pct"/>
            <w:tcBorders>
              <w:top w:val="nil"/>
              <w:left w:val="nil"/>
              <w:bottom w:val="single" w:sz="8" w:space="0" w:color="DDDDDD"/>
              <w:right w:val="single" w:sz="8" w:space="0" w:color="DDDDDD"/>
            </w:tcBorders>
            <w:shd w:val="clear" w:color="auto" w:fill="auto"/>
            <w:vAlign w:val="center"/>
            <w:hideMark/>
          </w:tcPr>
          <w:p w14:paraId="5E303F2C"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0.147</w:t>
            </w:r>
          </w:p>
        </w:tc>
        <w:tc>
          <w:tcPr>
            <w:tcW w:w="994" w:type="pct"/>
            <w:tcBorders>
              <w:top w:val="nil"/>
              <w:left w:val="nil"/>
              <w:bottom w:val="single" w:sz="8" w:space="0" w:color="DDDDDD"/>
              <w:right w:val="single" w:sz="8" w:space="0" w:color="DDDDDD"/>
            </w:tcBorders>
            <w:shd w:val="clear" w:color="auto" w:fill="auto"/>
            <w:vAlign w:val="center"/>
            <w:hideMark/>
          </w:tcPr>
          <w:p w14:paraId="7BF46AB4"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0.438</w:t>
            </w:r>
          </w:p>
        </w:tc>
        <w:tc>
          <w:tcPr>
            <w:tcW w:w="994" w:type="pct"/>
            <w:tcBorders>
              <w:top w:val="nil"/>
              <w:left w:val="nil"/>
              <w:bottom w:val="single" w:sz="8" w:space="0" w:color="DDDDDD"/>
              <w:right w:val="single" w:sz="8" w:space="0" w:color="DDDDDD"/>
            </w:tcBorders>
            <w:shd w:val="clear" w:color="auto" w:fill="auto"/>
            <w:vAlign w:val="center"/>
            <w:hideMark/>
          </w:tcPr>
          <w:p w14:paraId="6AAE6590" w14:textId="77777777" w:rsidR="00A97971" w:rsidRPr="00A97971" w:rsidRDefault="00A97971" w:rsidP="00A97971">
            <w:pPr>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0.392</w:t>
            </w:r>
          </w:p>
        </w:tc>
        <w:tc>
          <w:tcPr>
            <w:tcW w:w="994" w:type="pct"/>
            <w:tcBorders>
              <w:top w:val="nil"/>
              <w:left w:val="nil"/>
              <w:bottom w:val="single" w:sz="8" w:space="0" w:color="DDDDDD"/>
              <w:right w:val="single" w:sz="8" w:space="0" w:color="DDDDDD"/>
            </w:tcBorders>
            <w:shd w:val="clear" w:color="auto" w:fill="auto"/>
            <w:vAlign w:val="center"/>
            <w:hideMark/>
          </w:tcPr>
          <w:p w14:paraId="3F7B2DFD" w14:textId="77777777" w:rsidR="00A97971" w:rsidRPr="00A97971" w:rsidRDefault="00A97971" w:rsidP="00A97971">
            <w:pPr>
              <w:keepNext/>
              <w:spacing w:before="0" w:after="0" w:line="240" w:lineRule="auto"/>
              <w:jc w:val="left"/>
              <w:rPr>
                <w:rFonts w:eastAsia="Times New Roman"/>
                <w:color w:val="000000"/>
                <w:sz w:val="20"/>
                <w:szCs w:val="20"/>
                <w:lang w:val="es-ES"/>
              </w:rPr>
            </w:pPr>
            <w:r w:rsidRPr="00A97971">
              <w:rPr>
                <w:rFonts w:eastAsia="Times New Roman"/>
                <w:color w:val="000000"/>
                <w:sz w:val="20"/>
                <w:szCs w:val="20"/>
                <w:lang w:val="es-ES"/>
              </w:rPr>
              <w:t>0.455</w:t>
            </w:r>
          </w:p>
        </w:tc>
      </w:tr>
    </w:tbl>
    <w:p w14:paraId="7C64C4D6" w14:textId="347D0667" w:rsidR="00EF0AD8" w:rsidRDefault="00A97971" w:rsidP="00C67F76">
      <w:pPr>
        <w:pStyle w:val="Descripcin"/>
        <w:rPr>
          <w:highlight w:val="yellow"/>
        </w:rPr>
      </w:pPr>
      <w:bookmarkStart w:id="182" w:name="_Toc230792273"/>
      <w:r>
        <w:t xml:space="preserve">Tabla </w:t>
      </w:r>
      <w:fldSimple w:instr=" SEQ Tabla \* ARABIC ">
        <w:r w:rsidR="00716AEA">
          <w:rPr>
            <w:noProof/>
          </w:rPr>
          <w:t>45</w:t>
        </w:r>
      </w:fldSimple>
      <w:r>
        <w:t xml:space="preserve">. </w:t>
      </w:r>
      <w:r w:rsidRPr="00CB1E93">
        <w:t>Comparación del AUC aparente entre el modelo LASSO multi-</w:t>
      </w:r>
      <w:proofErr w:type="spellStart"/>
      <w:r w:rsidRPr="00CB1E93">
        <w:t>ómico</w:t>
      </w:r>
      <w:proofErr w:type="spellEnd"/>
      <w:r w:rsidRPr="00CB1E93">
        <w:t xml:space="preserve"> y los biomarcadores individuales</w:t>
      </w:r>
      <w:r w:rsidRPr="00A97971">
        <w:t>.</w:t>
      </w:r>
      <w:bookmarkEnd w:id="182"/>
    </w:p>
    <w:p w14:paraId="5B4CB05D" w14:textId="130F8A4C" w:rsidR="00A97971" w:rsidRDefault="00A97971" w:rsidP="00A97971">
      <w:pPr>
        <w:ind w:hanging="2"/>
      </w:pPr>
      <w:r>
        <w:t>En términos de AUC aparente, los biomarcadores individuales tendieron a superar al modelo LASSO multi-</w:t>
      </w:r>
      <w:proofErr w:type="spellStart"/>
      <w:r>
        <w:t>ómico</w:t>
      </w:r>
      <w:proofErr w:type="spellEnd"/>
      <w:r>
        <w:t xml:space="preserve"> en varios desenlaces. Sin embargo, el AUC en validación cruzada —métrica más relevante para la estimación del rendimiento generalizable— fue notablemente superior a los valores aparentes en todos los casos (rango 0,582–0,688), lo que indica que la </w:t>
      </w:r>
      <w:proofErr w:type="spellStart"/>
      <w:r>
        <w:lastRenderedPageBreak/>
        <w:t>sobreoptimización</w:t>
      </w:r>
      <w:proofErr w:type="spellEnd"/>
      <w:r>
        <w:t xml:space="preserve"> del modelo sobre la muestra completa explicaría la discordancia observada. Este patrón es esperable en escenarios de alta dimensionalidad con tamaño muestral moderado (n = 251), donde la penalización LASSO no elimina completamente el sobreajuste en la evaluación interna aparente.</w:t>
      </w:r>
    </w:p>
    <w:p w14:paraId="2CEAD718" w14:textId="3840C756" w:rsidR="00097466" w:rsidRDefault="00A97971" w:rsidP="00CF2B59">
      <w:pPr>
        <w:ind w:hanging="2"/>
        <w:rPr>
          <w:highlight w:val="yellow"/>
        </w:rPr>
      </w:pPr>
      <w:r>
        <w:t>En conjunto, los resultados sugieren que la integración de la firma transcriptómica de ISGs con el panel proteómico sérico proporciona información complementaria para la clasificación de los diferentes estados clínicos en LES, si bien el rendimiento discriminativo del modelo multi-</w:t>
      </w:r>
      <w:proofErr w:type="spellStart"/>
      <w:r>
        <w:t>ómico</w:t>
      </w:r>
      <w:proofErr w:type="spellEnd"/>
      <w:r>
        <w:t xml:space="preserve"> queda limitado por las restricciones de tamaño muestral y la elevada dimensionalidad del espacio de predictores.</w:t>
      </w:r>
      <w:r>
        <w:br w:type="page"/>
      </w:r>
    </w:p>
    <w:p w14:paraId="6B3765E2" w14:textId="77777777" w:rsidR="00097466" w:rsidRDefault="00000000">
      <w:pPr>
        <w:pStyle w:val="Ttulo1"/>
        <w:numPr>
          <w:ilvl w:val="0"/>
          <w:numId w:val="17"/>
        </w:numPr>
      </w:pPr>
      <w:bookmarkStart w:id="183" w:name="_Toc229237693"/>
      <w:bookmarkStart w:id="184" w:name="_Toc230792334"/>
      <w:r>
        <w:lastRenderedPageBreak/>
        <w:t>Discusión</w:t>
      </w:r>
      <w:bookmarkEnd w:id="183"/>
      <w:bookmarkEnd w:id="184"/>
    </w:p>
    <w:p w14:paraId="6C2E741A" w14:textId="5E9C1668" w:rsidR="001D0566" w:rsidRDefault="001D0566" w:rsidP="001D0566">
      <w:pPr>
        <w:pStyle w:val="Ttulo2"/>
        <w:numPr>
          <w:ilvl w:val="1"/>
          <w:numId w:val="17"/>
        </w:numPr>
      </w:pPr>
      <w:bookmarkStart w:id="185" w:name="_Toc230792335"/>
      <w:r w:rsidRPr="001D0566">
        <w:t>La firma de interferón tipo I como eje central de heterogeneidad en el LES</w:t>
      </w:r>
      <w:bookmarkEnd w:id="185"/>
    </w:p>
    <w:p w14:paraId="66D851AF" w14:textId="1CF4189B" w:rsidR="003F14FA" w:rsidRDefault="003F14FA" w:rsidP="003F14FA">
      <w:pPr>
        <w:pStyle w:val="Prrafodelista"/>
        <w:numPr>
          <w:ilvl w:val="0"/>
          <w:numId w:val="49"/>
        </w:numPr>
      </w:pPr>
      <w:r w:rsidRPr="003F14FA">
        <w:t>L</w:t>
      </w:r>
      <w:r>
        <w:t>a</w:t>
      </w:r>
      <w:r w:rsidRPr="003F14FA">
        <w:t xml:space="preserve"> firma de interferón tipo I (IFN</w:t>
      </w:r>
      <w:r w:rsidRPr="003F14FA">
        <w:rPr>
          <w:rFonts w:ascii="Cambria Math" w:hAnsi="Cambria Math" w:cs="Cambria Math"/>
        </w:rPr>
        <w:t>‑</w:t>
      </w:r>
      <w:r w:rsidRPr="003F14FA">
        <w:t>I) constituye en el LES un eje central de heterogeneidad molecular</w:t>
      </w:r>
      <w:r>
        <w:t xml:space="preserve">. </w:t>
      </w:r>
      <w:r w:rsidRPr="003F14FA">
        <w:t>La identificación de dos subgrupos transcriptómicos (IFN</w:t>
      </w:r>
      <w:r w:rsidRPr="003F14FA">
        <w:rPr>
          <w:rFonts w:ascii="Cambria Math" w:hAnsi="Cambria Math" w:cs="Cambria Math"/>
        </w:rPr>
        <w:t>‑</w:t>
      </w:r>
      <w:proofErr w:type="spellStart"/>
      <w:r w:rsidRPr="003F14FA">
        <w:t>high</w:t>
      </w:r>
      <w:proofErr w:type="spellEnd"/>
      <w:r w:rsidRPr="003F14FA">
        <w:t xml:space="preserve"> 34,7% e IFN</w:t>
      </w:r>
      <w:r w:rsidRPr="003F14FA">
        <w:rPr>
          <w:rFonts w:ascii="Cambria Math" w:hAnsi="Cambria Math" w:cs="Cambria Math"/>
        </w:rPr>
        <w:t>‑</w:t>
      </w:r>
      <w:r w:rsidRPr="003F14FA">
        <w:t>low 65,3%)</w:t>
      </w:r>
      <w:r>
        <w:t xml:space="preserve"> </w:t>
      </w:r>
      <w:r w:rsidRPr="003F14FA">
        <w:t>es coherente con una cohorte ambulatoria mayoritariamente en LLDAS/DORIS y bajo tratamiento inmunosupresor</w:t>
      </w:r>
      <w:r>
        <w:t xml:space="preserve">. </w:t>
      </w:r>
    </w:p>
    <w:p w14:paraId="27968CBE" w14:textId="0F275337" w:rsidR="003F14FA" w:rsidRDefault="003F14FA" w:rsidP="003F14FA">
      <w:pPr>
        <w:pStyle w:val="Prrafodelista"/>
        <w:numPr>
          <w:ilvl w:val="0"/>
          <w:numId w:val="49"/>
        </w:numPr>
      </w:pPr>
      <w:r w:rsidRPr="003F14FA">
        <w:t>La validación interna del IFN</w:t>
      </w:r>
      <w:r w:rsidRPr="003F14FA">
        <w:rPr>
          <w:rFonts w:ascii="Cambria Math" w:hAnsi="Cambria Math" w:cs="Cambria Math"/>
        </w:rPr>
        <w:t>‑</w:t>
      </w:r>
      <w:r w:rsidRPr="003F14FA">
        <w:t>score mediante un panel reducido de 4 genes (ρ de Spearman = 0,972; κ de Cohen = 0,779) muestra una concordancia casi perfecta con el panel ampliado de 72 ISGs</w:t>
      </w:r>
      <w:r>
        <w:t xml:space="preserve">. </w:t>
      </w:r>
      <w:r w:rsidRPr="003F14FA">
        <w:t xml:space="preserve">Este resultado es congruente con </w:t>
      </w:r>
      <w:r>
        <w:t xml:space="preserve">otros </w:t>
      </w:r>
      <w:r w:rsidRPr="003F14FA">
        <w:t>trabajos</w:t>
      </w:r>
      <w:r>
        <w:t xml:space="preserve"> </w:t>
      </w:r>
      <w:r w:rsidRPr="003F14FA">
        <w:t xml:space="preserve"> </w:t>
      </w:r>
      <w:sdt>
        <w:sdtPr>
          <w:rPr>
            <w:color w:val="000000"/>
          </w:rPr>
          <w:tag w:val="MENDELEY_CITATION_v3_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"/>
          <w:id w:val="-1497569780"/>
          <w:placeholder>
            <w:docPart w:val="DefaultPlaceholder_-1854013440"/>
          </w:placeholder>
        </w:sdtPr>
        <w:sdtContent>
          <w:r w:rsidR="00667B28" w:rsidRPr="00667B28">
            <w:rPr>
              <w:color w:val="000000"/>
            </w:rPr>
            <w:t>[12,25]</w:t>
          </w:r>
        </w:sdtContent>
      </w:sdt>
      <w:r w:rsidRPr="003F14FA">
        <w:t>, que defienden que paneles parsimoniosos de ISGs canónicos (IFI27, IFI44L, RSAD2, SIGLEC1) capturan la mayor parte de la información biológica relevante, apoyando la implementación coste</w:t>
      </w:r>
      <w:r w:rsidRPr="003F14FA">
        <w:rPr>
          <w:rFonts w:ascii="Cambria Math" w:hAnsi="Cambria Math" w:cs="Cambria Math"/>
        </w:rPr>
        <w:t>‑</w:t>
      </w:r>
      <w:r w:rsidRPr="003F14FA">
        <w:t>efectiva del IFN</w:t>
      </w:r>
      <w:r w:rsidRPr="003F14FA">
        <w:rPr>
          <w:rFonts w:ascii="Cambria Math" w:hAnsi="Cambria Math" w:cs="Cambria Math"/>
        </w:rPr>
        <w:t>‑</w:t>
      </w:r>
      <w:r w:rsidRPr="003F14FA">
        <w:t>score en la práctica clínica.</w:t>
      </w:r>
    </w:p>
    <w:p w14:paraId="5AF88089" w14:textId="5EDE2725" w:rsidR="003F14FA" w:rsidRDefault="003F14FA" w:rsidP="003F14FA">
      <w:pPr>
        <w:pStyle w:val="Prrafodelista"/>
        <w:numPr>
          <w:ilvl w:val="0"/>
          <w:numId w:val="49"/>
        </w:numPr>
      </w:pPr>
      <w:r>
        <w:t>C</w:t>
      </w:r>
      <w:r w:rsidRPr="003F14FA">
        <w:t>orrelación muy intensa entre el IFN</w:t>
      </w:r>
      <w:r w:rsidRPr="003F14FA">
        <w:rPr>
          <w:rFonts w:ascii="Cambria Math" w:hAnsi="Cambria Math" w:cs="Cambria Math"/>
        </w:rPr>
        <w:t>‑</w:t>
      </w:r>
      <w:r w:rsidRPr="003F14FA">
        <w:t>score transcriptómico y la concentración de IFN</w:t>
      </w:r>
      <w:r w:rsidRPr="003F14FA">
        <w:rPr>
          <w:rFonts w:ascii="Cambria Math" w:hAnsi="Cambria Math" w:cs="Cambria Math"/>
        </w:rPr>
        <w:t>‑</w:t>
      </w:r>
      <w:r w:rsidRPr="003F14FA">
        <w:t>α sérica (ρ = 0,856; p</w:t>
      </w:r>
      <w:r w:rsidRPr="003F14FA">
        <w:rPr>
          <w:rFonts w:ascii="Cambria Math" w:hAnsi="Cambria Math" w:cs="Cambria Math"/>
        </w:rPr>
        <w:t>‑</w:t>
      </w:r>
      <w:proofErr w:type="spellStart"/>
      <w:r w:rsidRPr="003F14FA">
        <w:t>adj</w:t>
      </w:r>
      <w:proofErr w:type="spellEnd"/>
      <w:r w:rsidRPr="003F14FA">
        <w:t xml:space="preserve"> ≈ 1,5 × 10⁻⁶⁹)</w:t>
      </w:r>
      <w:r>
        <w:t>. E</w:t>
      </w:r>
      <w:r w:rsidRPr="003F14FA">
        <w:t>ste eje transcriptoma-proteoma sitúa el IFN-α sérico como biomarcador candidato de primera línea para el manejo de pacientes con LES, especialmente en contextos donde el acceso a plataformas de transcriptómica resulta limitado.</w:t>
      </w:r>
    </w:p>
    <w:p w14:paraId="4EB94B27" w14:textId="1D6DC576" w:rsidR="001D0566" w:rsidRDefault="001D0566" w:rsidP="001D0566">
      <w:pPr>
        <w:pStyle w:val="Ttulo2"/>
        <w:numPr>
          <w:ilvl w:val="1"/>
          <w:numId w:val="17"/>
        </w:numPr>
      </w:pPr>
      <w:bookmarkStart w:id="186" w:name="_Toc230792336"/>
      <w:r>
        <w:t>Asociación con actividad clínica</w:t>
      </w:r>
      <w:bookmarkEnd w:id="186"/>
      <w:r w:rsidR="00E4271E">
        <w:t xml:space="preserve"> </w:t>
      </w:r>
    </w:p>
    <w:p w14:paraId="2B7FB211" w14:textId="0CD62465" w:rsidR="00443179" w:rsidRDefault="001D0566" w:rsidP="001D0566">
      <w:pPr>
        <w:pStyle w:val="Prrafodelista"/>
        <w:numPr>
          <w:ilvl w:val="0"/>
          <w:numId w:val="50"/>
        </w:numPr>
      </w:pPr>
      <w:r>
        <w:t xml:space="preserve">Las correlaciones entre el IFN-score y los índices de actividad clínica </w:t>
      </w:r>
      <w:r w:rsidR="00443179">
        <w:t>(SLEDAI-2K,</w:t>
      </w:r>
      <w:r w:rsidR="00443179" w:rsidRPr="00443179">
        <w:t xml:space="preserve"> </w:t>
      </w:r>
      <w:r w:rsidR="00443179">
        <w:t xml:space="preserve">SLE-DAS) </w:t>
      </w:r>
      <w:r>
        <w:t xml:space="preserve">son estadísticamente </w:t>
      </w:r>
      <w:r w:rsidR="003B523B">
        <w:t>significativas,</w:t>
      </w:r>
      <w:r>
        <w:t xml:space="preserve"> pero de magnitud modesta: ρ = 0,182 (p-</w:t>
      </w:r>
      <w:proofErr w:type="spellStart"/>
      <w:r>
        <w:t>adj</w:t>
      </w:r>
      <w:proofErr w:type="spellEnd"/>
      <w:r>
        <w:t xml:space="preserve"> = 0,016) para SLEDAI-2K y ρ = 0,196 (p-</w:t>
      </w:r>
      <w:proofErr w:type="spellStart"/>
      <w:r>
        <w:t>adj</w:t>
      </w:r>
      <w:proofErr w:type="spellEnd"/>
      <w:r>
        <w:t xml:space="preserve"> = 0,008) para SLE-DAS. SLEDAI-2K integra manifestaciones clínicas heterogéneas (artritis, </w:t>
      </w:r>
      <w:proofErr w:type="spellStart"/>
      <w:r>
        <w:t>serositis</w:t>
      </w:r>
      <w:proofErr w:type="spellEnd"/>
      <w:r>
        <w:t xml:space="preserve">, nefritis, manifestaciones neuropsiquiátricas, citopenias, </w:t>
      </w:r>
      <w:proofErr w:type="spellStart"/>
      <w:r>
        <w:t>hipocomplementemia</w:t>
      </w:r>
      <w:proofErr w:type="spellEnd"/>
      <w:r>
        <w:t>) cuyas etiologías biológicas no son uniformemente dependientes del IFN-I</w:t>
      </w:r>
      <w:r w:rsidR="00443179">
        <w:t xml:space="preserve"> </w:t>
      </w:r>
      <w:sdt>
        <w:sdtPr>
          <w:rPr>
            <w:color w:val="000000"/>
          </w:rPr>
          <w:tag w:val="MENDELEY_CITATION_v3_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"/>
          <w:id w:val="1087038330"/>
          <w:placeholder>
            <w:docPart w:val="DefaultPlaceholder_-1854013440"/>
          </w:placeholder>
        </w:sdtPr>
        <w:sdtContent>
          <w:r w:rsidR="00667B28" w:rsidRPr="00667B28">
            <w:rPr>
              <w:color w:val="000000"/>
            </w:rPr>
            <w:t>[22]</w:t>
          </w:r>
        </w:sdtContent>
      </w:sdt>
      <w:r>
        <w:t>. La firma IFN es necesaria pero no suficiente para la actividad clínica.</w:t>
      </w:r>
    </w:p>
    <w:p w14:paraId="2373513F" w14:textId="7AE1E81B" w:rsidR="00667B28" w:rsidRDefault="00667B28" w:rsidP="00335644">
      <w:pPr>
        <w:pStyle w:val="Prrafodelista"/>
        <w:numPr>
          <w:ilvl w:val="0"/>
          <w:numId w:val="50"/>
        </w:numPr>
      </w:pPr>
      <w:r>
        <w:t>Cuando se examinan las diferencias entre IFN-</w:t>
      </w:r>
      <w:proofErr w:type="spellStart"/>
      <w:r>
        <w:t>high</w:t>
      </w:r>
      <w:proofErr w:type="spellEnd"/>
      <w:r>
        <w:t xml:space="preserve"> e IFN-low mediante comparaciones de grupos, las asociaciones son más claras: SLEDAI-2K mediana 2,00 vs. 1,00 (p-</w:t>
      </w:r>
      <w:proofErr w:type="spellStart"/>
      <w:r>
        <w:t>adj</w:t>
      </w:r>
      <w:proofErr w:type="spellEnd"/>
      <w:r>
        <w:t xml:space="preserve"> = 0,034), SLE-DAS 1,32 vs. 1,11 (p-</w:t>
      </w:r>
      <w:proofErr w:type="spellStart"/>
      <w:r>
        <w:t>adj</w:t>
      </w:r>
      <w:proofErr w:type="spellEnd"/>
      <w:r>
        <w:t xml:space="preserve"> = 0,034), SLICC-DI 1,00 vs. 0,00 (p-</w:t>
      </w:r>
      <w:proofErr w:type="spellStart"/>
      <w:r>
        <w:t>adj</w:t>
      </w:r>
      <w:proofErr w:type="spellEnd"/>
      <w:r>
        <w:t xml:space="preserve"> = 0,007). Especialmente relevante es el hallazgo de mayor daño acumulado en los IFN-</w:t>
      </w:r>
      <w:proofErr w:type="spellStart"/>
      <w:r>
        <w:t>high</w:t>
      </w:r>
      <w:proofErr w:type="spellEnd"/>
      <w:r>
        <w:t xml:space="preserve">, replicando la observación de Mai et al. (2021) </w:t>
      </w:r>
      <w:sdt>
        <w:sdtPr>
          <w:rPr>
            <w:color w:val="000000"/>
          </w:rPr>
          <w:tag w:val="MENDELEY_CITATION_v3_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"/>
          <w:id w:val="1415055612"/>
          <w:placeholder>
            <w:docPart w:val="DefaultPlaceholder_-1854013440"/>
          </w:placeholder>
        </w:sdtPr>
        <w:sdtContent>
          <w:r w:rsidRPr="00667B28">
            <w:rPr>
              <w:color w:val="000000"/>
            </w:rPr>
            <w:t>[22]</w:t>
          </w:r>
        </w:sdtContent>
      </w:sdt>
      <w:r>
        <w:rPr>
          <w:color w:val="000000"/>
        </w:rPr>
        <w:t xml:space="preserve"> </w:t>
      </w:r>
      <w:r>
        <w:t xml:space="preserve">de que una firma IFN elevada se asocia con peor evolución a largo plazo. </w:t>
      </w:r>
    </w:p>
    <w:p w14:paraId="3B926091" w14:textId="6D818FC3" w:rsidR="00335644" w:rsidRDefault="001D0566" w:rsidP="00335644">
      <w:pPr>
        <w:pStyle w:val="Prrafodelista"/>
        <w:numPr>
          <w:ilvl w:val="0"/>
          <w:numId w:val="50"/>
        </w:numPr>
      </w:pPr>
      <w:r>
        <w:t>La asociación del IFN-</w:t>
      </w:r>
      <w:proofErr w:type="spellStart"/>
      <w:r>
        <w:t>high</w:t>
      </w:r>
      <w:proofErr w:type="spellEnd"/>
      <w:r>
        <w:t xml:space="preserve"> con edad más joven al momento del estudio (50,25 vs. 55,15 años; p-</w:t>
      </w:r>
      <w:proofErr w:type="spellStart"/>
      <w:r>
        <w:t>adj</w:t>
      </w:r>
      <w:proofErr w:type="spellEnd"/>
      <w:r>
        <w:t xml:space="preserve"> = 0,0006) y con edad de diagnóstico más temprana (27,26 vs. 33,02; p-</w:t>
      </w:r>
      <w:proofErr w:type="spellStart"/>
      <w:r>
        <w:t>adj</w:t>
      </w:r>
      <w:proofErr w:type="spellEnd"/>
      <w:r>
        <w:t xml:space="preserve"> = 0,007) es particularmente significativa. </w:t>
      </w:r>
      <w:r w:rsidR="00443179" w:rsidRPr="00443179">
        <w:t>Este patrón sugiere que la identificación de pacientes jóvenes con firma IFN elevada podría tener implicaciones traslacionales relevantes, al apoyar una intensificación más precoz del tratamiento, incluida la consideración de terapias biológicas dirigidas a la vía IFN</w:t>
      </w:r>
      <w:r w:rsidR="00443179" w:rsidRPr="00443179">
        <w:rPr>
          <w:rFonts w:ascii="Cambria Math" w:hAnsi="Cambria Math" w:cs="Cambria Math"/>
        </w:rPr>
        <w:t>‑</w:t>
      </w:r>
      <w:r w:rsidR="00443179" w:rsidRPr="00443179">
        <w:t>I</w:t>
      </w:r>
      <w:r w:rsidR="00443179">
        <w:t xml:space="preserve"> </w:t>
      </w:r>
      <w:sdt>
        <w:sdtPr>
          <w:rPr>
            <w:color w:val="000000"/>
          </w:rPr>
          <w:tag w:val="MENDELEY_CITATION_v3_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"/>
          <w:id w:val="1768964567"/>
          <w:placeholder>
            <w:docPart w:val="DefaultPlaceholder_-1854013440"/>
          </w:placeholder>
        </w:sdtPr>
        <w:sdtContent>
          <w:r w:rsidR="00667B28" w:rsidRPr="00667B28">
            <w:rPr>
              <w:color w:val="000000"/>
            </w:rPr>
            <w:t>[19]</w:t>
          </w:r>
        </w:sdtContent>
      </w:sdt>
      <w:r w:rsidR="00443179" w:rsidRPr="00443179">
        <w:t>.</w:t>
      </w:r>
    </w:p>
    <w:p w14:paraId="3C266F57" w14:textId="26D6CAA0" w:rsidR="001D0566" w:rsidRDefault="001D0566" w:rsidP="001D0566">
      <w:pPr>
        <w:pStyle w:val="Prrafodelista"/>
        <w:numPr>
          <w:ilvl w:val="0"/>
          <w:numId w:val="50"/>
        </w:numPr>
      </w:pPr>
      <w:r>
        <w:lastRenderedPageBreak/>
        <w:t>El rendimiento diagnóstico del IFN-α sérico para clasificar IFN-</w:t>
      </w:r>
      <w:proofErr w:type="spellStart"/>
      <w:r>
        <w:t>high</w:t>
      </w:r>
      <w:proofErr w:type="spellEnd"/>
      <w:r>
        <w:t xml:space="preserve"> (AUC = 0,944) contrasta marcadamente con el AUC de los marcadores convencionales C3 (AUC = 0,538) y C4 (AUC = 0,529), y con el del propio SLEDAI-2K (AUC = 0,591). </w:t>
      </w:r>
      <w:r w:rsidR="00443179">
        <w:t>E</w:t>
      </w:r>
      <w:r>
        <w:t>l IFN-α sérico ultrasensible no solo es un biomarcador correlativo, sino un clasificador robusto y, potencialmente, un sustituto pragmático del IFN-score transcriptómico en contextos donde la transcriptómica resulta inaccesible</w:t>
      </w:r>
      <w:r w:rsidR="00443179">
        <w:t xml:space="preserve"> </w:t>
      </w:r>
      <w:sdt>
        <w:sdtPr>
          <w:rPr>
            <w:color w:val="000000"/>
          </w:rPr>
          <w:tag w:val="MENDELEY_CITATION_v3_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"/>
          <w:id w:val="-1768229447"/>
          <w:placeholder>
            <w:docPart w:val="DefaultPlaceholder_-1854013440"/>
          </w:placeholder>
        </w:sdtPr>
        <w:sdtContent>
          <w:r w:rsidR="00667B28" w:rsidRPr="00667B28">
            <w:rPr>
              <w:color w:val="000000"/>
            </w:rPr>
            <w:t>[25]</w:t>
          </w:r>
        </w:sdtContent>
      </w:sdt>
      <w:r>
        <w:t xml:space="preserve">. </w:t>
      </w:r>
    </w:p>
    <w:p w14:paraId="0D6FD30B" w14:textId="6551A3D8" w:rsidR="00335644" w:rsidRDefault="00335644" w:rsidP="001D0566">
      <w:pPr>
        <w:pStyle w:val="Prrafodelista"/>
        <w:numPr>
          <w:ilvl w:val="0"/>
          <w:numId w:val="50"/>
        </w:numPr>
      </w:pPr>
      <w:r>
        <w:t>Uno de los hallazgos clínicamente más relevantes y, simultáneamente, menos enfatizados a priori, es el perfil lipídico aterogénico asociado al estado IFN-</w:t>
      </w:r>
      <w:proofErr w:type="spellStart"/>
      <w:r>
        <w:t>high</w:t>
      </w:r>
      <w:proofErr w:type="spellEnd"/>
      <w:r>
        <w:t>: descenso significativo de HDL (mediana 49,75 vs. 55,00 mg/</w:t>
      </w:r>
      <w:proofErr w:type="spellStart"/>
      <w:r>
        <w:t>dL</w:t>
      </w:r>
      <w:proofErr w:type="spellEnd"/>
      <w:r>
        <w:t>; p-</w:t>
      </w:r>
      <w:proofErr w:type="spellStart"/>
      <w:r>
        <w:t>adj</w:t>
      </w:r>
      <w:proofErr w:type="spellEnd"/>
      <w:r>
        <w:t xml:space="preserve"> = 0,011) y de </w:t>
      </w:r>
      <w:proofErr w:type="spellStart"/>
      <w:r>
        <w:t>ApoA</w:t>
      </w:r>
      <w:proofErr w:type="spellEnd"/>
      <w:r>
        <w:t>-I, con correlaciones inversas con el IFN-score (ρ = −0,229 y ρ = −0,213, respectivamente). Este hallazgo integra una pieza fundamental en el contexto del riesgo cardiovascular del paciente lúpico. El LES presenta un exceso de morbimortalidad cardiovascular bien documentado, con un riesgo relativo de eventos coronarios y cerebrovasculares superior al de la población general en mujeres jóvenes. Tradicionalmente atribuido al efecto sinérgico de inflamación crónica, glucocorticoides y dislipemia clásica, los datos del presente TFM aportan un mecanismo molecular adicional: el eje IFN-α–HDL–</w:t>
      </w:r>
      <w:proofErr w:type="spellStart"/>
      <w:r>
        <w:t>ApoA</w:t>
      </w:r>
      <w:proofErr w:type="spellEnd"/>
      <w:r>
        <w:t xml:space="preserve">-I configura un perfil aterogénico inflamatorio que podría explicar parte del riesgo residual no capturado por los factores convencionales. </w:t>
      </w:r>
    </w:p>
    <w:p w14:paraId="387F2E59" w14:textId="469AF0B5" w:rsidR="001D0566" w:rsidRDefault="001D0566" w:rsidP="001D0566">
      <w:pPr>
        <w:pStyle w:val="Ttulo2"/>
        <w:numPr>
          <w:ilvl w:val="1"/>
          <w:numId w:val="17"/>
        </w:numPr>
      </w:pPr>
      <w:bookmarkStart w:id="187" w:name="_Toc230792337"/>
      <w:r>
        <w:t>Integración multi-</w:t>
      </w:r>
      <w:proofErr w:type="spellStart"/>
      <w:r>
        <w:t>ómica</w:t>
      </w:r>
      <w:proofErr w:type="spellEnd"/>
      <w:r>
        <w:t>: valor del MOFA2 y DIABLO</w:t>
      </w:r>
      <w:bookmarkEnd w:id="187"/>
    </w:p>
    <w:p w14:paraId="44E081B0" w14:textId="77777777" w:rsidR="00154C10" w:rsidRDefault="00E4271E" w:rsidP="001D0566">
      <w:pPr>
        <w:pStyle w:val="Prrafodelista"/>
        <w:numPr>
          <w:ilvl w:val="0"/>
          <w:numId w:val="51"/>
        </w:numPr>
      </w:pPr>
      <w:r w:rsidRPr="00E4271E">
        <w:t>La integración multi</w:t>
      </w:r>
      <w:r w:rsidRPr="00E4271E">
        <w:rPr>
          <w:rFonts w:ascii="Cambria Math" w:hAnsi="Cambria Math" w:cs="Cambria Math"/>
        </w:rPr>
        <w:t>‑</w:t>
      </w:r>
      <w:proofErr w:type="spellStart"/>
      <w:r w:rsidRPr="00E4271E">
        <w:t>ómica</w:t>
      </w:r>
      <w:proofErr w:type="spellEnd"/>
      <w:r w:rsidRPr="00E4271E">
        <w:t xml:space="preserve"> mediante MOFA2 descompone la variabilidad compartida entre capas en factores latentes no supervisados; en este trabajo, el Factor 1 actúa como eje dominante (85,06% de la varianza transcriptómica y 7,71% de la proteómica) y está definido por ISGs canónicos e IFN</w:t>
      </w:r>
      <w:r w:rsidRPr="00E4271E">
        <w:rPr>
          <w:rFonts w:ascii="Cambria Math" w:hAnsi="Cambria Math" w:cs="Cambria Math"/>
        </w:rPr>
        <w:t>‑</w:t>
      </w:r>
      <w:r w:rsidRPr="00E4271E">
        <w:t>α/IFN</w:t>
      </w:r>
      <w:r w:rsidRPr="00E4271E">
        <w:rPr>
          <w:rFonts w:ascii="Cambria Math" w:hAnsi="Cambria Math" w:cs="Cambria Math"/>
        </w:rPr>
        <w:t>‑</w:t>
      </w:r>
      <w:r w:rsidRPr="00E4271E">
        <w:t xml:space="preserve">γ/BAFF frente a HDL, </w:t>
      </w:r>
      <w:proofErr w:type="spellStart"/>
      <w:r w:rsidRPr="00E4271E">
        <w:t>ApoA</w:t>
      </w:r>
      <w:proofErr w:type="spellEnd"/>
      <w:r w:rsidRPr="00E4271E">
        <w:rPr>
          <w:rFonts w:ascii="Cambria Math" w:hAnsi="Cambria Math" w:cs="Cambria Math"/>
        </w:rPr>
        <w:t>‑</w:t>
      </w:r>
      <w:r w:rsidRPr="00E4271E">
        <w:t>I, C3 y C4, reproduciendo de forma coherente la fisiopatología del LES activo (activación IFN, hipergammaglobulinemia, consumo de complemento, dislipemia inflamatoria). La correlación significativa del Factor 1 con los índices SLEDAI</w:t>
      </w:r>
      <w:r w:rsidRPr="00E4271E">
        <w:rPr>
          <w:rFonts w:ascii="Cambria Math" w:hAnsi="Cambria Math" w:cs="Cambria Math"/>
        </w:rPr>
        <w:t>‑</w:t>
      </w:r>
      <w:r w:rsidRPr="00E4271E">
        <w:t>2K y SLE</w:t>
      </w:r>
      <w:r w:rsidRPr="00E4271E">
        <w:rPr>
          <w:rFonts w:ascii="Cambria Math" w:hAnsi="Cambria Math" w:cs="Cambria Math"/>
        </w:rPr>
        <w:t>‑</w:t>
      </w:r>
      <w:r w:rsidRPr="00E4271E">
        <w:t>DAS (ρ ≈ 0,19; p</w:t>
      </w:r>
      <w:r w:rsidRPr="00E4271E">
        <w:rPr>
          <w:rFonts w:ascii="Cambria Math" w:hAnsi="Cambria Math" w:cs="Cambria Math"/>
        </w:rPr>
        <w:t>‑</w:t>
      </w:r>
      <w:proofErr w:type="spellStart"/>
      <w:r w:rsidRPr="00E4271E">
        <w:t>adj</w:t>
      </w:r>
      <w:proofErr w:type="spellEnd"/>
      <w:r w:rsidRPr="00E4271E">
        <w:t xml:space="preserve"> = 0,017) confirma su relevancia clínica manteniendo un marco estrictamente no supervisado</w:t>
      </w:r>
    </w:p>
    <w:p w14:paraId="12A64AC4" w14:textId="64F6F2BD" w:rsidR="001D0566" w:rsidRDefault="001D0566" w:rsidP="001D0566">
      <w:pPr>
        <w:pStyle w:val="Prrafodelista"/>
        <w:numPr>
          <w:ilvl w:val="0"/>
          <w:numId w:val="51"/>
        </w:numPr>
      </w:pPr>
      <w:r>
        <w:t>El análisis DIABLO</w:t>
      </w:r>
      <w:r w:rsidR="00154C10">
        <w:t xml:space="preserve">, </w:t>
      </w:r>
      <w:r>
        <w:t>de naturaleza supervisada, busca discriminar grupos clínicos mediante combinaciones óptimas de variables multi-</w:t>
      </w:r>
      <w:proofErr w:type="spellStart"/>
      <w:r>
        <w:t>ómicas</w:t>
      </w:r>
      <w:proofErr w:type="spellEnd"/>
      <w:r>
        <w:t xml:space="preserve">. Los resultados muestran un balance de errores (BER) entre 0,398 y 0,452 y AUROC entre 0,55 y 0,69, indicando una capacidad discriminativa moderada-baja. Este rendimiento, aunque modesto, no es sorprendente </w:t>
      </w:r>
      <w:sdt>
        <w:sdtPr>
          <w:rPr>
            <w:color w:val="000000"/>
          </w:rPr>
          <w:tag w:val="MENDELEY_CITATION_v3_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"/>
          <w:id w:val="392783759"/>
          <w:placeholder>
            <w:docPart w:val="DefaultPlaceholder_-1854013440"/>
          </w:placeholder>
        </w:sdtPr>
        <w:sdtContent>
          <w:r w:rsidR="00667B28" w:rsidRPr="00667B28">
            <w:rPr>
              <w:color w:val="000000"/>
            </w:rPr>
            <w:t>[37]</w:t>
          </w:r>
        </w:sdtContent>
      </w:sdt>
      <w:r w:rsidR="00154C10" w:rsidRPr="00154C10">
        <w:rPr>
          <w:color w:val="000000"/>
        </w:rPr>
        <w:t xml:space="preserve"> </w:t>
      </w:r>
      <w:r>
        <w:t xml:space="preserve">y refleja tres realidades del problema: (1) la cohorte está predominantemente en remisión o actividad leve, lo que reduce el contraste biológico entre clases y dificulta la discriminación; (2) los índices clínicos (SLEDAI-2K, SLE-DAS, SLICC-DI, LLDAS, DORIS) son constructos multidimensionales no determinados exclusivamente por la activación IFN-I; (3) el problema p </w:t>
      </w:r>
      <w:r w:rsidRPr="00154C10">
        <w:rPr>
          <w:rFonts w:ascii="Cambria Math" w:hAnsi="Cambria Math" w:cs="Cambria Math"/>
        </w:rPr>
        <w:t>≫</w:t>
      </w:r>
      <w:r>
        <w:t xml:space="preserve"> n introduce limitaciones inherentes incluso con regularización. </w:t>
      </w:r>
    </w:p>
    <w:p w14:paraId="4C2B6BEC" w14:textId="5ADE573C" w:rsidR="00835611" w:rsidRPr="00835611" w:rsidRDefault="00835611" w:rsidP="00835611">
      <w:pPr>
        <w:pStyle w:val="Prrafodelista"/>
        <w:numPr>
          <w:ilvl w:val="0"/>
          <w:numId w:val="51"/>
        </w:numPr>
      </w:pPr>
      <w:r w:rsidRPr="00835611">
        <w:t xml:space="preserve">A pesar de las limitaciones discriminativas, DIABLO identifica un núcleo estable de ISGs seleccionados consistentemente a través de los cinco modelos: TRIM38, IFITM1, EIFAK2, TAP1, PHF11, PARP9, SPATS2L, SP100. Este conjunto contiene genes menos canónicos que los habituales: TRIM38 es una E3 ubiquitina-ligasa que regula negativamente la </w:t>
      </w:r>
      <w:r w:rsidRPr="00835611">
        <w:lastRenderedPageBreak/>
        <w:t xml:space="preserve">respuesta antiviral innata mediante la degradación de TRAF6 y TAB2/3; IFITM1 es una proteína transmembrana con función antiviral y reguladora del compartimento linfocitario; TAP1 es un transportador asociado al procesamiento antigénico del MHC-I; PARP9 y SP100 son moduladores nucleares de la respuesta a IFN. La selección preferencial de estos genes sobre los ISGs más </w:t>
      </w:r>
      <w:proofErr w:type="spellStart"/>
      <w:r w:rsidRPr="00835611">
        <w:t>sobreexpresados</w:t>
      </w:r>
      <w:proofErr w:type="spellEnd"/>
      <w:r w:rsidRPr="00835611">
        <w:t xml:space="preserve"> sugiere que aportan información discriminativa fenotípica complementaria a la simple intensidad de activación. Esta observación es metodológicamente valiosa: los modelos predictivos no necesariamente seleccionan los genes con mayor LFC, sino los más informativos para separar fenotipos, principio bien establecido en aprendizaje estadístico.</w:t>
      </w:r>
    </w:p>
    <w:p w14:paraId="1AA2E82B" w14:textId="03367609" w:rsidR="00835611" w:rsidRDefault="00835611" w:rsidP="00835611">
      <w:pPr>
        <w:pStyle w:val="Prrafodelista"/>
        <w:numPr>
          <w:ilvl w:val="0"/>
          <w:numId w:val="51"/>
        </w:numPr>
      </w:pPr>
      <w:r>
        <w:t xml:space="preserve">El patrón proteómico diferencial seleccionado por DIABLO en función del índice clínico es uno de los hallazgos más interesantes del trabajo: C3/C4 emergen como predictores para SLEDAI-2K (coherente con el consumo de complemento en actividad), </w:t>
      </w:r>
      <w:proofErr w:type="spellStart"/>
      <w:r>
        <w:t>ApoA</w:t>
      </w:r>
      <w:proofErr w:type="spellEnd"/>
      <w:r>
        <w:t>-I y HDL para SLE-DAS (coherente con la dimensión metabólico-inflamatoria) y creatinina para SLICC-DI (reflejando daño renal acumulado). Cada índice clínico «lee» una dimensión biológica diferente del LES.</w:t>
      </w:r>
    </w:p>
    <w:p w14:paraId="17637597" w14:textId="1F3FFA8C" w:rsidR="001D0566" w:rsidRDefault="001D0566" w:rsidP="001D0566">
      <w:pPr>
        <w:pStyle w:val="Ttulo2"/>
        <w:numPr>
          <w:ilvl w:val="1"/>
          <w:numId w:val="17"/>
        </w:numPr>
      </w:pPr>
      <w:bookmarkStart w:id="188" w:name="_Toc230792338"/>
      <w:r>
        <w:t>Modelo predictivo LASSO: valor añadido y limitaciones</w:t>
      </w:r>
      <w:bookmarkEnd w:id="188"/>
    </w:p>
    <w:p w14:paraId="5DA2DDF2" w14:textId="64205458" w:rsidR="001D0566" w:rsidRDefault="001D0566" w:rsidP="00254044">
      <w:pPr>
        <w:pStyle w:val="Prrafodelista"/>
        <w:numPr>
          <w:ilvl w:val="0"/>
          <w:numId w:val="52"/>
        </w:numPr>
      </w:pPr>
      <w:r>
        <w:t xml:space="preserve">Los modelos LASSO desarrollados presentan una AUC en validación cruzada (lambda.1se) entre 0,554 y 0,663. Este rendimiento es modesto pero superior al azar, y debe interpretarse en el marco metodológico apropiado: con 90 predictores candidatos y aproximadamente 250 muestras, el problema p </w:t>
      </w:r>
      <w:r w:rsidRPr="00254044">
        <w:rPr>
          <w:rFonts w:ascii="Cambria Math" w:hAnsi="Cambria Math" w:cs="Cambria Math"/>
        </w:rPr>
        <w:t>≫</w:t>
      </w:r>
      <w:r>
        <w:t xml:space="preserve"> n es severo; la regularización L1 mitiga el </w:t>
      </w:r>
      <w:proofErr w:type="gramStart"/>
      <w:r>
        <w:t>sobreajuste</w:t>
      </w:r>
      <w:proofErr w:type="gramEnd"/>
      <w:r>
        <w:t xml:space="preserve"> pero no lo elimina, y las AUC aparentes (sin CV) sobreestiman sistemáticamente el rendimiento real. </w:t>
      </w:r>
    </w:p>
    <w:p w14:paraId="5E3D47C7" w14:textId="2BE9C914" w:rsidR="00835611" w:rsidRDefault="00835611" w:rsidP="00254044">
      <w:pPr>
        <w:pStyle w:val="Prrafodelista"/>
        <w:numPr>
          <w:ilvl w:val="0"/>
          <w:numId w:val="52"/>
        </w:numPr>
      </w:pPr>
      <w:r>
        <w:t xml:space="preserve">La selección recurrente de HDL y </w:t>
      </w:r>
      <w:proofErr w:type="spellStart"/>
      <w:r>
        <w:t>ApoA</w:t>
      </w:r>
      <w:proofErr w:type="spellEnd"/>
      <w:r>
        <w:t xml:space="preserve">-I como predictores en los modelos DIABLO y LASSO para SLE-DAS refuerza la centralidad de estas variables y su valor traslacional. </w:t>
      </w:r>
    </w:p>
    <w:p w14:paraId="21E1E610" w14:textId="334245A4" w:rsidR="00835611" w:rsidRDefault="00835611" w:rsidP="00254044">
      <w:pPr>
        <w:pStyle w:val="Prrafodelista"/>
        <w:numPr>
          <w:ilvl w:val="0"/>
          <w:numId w:val="52"/>
        </w:numPr>
      </w:pPr>
      <w:r>
        <w:t>Un aspecto contraintuitivo del análisis es la aparición del IFN-α sérico con coeficiente positivo en el modelo LASSO para DORIS, es decir, asociándose con mayor probabilidad de remisión. Esta inversión aparente del signo respecto a las correlaciones univariantes debe interpretarse con prudencia. Las técnicas de regularización L1 introducen sesgos hacia la parsimonia y, en escenarios con multicolinealidad y heterogeneidad de cohorte, pueden seleccionar combinaciones de variables cuyos signos no reflejan asociaciones biológicas individuales, sino patrones residuales tras ajustar por otras covariables. Una explicación plausible es que, en una cohorte mayoritariamente en remisión, los pacientes que cumplen DORIS estricta pueden tener un fondo de activación inflamatoria controlado por tratamiento, donde el IFN-α residual marca un perfil farmacológico-clínico específico. Estos hallazgos refuerzan la necesidad de cautela en la interpretación causal de modelos predictivos en cohortes heterogéneas y de tamaño moderado, y refuerzan la necesidad de validación externa antes de extraer conclusiones biológicas.</w:t>
      </w:r>
    </w:p>
    <w:p w14:paraId="5D7A6B9A" w14:textId="762755BF" w:rsidR="001D0566" w:rsidRDefault="001D0566" w:rsidP="001D0566">
      <w:pPr>
        <w:pStyle w:val="Ttulo2"/>
        <w:numPr>
          <w:ilvl w:val="1"/>
          <w:numId w:val="17"/>
        </w:numPr>
      </w:pPr>
      <w:bookmarkStart w:id="189" w:name="_Toc230792339"/>
      <w:r>
        <w:t>Heterogeneidad del LES: subgrupos IFN e implicaciones terapéuticas</w:t>
      </w:r>
      <w:bookmarkEnd w:id="189"/>
    </w:p>
    <w:p w14:paraId="67D0A933" w14:textId="20C9C285" w:rsidR="001D0566" w:rsidRDefault="001D0566" w:rsidP="00461C98">
      <w:pPr>
        <w:pStyle w:val="Prrafodelista"/>
        <w:numPr>
          <w:ilvl w:val="0"/>
          <w:numId w:val="52"/>
        </w:numPr>
      </w:pPr>
      <w:r>
        <w:t>Los resultados del presente TFM —IFN-</w:t>
      </w:r>
      <w:proofErr w:type="spellStart"/>
      <w:r>
        <w:t>high</w:t>
      </w:r>
      <w:proofErr w:type="spellEnd"/>
      <w:r>
        <w:t xml:space="preserve"> se asocia con mayor actividad, más daño y debut precoz— refuerzan la utilidad del IFN-score como criterio de estratificación </w:t>
      </w:r>
      <w:r>
        <w:lastRenderedPageBreak/>
        <w:t xml:space="preserve">terapéutica. En la práctica clínica futura, la determinación del IFN-score (mediante </w:t>
      </w:r>
      <w:proofErr w:type="spellStart"/>
      <w:r>
        <w:t>NanoString</w:t>
      </w:r>
      <w:proofErr w:type="spellEnd"/>
      <w:r>
        <w:t xml:space="preserve"> o IFN-α sérico </w:t>
      </w:r>
      <w:proofErr w:type="spellStart"/>
      <w:r>
        <w:t>Simoa</w:t>
      </w:r>
      <w:proofErr w:type="spellEnd"/>
      <w:r>
        <w:t xml:space="preserve"> como sustituto) podría informar la selección de candidatos óptimos para terapias anti-IFNAR1, en línea con el modelo de medicina personalizada que está transformando la oncología y otras áreas de la medicina interna.</w:t>
      </w:r>
    </w:p>
    <w:p w14:paraId="4C500732" w14:textId="62EDB4DE" w:rsidR="001D0566" w:rsidRDefault="00000000" w:rsidP="001D0566">
      <w:pPr>
        <w:pStyle w:val="Ttulo1"/>
        <w:numPr>
          <w:ilvl w:val="0"/>
          <w:numId w:val="17"/>
        </w:numPr>
      </w:pPr>
      <w:bookmarkStart w:id="190" w:name="_Toc229237694"/>
      <w:bookmarkStart w:id="191" w:name="_Toc230792340"/>
      <w:r>
        <w:t>Conclusiones y trabajos futuros</w:t>
      </w:r>
      <w:bookmarkEnd w:id="190"/>
      <w:bookmarkEnd w:id="191"/>
    </w:p>
    <w:p w14:paraId="0B523B87" w14:textId="77777777" w:rsidR="00473AE7" w:rsidRDefault="001D0566" w:rsidP="00473AE7">
      <w:pPr>
        <w:ind w:hanging="2"/>
      </w:pPr>
      <w:r>
        <w:t xml:space="preserve">A </w:t>
      </w:r>
      <w:r w:rsidR="002A13A4">
        <w:t>continuación,</w:t>
      </w:r>
      <w:r>
        <w:t xml:space="preserve"> se enumeran las conclusiones derivadas de la integración crítica de los resultados, ordenadas en función del flujo lógico del análisis y acompañadas de la justificación correspondiente.</w:t>
      </w:r>
    </w:p>
    <w:p w14:paraId="7649948F" w14:textId="77777777" w:rsidR="00473AE7" w:rsidRDefault="001D0566" w:rsidP="00473AE7">
      <w:pPr>
        <w:pStyle w:val="Prrafodelista"/>
        <w:numPr>
          <w:ilvl w:val="0"/>
          <w:numId w:val="56"/>
        </w:numPr>
      </w:pPr>
      <w:r>
        <w:t>La firma de interferón tipo I (IFN-I)</w:t>
      </w:r>
      <w:r w:rsidR="00473AE7">
        <w:t xml:space="preserve"> </w:t>
      </w:r>
      <w:r>
        <w:t xml:space="preserve">se encuentra significativamente </w:t>
      </w:r>
      <w:proofErr w:type="spellStart"/>
      <w:r>
        <w:t>sobreactivada</w:t>
      </w:r>
      <w:proofErr w:type="spellEnd"/>
      <w:r>
        <w:t xml:space="preserve"> en los pacientes con LES respecto a los controles sano</w:t>
      </w:r>
      <w:r w:rsidR="00473AE7">
        <w:t>s</w:t>
      </w:r>
      <w:r>
        <w:t xml:space="preserve">. </w:t>
      </w:r>
    </w:p>
    <w:p w14:paraId="083270BE" w14:textId="77777777" w:rsidR="00473AE7" w:rsidRDefault="001D0566" w:rsidP="00473AE7">
      <w:pPr>
        <w:pStyle w:val="Prrafodelista"/>
        <w:numPr>
          <w:ilvl w:val="0"/>
          <w:numId w:val="56"/>
        </w:numPr>
      </w:pPr>
      <w:r>
        <w:t>El IFN-score de 72 ISGs muestra una concordancia casi perfecta con el IFN-score clásico de 4 genes (ρ = 0,972; κ = 0,779), validando la representatividad del panel ampliado</w:t>
      </w:r>
      <w:r w:rsidR="00473AE7">
        <w:t xml:space="preserve"> y </w:t>
      </w:r>
      <w:r>
        <w:t>confirma</w:t>
      </w:r>
      <w:r w:rsidR="00473AE7">
        <w:t>ndo</w:t>
      </w:r>
      <w:r>
        <w:t xml:space="preserve"> que la información biológica capturada por el panel extendido es funcionalmente redundante con la del panel reducido.</w:t>
      </w:r>
    </w:p>
    <w:p w14:paraId="4D9765B4" w14:textId="77777777" w:rsidR="00473AE7" w:rsidRDefault="00473AE7" w:rsidP="00473AE7">
      <w:pPr>
        <w:pStyle w:val="Prrafodelista"/>
        <w:numPr>
          <w:ilvl w:val="0"/>
          <w:numId w:val="56"/>
        </w:numPr>
      </w:pPr>
      <w:r>
        <w:t>E</w:t>
      </w:r>
      <w:r w:rsidR="001D0566">
        <w:t xml:space="preserve">l IFN-α sérico, cuantificado por tecnología </w:t>
      </w:r>
      <w:proofErr w:type="spellStart"/>
      <w:r w:rsidR="001D0566">
        <w:t>Simoa</w:t>
      </w:r>
      <w:proofErr w:type="spellEnd"/>
      <w:r w:rsidR="001D0566">
        <w:t xml:space="preserve"> ultrasensible, correlaciona con el IFN-score con una intensidad muy elevada (ρ = 0,856; p-</w:t>
      </w:r>
      <w:proofErr w:type="spellStart"/>
      <w:r w:rsidR="001D0566">
        <w:t>adj</w:t>
      </w:r>
      <w:proofErr w:type="spellEnd"/>
      <w:r w:rsidR="001D0566">
        <w:t xml:space="preserve"> = 1,5 × 10⁻⁶⁹). Esta congruencia entre capas (ARNm y proteína) constituye una validación cruzada que confirma la fidelidad de la firma transcriptómica como reflejo de una activación sostenida de la vía IFN-I. El IFN-α sérico clasifica IFN-</w:t>
      </w:r>
      <w:proofErr w:type="spellStart"/>
      <w:r w:rsidR="001D0566">
        <w:t>high</w:t>
      </w:r>
      <w:proofErr w:type="spellEnd"/>
      <w:r w:rsidR="001D0566">
        <w:t xml:space="preserve"> con una AUC excelente de 0,944, configurándose como un sustituto pragmático del IFN-score en contextos donde la transcriptómica resulta inaccesible.</w:t>
      </w:r>
    </w:p>
    <w:p w14:paraId="28696224" w14:textId="77777777" w:rsidR="00473AE7" w:rsidRDefault="001D0566" w:rsidP="00473AE7">
      <w:pPr>
        <w:pStyle w:val="Prrafodelista"/>
        <w:numPr>
          <w:ilvl w:val="0"/>
          <w:numId w:val="56"/>
        </w:numPr>
      </w:pPr>
      <w:r>
        <w:t>Los pacientes IFN-</w:t>
      </w:r>
      <w:proofErr w:type="spellStart"/>
      <w:r>
        <w:t>high</w:t>
      </w:r>
      <w:proofErr w:type="spellEnd"/>
      <w:r>
        <w:t xml:space="preserve"> presentan un fenotipo clínico-biológico diferenciado: mayor actividad (SLEDAI-2K 2,00 vs. 1,00; p-</w:t>
      </w:r>
      <w:proofErr w:type="spellStart"/>
      <w:r>
        <w:t>adj</w:t>
      </w:r>
      <w:proofErr w:type="spellEnd"/>
      <w:r>
        <w:t xml:space="preserve"> = 0,034; SLE-DAS 1,32 vs. 1,11; p-</w:t>
      </w:r>
      <w:proofErr w:type="spellStart"/>
      <w:r>
        <w:t>adj</w:t>
      </w:r>
      <w:proofErr w:type="spellEnd"/>
      <w:r>
        <w:t xml:space="preserve"> = 0,034), mayor daño acumulado (SLICC-DI 1,00 vs. 0,00; p-</w:t>
      </w:r>
      <w:proofErr w:type="spellStart"/>
      <w:r>
        <w:t>adj</w:t>
      </w:r>
      <w:proofErr w:type="spellEnd"/>
      <w:r>
        <w:t xml:space="preserve"> = 0,007), diagnóstico más precoz (27,26 vs. 33,02 años; p-</w:t>
      </w:r>
      <w:proofErr w:type="spellStart"/>
      <w:r>
        <w:t>adj</w:t>
      </w:r>
      <w:proofErr w:type="spellEnd"/>
      <w:r>
        <w:t xml:space="preserve"> = 0,007) y un perfil lipídico más aterogénico (HDL 49,75 vs. 55,00 mg/</w:t>
      </w:r>
      <w:proofErr w:type="spellStart"/>
      <w:r>
        <w:t>dL</w:t>
      </w:r>
      <w:proofErr w:type="spellEnd"/>
      <w:r>
        <w:t>; p-</w:t>
      </w:r>
      <w:proofErr w:type="spellStart"/>
      <w:r>
        <w:t>adj</w:t>
      </w:r>
      <w:proofErr w:type="spellEnd"/>
      <w:r>
        <w:t xml:space="preserve"> = 0,011; </w:t>
      </w:r>
      <w:proofErr w:type="spellStart"/>
      <w:r>
        <w:t>ApoA</w:t>
      </w:r>
      <w:proofErr w:type="spellEnd"/>
      <w:r>
        <w:t xml:space="preserve">-I descendido). Este conjunto de hallazgos define al </w:t>
      </w:r>
      <w:proofErr w:type="spellStart"/>
      <w:r>
        <w:t>endotipo</w:t>
      </w:r>
      <w:proofErr w:type="spellEnd"/>
      <w:r>
        <w:t xml:space="preserve"> IFN-</w:t>
      </w:r>
      <w:proofErr w:type="spellStart"/>
      <w:r>
        <w:t>high</w:t>
      </w:r>
      <w:proofErr w:type="spellEnd"/>
      <w:r>
        <w:t xml:space="preserve"> como un subgrupo con peor evolución acumulada y mayor riesgo cardiovascular preclínico, con implicaciones directas para la estratificación clínica y el manejo cardiovascular del paciente lúpico.</w:t>
      </w:r>
    </w:p>
    <w:p w14:paraId="611D3BA9" w14:textId="77777777" w:rsidR="00473AE7" w:rsidRDefault="001D0566" w:rsidP="00473AE7">
      <w:pPr>
        <w:pStyle w:val="Prrafodelista"/>
        <w:numPr>
          <w:ilvl w:val="0"/>
          <w:numId w:val="56"/>
        </w:numPr>
      </w:pPr>
      <w:r>
        <w:t xml:space="preserve">La integración no supervisada mediante MOFA2 confirma que la firma IFN-I es la principal fuente de variación compartida entre las capas transcriptómica y proteómica. </w:t>
      </w:r>
    </w:p>
    <w:p w14:paraId="4F203CB2" w14:textId="77777777" w:rsidR="00473AE7" w:rsidRDefault="001D0566" w:rsidP="00473AE7">
      <w:pPr>
        <w:pStyle w:val="Prrafodelista"/>
        <w:numPr>
          <w:ilvl w:val="0"/>
          <w:numId w:val="56"/>
        </w:numPr>
      </w:pPr>
      <w:r>
        <w:t xml:space="preserve">La integración supervisada mediante </w:t>
      </w:r>
      <w:proofErr w:type="gramStart"/>
      <w:r>
        <w:t>DIABLO</w:t>
      </w:r>
      <w:proofErr w:type="gramEnd"/>
      <w:r w:rsidR="00473AE7">
        <w:t xml:space="preserve"> a</w:t>
      </w:r>
      <w:r>
        <w:t xml:space="preserve">unque </w:t>
      </w:r>
      <w:r w:rsidR="00473AE7">
        <w:t xml:space="preserve">muestra una </w:t>
      </w:r>
      <w:r>
        <w:t xml:space="preserve">capacidad discriminativa modesta, los modelos son biológicamente coherentes y revelan que cada índice clínico «lee» una dimensión diferente de la biología lúpica. </w:t>
      </w:r>
    </w:p>
    <w:p w14:paraId="4D5F9A6D" w14:textId="22C54B89" w:rsidR="00097466" w:rsidRDefault="001D0566" w:rsidP="00473AE7">
      <w:pPr>
        <w:pStyle w:val="Prrafodelista"/>
        <w:numPr>
          <w:ilvl w:val="0"/>
          <w:numId w:val="56"/>
        </w:numPr>
      </w:pPr>
      <w:r>
        <w:t>El modelo LASSO multi-</w:t>
      </w:r>
      <w:proofErr w:type="spellStart"/>
      <w:r>
        <w:t>ómico</w:t>
      </w:r>
      <w:proofErr w:type="spellEnd"/>
      <w:r>
        <w:t xml:space="preserve"> aporta firmas combinadas de ISGs y proteínas séricas con AUC en validación cruzada de 0,554–0,663, superiores al </w:t>
      </w:r>
      <w:proofErr w:type="gramStart"/>
      <w:r>
        <w:t>azar</w:t>
      </w:r>
      <w:proofErr w:type="gramEnd"/>
      <w:r>
        <w:t xml:space="preserve"> pero con rendimiento limitado por el tamaño muestral y la dimensionalidad del problema (p </w:t>
      </w:r>
      <w:r w:rsidRPr="00473AE7">
        <w:rPr>
          <w:rFonts w:ascii="Cambria Math" w:hAnsi="Cambria Math" w:cs="Cambria Math"/>
        </w:rPr>
        <w:t>≫</w:t>
      </w:r>
      <w:r>
        <w:t xml:space="preserve"> n). La validación externa en cohortes independientes es indispensable antes de cualquier implementación clínica.</w:t>
      </w:r>
      <w:r>
        <w:br w:type="page"/>
      </w:r>
    </w:p>
    <w:p w14:paraId="09DFD0BC" w14:textId="22F41F16" w:rsidR="00512A25" w:rsidRDefault="00000000" w:rsidP="00512A25">
      <w:pPr>
        <w:pStyle w:val="Ttulo1"/>
        <w:numPr>
          <w:ilvl w:val="0"/>
          <w:numId w:val="17"/>
        </w:numPr>
      </w:pPr>
      <w:bookmarkStart w:id="192" w:name="_Toc229237695"/>
      <w:bookmarkStart w:id="193" w:name="_Toc230792341"/>
      <w:r>
        <w:lastRenderedPageBreak/>
        <w:t>Glosario</w:t>
      </w:r>
      <w:bookmarkEnd w:id="192"/>
      <w:bookmarkEnd w:id="193"/>
    </w:p>
    <w:p w14:paraId="12DA629C" w14:textId="44012710" w:rsidR="00512A25" w:rsidRDefault="00512A25" w:rsidP="003B523B">
      <w:pPr>
        <w:pStyle w:val="Prrafodelista"/>
        <w:numPr>
          <w:ilvl w:val="0"/>
          <w:numId w:val="39"/>
        </w:numPr>
        <w:spacing w:line="240" w:lineRule="auto"/>
        <w:ind w:left="426" w:hanging="284"/>
      </w:pPr>
      <w:r w:rsidRPr="00512A25">
        <w:rPr>
          <w:lang w:val="en-US"/>
        </w:rPr>
        <w:t xml:space="preserve">AUC: Area Under the Curve. </w:t>
      </w:r>
      <w:r>
        <w:t>Área bajo la curva; medida global del rendimiento discriminativo de un modelo.</w:t>
      </w:r>
    </w:p>
    <w:p w14:paraId="779D9D7C" w14:textId="5EDC499E" w:rsidR="00512A25" w:rsidRDefault="00512A25" w:rsidP="003B523B">
      <w:pPr>
        <w:pStyle w:val="Prrafodelista"/>
        <w:numPr>
          <w:ilvl w:val="0"/>
          <w:numId w:val="39"/>
        </w:numPr>
        <w:spacing w:line="240" w:lineRule="auto"/>
        <w:ind w:left="426" w:hanging="284"/>
      </w:pPr>
      <w:r w:rsidRPr="00512A25">
        <w:rPr>
          <w:lang w:val="en-US"/>
        </w:rPr>
        <w:t xml:space="preserve">BAFF: B-cell Activating Factor. </w:t>
      </w:r>
      <w:r>
        <w:t>Factor activador de células B; citocina implicada en supervivencia y activación de linfocitos B.</w:t>
      </w:r>
    </w:p>
    <w:p w14:paraId="0C6B9C36" w14:textId="616E4866" w:rsidR="00512A25" w:rsidRDefault="00512A25" w:rsidP="003B523B">
      <w:pPr>
        <w:pStyle w:val="Prrafodelista"/>
        <w:numPr>
          <w:ilvl w:val="0"/>
          <w:numId w:val="39"/>
        </w:numPr>
        <w:spacing w:line="240" w:lineRule="auto"/>
        <w:ind w:left="426" w:hanging="284"/>
      </w:pPr>
      <w:r>
        <w:t xml:space="preserve">C3: </w:t>
      </w:r>
      <w:proofErr w:type="spellStart"/>
      <w:r>
        <w:t>Complement</w:t>
      </w:r>
      <w:proofErr w:type="spellEnd"/>
      <w:r>
        <w:t xml:space="preserve"> </w:t>
      </w:r>
      <w:proofErr w:type="spellStart"/>
      <w:r>
        <w:t>Component</w:t>
      </w:r>
      <w:proofErr w:type="spellEnd"/>
      <w:r>
        <w:t xml:space="preserve"> 3. Componente 3 del complemento.</w:t>
      </w:r>
    </w:p>
    <w:p w14:paraId="1D83AFBD" w14:textId="2371D7BE" w:rsidR="00512A25" w:rsidRDefault="00512A25" w:rsidP="003B523B">
      <w:pPr>
        <w:pStyle w:val="Prrafodelista"/>
        <w:numPr>
          <w:ilvl w:val="0"/>
          <w:numId w:val="39"/>
        </w:numPr>
        <w:spacing w:line="240" w:lineRule="auto"/>
        <w:ind w:left="426" w:hanging="284"/>
      </w:pPr>
      <w:r>
        <w:t xml:space="preserve">C4: </w:t>
      </w:r>
      <w:proofErr w:type="spellStart"/>
      <w:r>
        <w:t>Complement</w:t>
      </w:r>
      <w:proofErr w:type="spellEnd"/>
      <w:r>
        <w:t xml:space="preserve"> </w:t>
      </w:r>
      <w:proofErr w:type="spellStart"/>
      <w:r>
        <w:t>Component</w:t>
      </w:r>
      <w:proofErr w:type="spellEnd"/>
      <w:r>
        <w:t xml:space="preserve"> 4. Componente 4 del complemento.</w:t>
      </w:r>
    </w:p>
    <w:p w14:paraId="08CD3EDA" w14:textId="6CA57B23" w:rsidR="00512A25" w:rsidRDefault="00512A25" w:rsidP="003B523B">
      <w:pPr>
        <w:pStyle w:val="Prrafodelista"/>
        <w:numPr>
          <w:ilvl w:val="0"/>
          <w:numId w:val="39"/>
        </w:numPr>
        <w:spacing w:line="240" w:lineRule="auto"/>
        <w:ind w:left="426" w:hanging="284"/>
      </w:pPr>
      <w:r>
        <w:t>CV: Cross-</w:t>
      </w:r>
      <w:proofErr w:type="spellStart"/>
      <w:r>
        <w:t>Validation</w:t>
      </w:r>
      <w:proofErr w:type="spellEnd"/>
      <w:r>
        <w:t>. Validación cruzada.</w:t>
      </w:r>
    </w:p>
    <w:p w14:paraId="685EEDB5" w14:textId="665BD920" w:rsidR="00512A25" w:rsidRDefault="00512A25" w:rsidP="003B523B">
      <w:pPr>
        <w:pStyle w:val="Prrafodelista"/>
        <w:numPr>
          <w:ilvl w:val="0"/>
          <w:numId w:val="39"/>
        </w:numPr>
        <w:spacing w:line="240" w:lineRule="auto"/>
        <w:ind w:left="426" w:hanging="284"/>
      </w:pPr>
      <w:r w:rsidRPr="00512A25">
        <w:rPr>
          <w:lang w:val="en-US"/>
        </w:rPr>
        <w:t xml:space="preserve">DIABLO: Data Integration Analysis for Biomarker discovery using Latent </w:t>
      </w:r>
      <w:proofErr w:type="spellStart"/>
      <w:r w:rsidRPr="00512A25">
        <w:rPr>
          <w:lang w:val="en-US"/>
        </w:rPr>
        <w:t>cOmponents</w:t>
      </w:r>
      <w:proofErr w:type="spellEnd"/>
      <w:r w:rsidRPr="00512A25">
        <w:rPr>
          <w:lang w:val="en-US"/>
        </w:rPr>
        <w:t xml:space="preserve">. </w:t>
      </w:r>
      <w:r>
        <w:t>Método supervisado de integración multi-</w:t>
      </w:r>
      <w:proofErr w:type="spellStart"/>
      <w:r>
        <w:t>ómica</w:t>
      </w:r>
      <w:proofErr w:type="spellEnd"/>
      <w:r>
        <w:t xml:space="preserve"> para selección de biomarcadores y discriminación de fenotipos.</w:t>
      </w:r>
    </w:p>
    <w:p w14:paraId="43B85087" w14:textId="047A6405" w:rsidR="00512A25" w:rsidRDefault="00512A25" w:rsidP="003B523B">
      <w:pPr>
        <w:pStyle w:val="Prrafodelista"/>
        <w:numPr>
          <w:ilvl w:val="0"/>
          <w:numId w:val="39"/>
        </w:numPr>
        <w:spacing w:line="240" w:lineRule="auto"/>
        <w:ind w:left="426" w:hanging="284"/>
      </w:pPr>
      <w:r w:rsidRPr="00512A25">
        <w:rPr>
          <w:lang w:val="en-US"/>
        </w:rPr>
        <w:t xml:space="preserve">DORIS: Definition Of Remission In SLE. </w:t>
      </w:r>
      <w:r>
        <w:t>Definición consensuada de remisión en lupus eritematoso sistémico.</w:t>
      </w:r>
    </w:p>
    <w:p w14:paraId="4C6AD55C" w14:textId="35340A87" w:rsidR="00512A25" w:rsidRDefault="00512A25" w:rsidP="003B523B">
      <w:pPr>
        <w:pStyle w:val="Prrafodelista"/>
        <w:numPr>
          <w:ilvl w:val="0"/>
          <w:numId w:val="39"/>
        </w:numPr>
        <w:spacing w:line="240" w:lineRule="auto"/>
        <w:ind w:left="426" w:hanging="284"/>
      </w:pPr>
      <w:r>
        <w:t xml:space="preserve">FDR: False Discovery </w:t>
      </w:r>
      <w:proofErr w:type="spellStart"/>
      <w:r>
        <w:t>Rate</w:t>
      </w:r>
      <w:proofErr w:type="spellEnd"/>
      <w:r>
        <w:t>. Tasa de descubrimientos falsos.</w:t>
      </w:r>
    </w:p>
    <w:p w14:paraId="3587E870" w14:textId="0FE73DA1" w:rsidR="00512A25" w:rsidRDefault="00512A25" w:rsidP="003B523B">
      <w:pPr>
        <w:pStyle w:val="Prrafodelista"/>
        <w:numPr>
          <w:ilvl w:val="0"/>
          <w:numId w:val="39"/>
        </w:numPr>
        <w:spacing w:line="240" w:lineRule="auto"/>
        <w:ind w:left="426" w:hanging="284"/>
      </w:pPr>
      <w:r>
        <w:t xml:space="preserve">GOT: </w:t>
      </w:r>
      <w:proofErr w:type="spellStart"/>
      <w:r>
        <w:t>Glutamic-Oxaloacetic</w:t>
      </w:r>
      <w:proofErr w:type="spellEnd"/>
      <w:r>
        <w:t xml:space="preserve"> </w:t>
      </w:r>
      <w:proofErr w:type="spellStart"/>
      <w:r>
        <w:t>Transaminase</w:t>
      </w:r>
      <w:proofErr w:type="spellEnd"/>
      <w:r>
        <w:t>. Aspartato aminotransferasa.</w:t>
      </w:r>
    </w:p>
    <w:p w14:paraId="519A86F4" w14:textId="1151F316" w:rsidR="00512A25" w:rsidRDefault="00512A25" w:rsidP="003B523B">
      <w:pPr>
        <w:pStyle w:val="Prrafodelista"/>
        <w:numPr>
          <w:ilvl w:val="0"/>
          <w:numId w:val="39"/>
        </w:numPr>
        <w:spacing w:line="240" w:lineRule="auto"/>
        <w:ind w:left="426" w:hanging="284"/>
      </w:pPr>
      <w:r>
        <w:t xml:space="preserve">GPT: </w:t>
      </w:r>
      <w:proofErr w:type="spellStart"/>
      <w:r>
        <w:t>Glutamic-Pyruvic</w:t>
      </w:r>
      <w:proofErr w:type="spellEnd"/>
      <w:r>
        <w:t xml:space="preserve"> </w:t>
      </w:r>
      <w:proofErr w:type="spellStart"/>
      <w:r>
        <w:t>Transaminase</w:t>
      </w:r>
      <w:proofErr w:type="spellEnd"/>
      <w:r>
        <w:t>. Alanina aminotransferasa.</w:t>
      </w:r>
    </w:p>
    <w:p w14:paraId="762F1466" w14:textId="2884A9FF" w:rsidR="00512A25" w:rsidRPr="007B48DC" w:rsidRDefault="00512A25" w:rsidP="003B523B">
      <w:pPr>
        <w:pStyle w:val="Prrafodelista"/>
        <w:numPr>
          <w:ilvl w:val="0"/>
          <w:numId w:val="39"/>
        </w:numPr>
        <w:spacing w:line="240" w:lineRule="auto"/>
        <w:ind w:left="426" w:hanging="284"/>
        <w:rPr>
          <w:lang w:val="en-US"/>
        </w:rPr>
      </w:pPr>
      <w:r w:rsidRPr="007B48DC">
        <w:rPr>
          <w:lang w:val="en-US"/>
        </w:rPr>
        <w:t xml:space="preserve">HC: Healthy Controls. </w:t>
      </w:r>
      <w:proofErr w:type="spellStart"/>
      <w:r w:rsidRPr="007B48DC">
        <w:rPr>
          <w:lang w:val="en-US"/>
        </w:rPr>
        <w:t>Controles</w:t>
      </w:r>
      <w:proofErr w:type="spellEnd"/>
      <w:r w:rsidRPr="007B48DC">
        <w:rPr>
          <w:lang w:val="en-US"/>
        </w:rPr>
        <w:t xml:space="preserve"> </w:t>
      </w:r>
      <w:proofErr w:type="spellStart"/>
      <w:r w:rsidRPr="007B48DC">
        <w:rPr>
          <w:lang w:val="en-US"/>
        </w:rPr>
        <w:t>sanos</w:t>
      </w:r>
      <w:proofErr w:type="spellEnd"/>
      <w:r w:rsidRPr="007B48DC">
        <w:rPr>
          <w:lang w:val="en-US"/>
        </w:rPr>
        <w:t>.</w:t>
      </w:r>
    </w:p>
    <w:p w14:paraId="20A5E673" w14:textId="63F035EF" w:rsidR="00512A25" w:rsidRPr="007B48DC" w:rsidRDefault="00512A25" w:rsidP="003B523B">
      <w:pPr>
        <w:pStyle w:val="Prrafodelista"/>
        <w:numPr>
          <w:ilvl w:val="0"/>
          <w:numId w:val="39"/>
        </w:numPr>
        <w:spacing w:line="240" w:lineRule="auto"/>
        <w:ind w:left="426" w:hanging="284"/>
        <w:rPr>
          <w:lang w:val="es-ES"/>
        </w:rPr>
      </w:pPr>
      <w:r>
        <w:t xml:space="preserve">IFN-α: </w:t>
      </w:r>
      <w:proofErr w:type="spellStart"/>
      <w:r>
        <w:t>Interferon</w:t>
      </w:r>
      <w:proofErr w:type="spellEnd"/>
      <w:r>
        <w:t xml:space="preserve"> </w:t>
      </w:r>
      <w:proofErr w:type="spellStart"/>
      <w:r>
        <w:t>alpha</w:t>
      </w:r>
      <w:proofErr w:type="spellEnd"/>
      <w:r>
        <w:t xml:space="preserve">. </w:t>
      </w:r>
      <w:r w:rsidRPr="007B48DC">
        <w:rPr>
          <w:lang w:val="es-ES"/>
        </w:rPr>
        <w:t>Interferón alfa.</w:t>
      </w:r>
    </w:p>
    <w:p w14:paraId="1F3204C2" w14:textId="53439D23" w:rsidR="00512A25" w:rsidRPr="00512A25" w:rsidRDefault="00512A25" w:rsidP="003B523B">
      <w:pPr>
        <w:pStyle w:val="Prrafodelista"/>
        <w:numPr>
          <w:ilvl w:val="0"/>
          <w:numId w:val="39"/>
        </w:numPr>
        <w:spacing w:line="240" w:lineRule="auto"/>
        <w:ind w:left="426" w:hanging="284"/>
        <w:rPr>
          <w:lang w:val="en-US"/>
        </w:rPr>
      </w:pPr>
      <w:r w:rsidRPr="00512A25">
        <w:rPr>
          <w:lang w:val="en-US"/>
        </w:rPr>
        <w:t>IFN-</w:t>
      </w:r>
      <w:r>
        <w:t>γ</w:t>
      </w:r>
      <w:r w:rsidRPr="00512A25">
        <w:rPr>
          <w:lang w:val="en-US"/>
        </w:rPr>
        <w:t xml:space="preserve">: Interferon gamma. </w:t>
      </w:r>
      <w:proofErr w:type="spellStart"/>
      <w:r w:rsidRPr="00512A25">
        <w:rPr>
          <w:lang w:val="en-US"/>
        </w:rPr>
        <w:t>Interferón</w:t>
      </w:r>
      <w:proofErr w:type="spellEnd"/>
      <w:r w:rsidRPr="00512A25">
        <w:rPr>
          <w:lang w:val="en-US"/>
        </w:rPr>
        <w:t xml:space="preserve"> gamma.</w:t>
      </w:r>
    </w:p>
    <w:p w14:paraId="183EC47D" w14:textId="6BE53588" w:rsidR="00512A25" w:rsidRDefault="00512A25" w:rsidP="003B523B">
      <w:pPr>
        <w:pStyle w:val="Prrafodelista"/>
        <w:numPr>
          <w:ilvl w:val="0"/>
          <w:numId w:val="39"/>
        </w:numPr>
        <w:spacing w:line="240" w:lineRule="auto"/>
        <w:ind w:left="426" w:hanging="284"/>
      </w:pPr>
      <w:r w:rsidRPr="007B48DC">
        <w:rPr>
          <w:lang w:val="es-ES"/>
        </w:rPr>
        <w:t>IFN-</w:t>
      </w:r>
      <w:proofErr w:type="spellStart"/>
      <w:r w:rsidRPr="007B48DC">
        <w:rPr>
          <w:lang w:val="es-ES"/>
        </w:rPr>
        <w:t>high</w:t>
      </w:r>
      <w:proofErr w:type="spellEnd"/>
      <w:r w:rsidRPr="007B48DC">
        <w:rPr>
          <w:lang w:val="es-ES"/>
        </w:rPr>
        <w:t xml:space="preserve">: </w:t>
      </w:r>
      <w:proofErr w:type="spellStart"/>
      <w:r w:rsidRPr="007B48DC">
        <w:rPr>
          <w:lang w:val="es-ES"/>
        </w:rPr>
        <w:t>Interferon-high</w:t>
      </w:r>
      <w:proofErr w:type="spellEnd"/>
      <w:r w:rsidRPr="007B48DC">
        <w:rPr>
          <w:lang w:val="es-ES"/>
        </w:rPr>
        <w:t xml:space="preserve">. </w:t>
      </w:r>
      <w:r>
        <w:t>Subgrupo de pacientes con alta activación de la firma de interferón o IFN-score elevado.</w:t>
      </w:r>
    </w:p>
    <w:p w14:paraId="40591D0E" w14:textId="65904CF5" w:rsidR="00512A25" w:rsidRDefault="00512A25" w:rsidP="003B523B">
      <w:pPr>
        <w:pStyle w:val="Prrafodelista"/>
        <w:numPr>
          <w:ilvl w:val="0"/>
          <w:numId w:val="39"/>
        </w:numPr>
        <w:spacing w:line="240" w:lineRule="auto"/>
        <w:ind w:left="426" w:hanging="284"/>
      </w:pPr>
      <w:r w:rsidRPr="00512A25">
        <w:rPr>
          <w:lang w:val="en-US"/>
        </w:rPr>
        <w:t xml:space="preserve">IFN-I: Type I Interferon. </w:t>
      </w:r>
      <w:r>
        <w:t>Interferón de tipo I.</w:t>
      </w:r>
    </w:p>
    <w:p w14:paraId="185E8221" w14:textId="1968D3C1" w:rsidR="00512A25" w:rsidRDefault="00512A25" w:rsidP="003B523B">
      <w:pPr>
        <w:pStyle w:val="Prrafodelista"/>
        <w:numPr>
          <w:ilvl w:val="0"/>
          <w:numId w:val="39"/>
        </w:numPr>
        <w:spacing w:line="240" w:lineRule="auto"/>
        <w:ind w:left="426" w:hanging="284"/>
      </w:pPr>
      <w:r>
        <w:t xml:space="preserve">IFN-low: </w:t>
      </w:r>
      <w:proofErr w:type="spellStart"/>
      <w:r>
        <w:t>Interferon</w:t>
      </w:r>
      <w:proofErr w:type="spellEnd"/>
      <w:r>
        <w:t>-low. Subgrupo de pacientes con baja activación de la firma de interferón o IFN-score bajo.</w:t>
      </w:r>
    </w:p>
    <w:p w14:paraId="7758B133" w14:textId="2B55E617" w:rsidR="00512A25" w:rsidRDefault="00512A25" w:rsidP="003B523B">
      <w:pPr>
        <w:pStyle w:val="Prrafodelista"/>
        <w:numPr>
          <w:ilvl w:val="0"/>
          <w:numId w:val="39"/>
        </w:numPr>
        <w:spacing w:line="240" w:lineRule="auto"/>
        <w:ind w:left="426" w:hanging="284"/>
      </w:pPr>
      <w:r>
        <w:t xml:space="preserve">IFN-score: </w:t>
      </w:r>
      <w:proofErr w:type="spellStart"/>
      <w:r>
        <w:t>Interferon</w:t>
      </w:r>
      <w:proofErr w:type="spellEnd"/>
      <w:r>
        <w:t xml:space="preserve"> score. Puntuación compuesta derivada de la expresión de genes estimulados por interferón para cuantificar la activación de la vía IFN-I.</w:t>
      </w:r>
    </w:p>
    <w:p w14:paraId="3D484799" w14:textId="52809EB8" w:rsidR="00512A25" w:rsidRPr="00512A25" w:rsidRDefault="00512A25" w:rsidP="003B523B">
      <w:pPr>
        <w:pStyle w:val="Prrafodelista"/>
        <w:numPr>
          <w:ilvl w:val="0"/>
          <w:numId w:val="39"/>
        </w:numPr>
        <w:spacing w:line="240" w:lineRule="auto"/>
        <w:ind w:left="426" w:hanging="284"/>
        <w:rPr>
          <w:lang w:val="en-US"/>
        </w:rPr>
      </w:pPr>
      <w:r w:rsidRPr="00512A25">
        <w:rPr>
          <w:lang w:val="en-US"/>
        </w:rPr>
        <w:t xml:space="preserve">IL: Interleukin. </w:t>
      </w:r>
      <w:proofErr w:type="spellStart"/>
      <w:r w:rsidRPr="00512A25">
        <w:rPr>
          <w:lang w:val="en-US"/>
        </w:rPr>
        <w:t>Interleucina</w:t>
      </w:r>
      <w:proofErr w:type="spellEnd"/>
      <w:r w:rsidRPr="00512A25">
        <w:rPr>
          <w:lang w:val="en-US"/>
        </w:rPr>
        <w:t>.</w:t>
      </w:r>
    </w:p>
    <w:p w14:paraId="3AD0DF66" w14:textId="0BCCFFDE" w:rsidR="00512A25" w:rsidRDefault="00512A25" w:rsidP="003B523B">
      <w:pPr>
        <w:pStyle w:val="Prrafodelista"/>
        <w:numPr>
          <w:ilvl w:val="0"/>
          <w:numId w:val="39"/>
        </w:numPr>
        <w:spacing w:line="240" w:lineRule="auto"/>
        <w:ind w:left="426" w:hanging="284"/>
      </w:pPr>
      <w:r w:rsidRPr="007B48DC">
        <w:rPr>
          <w:lang w:val="es-ES"/>
        </w:rPr>
        <w:t xml:space="preserve">ISGs: </w:t>
      </w:r>
      <w:proofErr w:type="spellStart"/>
      <w:r w:rsidRPr="007B48DC">
        <w:rPr>
          <w:lang w:val="es-ES"/>
        </w:rPr>
        <w:t>Interferon-Stimulated</w:t>
      </w:r>
      <w:proofErr w:type="spellEnd"/>
      <w:r w:rsidRPr="007B48DC">
        <w:rPr>
          <w:lang w:val="es-ES"/>
        </w:rPr>
        <w:t xml:space="preserve"> Genes. </w:t>
      </w:r>
      <w:r>
        <w:t>Genes estimulados por interferón; conjunto de genes inducidos por señalización de interferón que conforman la firma transcriptómica IFN.</w:t>
      </w:r>
    </w:p>
    <w:p w14:paraId="61CB59C1" w14:textId="0B4BA76B" w:rsidR="00512A25" w:rsidRDefault="00512A25" w:rsidP="003B523B">
      <w:pPr>
        <w:pStyle w:val="Prrafodelista"/>
        <w:numPr>
          <w:ilvl w:val="0"/>
          <w:numId w:val="39"/>
        </w:numPr>
        <w:spacing w:line="240" w:lineRule="auto"/>
        <w:ind w:left="426" w:hanging="284"/>
      </w:pPr>
      <w:r w:rsidRPr="00512A25">
        <w:rPr>
          <w:lang w:val="en-US"/>
        </w:rPr>
        <w:t xml:space="preserve">LASSO: Least Absolute Shrinkage and Selection Operator. </w:t>
      </w:r>
      <w:r>
        <w:t>Método de regresión penalizada para selección de variables y construcción de modelos predictivos.</w:t>
      </w:r>
    </w:p>
    <w:p w14:paraId="7FA5F588" w14:textId="7062726F" w:rsidR="00512A25" w:rsidRDefault="00512A25" w:rsidP="003B523B">
      <w:pPr>
        <w:pStyle w:val="Prrafodelista"/>
        <w:numPr>
          <w:ilvl w:val="0"/>
          <w:numId w:val="39"/>
        </w:numPr>
        <w:spacing w:line="240" w:lineRule="auto"/>
        <w:ind w:left="426" w:hanging="284"/>
      </w:pPr>
      <w:r w:rsidRPr="00512A25">
        <w:rPr>
          <w:lang w:val="en-US"/>
        </w:rPr>
        <w:t xml:space="preserve">LLDAS: Lupus Low Disease Activity State. </w:t>
      </w:r>
      <w:r>
        <w:t>Estado de baja actividad de la enfermedad en lupus eritematoso sistémico.</w:t>
      </w:r>
    </w:p>
    <w:p w14:paraId="7185F2B2" w14:textId="52368333" w:rsidR="00512A25" w:rsidRDefault="00512A25" w:rsidP="003B523B">
      <w:pPr>
        <w:pStyle w:val="Prrafodelista"/>
        <w:numPr>
          <w:ilvl w:val="0"/>
          <w:numId w:val="39"/>
        </w:numPr>
        <w:spacing w:line="240" w:lineRule="auto"/>
        <w:ind w:left="426" w:hanging="284"/>
      </w:pPr>
      <w:r>
        <w:t xml:space="preserve">LES: </w:t>
      </w:r>
      <w:proofErr w:type="spellStart"/>
      <w:r>
        <w:t>Systemic</w:t>
      </w:r>
      <w:proofErr w:type="spellEnd"/>
      <w:r>
        <w:t xml:space="preserve"> Lupus </w:t>
      </w:r>
      <w:proofErr w:type="spellStart"/>
      <w:r>
        <w:t>Erythematosus</w:t>
      </w:r>
      <w:proofErr w:type="spellEnd"/>
      <w:r>
        <w:t>. Lupus eritematoso sistémico.</w:t>
      </w:r>
    </w:p>
    <w:p w14:paraId="6FC3B6AB" w14:textId="1054203C" w:rsidR="00512A25" w:rsidRDefault="00512A25" w:rsidP="003B523B">
      <w:pPr>
        <w:pStyle w:val="Prrafodelista"/>
        <w:numPr>
          <w:ilvl w:val="0"/>
          <w:numId w:val="39"/>
        </w:numPr>
        <w:spacing w:line="240" w:lineRule="auto"/>
        <w:ind w:left="426" w:hanging="284"/>
      </w:pPr>
      <w:r w:rsidRPr="00512A25">
        <w:rPr>
          <w:lang w:val="en-US"/>
        </w:rPr>
        <w:t xml:space="preserve">MOFA2: Multi-Omics Factor Analysis 2. </w:t>
      </w:r>
      <w:r>
        <w:t>Método no supervisado de integración multi-</w:t>
      </w:r>
      <w:proofErr w:type="spellStart"/>
      <w:r>
        <w:t>ómica</w:t>
      </w:r>
      <w:proofErr w:type="spellEnd"/>
      <w:r>
        <w:t xml:space="preserve"> basado en factores latentes.</w:t>
      </w:r>
    </w:p>
    <w:p w14:paraId="372F1E6C" w14:textId="06655612" w:rsidR="00512A25" w:rsidRDefault="00512A25" w:rsidP="003B523B">
      <w:pPr>
        <w:pStyle w:val="Prrafodelista"/>
        <w:numPr>
          <w:ilvl w:val="0"/>
          <w:numId w:val="39"/>
        </w:numPr>
        <w:spacing w:line="240" w:lineRule="auto"/>
        <w:ind w:left="426" w:hanging="284"/>
      </w:pPr>
      <w:proofErr w:type="spellStart"/>
      <w:r>
        <w:t>nCounter</w:t>
      </w:r>
      <w:proofErr w:type="spellEnd"/>
      <w:r>
        <w:t xml:space="preserve">: </w:t>
      </w:r>
      <w:proofErr w:type="spellStart"/>
      <w:r>
        <w:t>NanoString</w:t>
      </w:r>
      <w:proofErr w:type="spellEnd"/>
      <w:r>
        <w:t xml:space="preserve"> </w:t>
      </w:r>
      <w:proofErr w:type="spellStart"/>
      <w:r>
        <w:t>nCounter</w:t>
      </w:r>
      <w:proofErr w:type="spellEnd"/>
      <w:r>
        <w:t>. Plataforma de cuantificación digital multiplexada de expresión génica.</w:t>
      </w:r>
    </w:p>
    <w:p w14:paraId="40A6B9A3" w14:textId="78A3B3D2" w:rsidR="00512A25" w:rsidRDefault="00512A25" w:rsidP="003B523B">
      <w:pPr>
        <w:pStyle w:val="Prrafodelista"/>
        <w:numPr>
          <w:ilvl w:val="0"/>
          <w:numId w:val="39"/>
        </w:numPr>
        <w:spacing w:line="240" w:lineRule="auto"/>
        <w:ind w:left="426" w:hanging="284"/>
      </w:pPr>
      <w:r>
        <w:t xml:space="preserve">PCA: Principal </w:t>
      </w:r>
      <w:proofErr w:type="spellStart"/>
      <w:r>
        <w:t>Component</w:t>
      </w:r>
      <w:proofErr w:type="spellEnd"/>
      <w:r>
        <w:t xml:space="preserve"> </w:t>
      </w:r>
      <w:proofErr w:type="spellStart"/>
      <w:r>
        <w:t>Analysis</w:t>
      </w:r>
      <w:proofErr w:type="spellEnd"/>
      <w:r>
        <w:t>. Análisis de componentes principales.</w:t>
      </w:r>
    </w:p>
    <w:p w14:paraId="6257C2F8" w14:textId="3B3683D6" w:rsidR="00512A25" w:rsidRDefault="00512A25" w:rsidP="003B523B">
      <w:pPr>
        <w:pStyle w:val="Prrafodelista"/>
        <w:numPr>
          <w:ilvl w:val="0"/>
          <w:numId w:val="39"/>
        </w:numPr>
        <w:spacing w:line="240" w:lineRule="auto"/>
        <w:ind w:left="426" w:hanging="284"/>
      </w:pPr>
      <w:r>
        <w:t xml:space="preserve">ROC: Receiver </w:t>
      </w:r>
      <w:proofErr w:type="spellStart"/>
      <w:r>
        <w:t>Operating</w:t>
      </w:r>
      <w:proofErr w:type="spellEnd"/>
      <w:r>
        <w:t xml:space="preserve"> </w:t>
      </w:r>
      <w:proofErr w:type="spellStart"/>
      <w:r>
        <w:t>Characteristic</w:t>
      </w:r>
      <w:proofErr w:type="spellEnd"/>
      <w:r>
        <w:t>. Curva característica operativa del receptor.</w:t>
      </w:r>
    </w:p>
    <w:p w14:paraId="2B1C86E6" w14:textId="356C8F05" w:rsidR="00512A25" w:rsidRDefault="00512A25" w:rsidP="003B523B">
      <w:pPr>
        <w:pStyle w:val="Prrafodelista"/>
        <w:numPr>
          <w:ilvl w:val="0"/>
          <w:numId w:val="39"/>
        </w:numPr>
        <w:spacing w:line="240" w:lineRule="auto"/>
        <w:ind w:left="426" w:hanging="284"/>
      </w:pPr>
      <w:r>
        <w:t xml:space="preserve">SDI: </w:t>
      </w:r>
      <w:proofErr w:type="spellStart"/>
      <w:r>
        <w:t>Damage</w:t>
      </w:r>
      <w:proofErr w:type="spellEnd"/>
      <w:r>
        <w:t xml:space="preserve"> </w:t>
      </w:r>
      <w:proofErr w:type="spellStart"/>
      <w:r>
        <w:t>Index</w:t>
      </w:r>
      <w:proofErr w:type="spellEnd"/>
      <w:r>
        <w:t>. Índice de daño.</w:t>
      </w:r>
    </w:p>
    <w:p w14:paraId="614712A6" w14:textId="20B78A56" w:rsidR="00512A25" w:rsidRDefault="00512A25" w:rsidP="003B523B">
      <w:pPr>
        <w:pStyle w:val="Prrafodelista"/>
        <w:numPr>
          <w:ilvl w:val="0"/>
          <w:numId w:val="39"/>
        </w:numPr>
        <w:spacing w:line="240" w:lineRule="auto"/>
        <w:ind w:left="426" w:hanging="284"/>
      </w:pPr>
      <w:r>
        <w:t xml:space="preserve">SLE: </w:t>
      </w:r>
      <w:proofErr w:type="spellStart"/>
      <w:r>
        <w:t>Systemic</w:t>
      </w:r>
      <w:proofErr w:type="spellEnd"/>
      <w:r>
        <w:t xml:space="preserve"> Lupus </w:t>
      </w:r>
      <w:proofErr w:type="spellStart"/>
      <w:r>
        <w:t>Erythematosus</w:t>
      </w:r>
      <w:proofErr w:type="spellEnd"/>
      <w:r>
        <w:t>. Lupus eritematoso sistémico.</w:t>
      </w:r>
    </w:p>
    <w:p w14:paraId="5C3D1140" w14:textId="3C42BEB6" w:rsidR="00512A25" w:rsidRDefault="00512A25" w:rsidP="003B523B">
      <w:pPr>
        <w:pStyle w:val="Prrafodelista"/>
        <w:numPr>
          <w:ilvl w:val="0"/>
          <w:numId w:val="39"/>
        </w:numPr>
        <w:spacing w:line="240" w:lineRule="auto"/>
        <w:ind w:left="426" w:hanging="284"/>
      </w:pPr>
      <w:r w:rsidRPr="00512A25">
        <w:rPr>
          <w:lang w:val="en-US"/>
        </w:rPr>
        <w:t xml:space="preserve">SLEDAI-2K: Systemic Lupus Erythematosus Disease Activity Index 2000. </w:t>
      </w:r>
      <w:r>
        <w:t>Índice de actividad de la enfermedad en lupus eritematoso sistémico, versión 2000.</w:t>
      </w:r>
    </w:p>
    <w:p w14:paraId="7C117542" w14:textId="679B322B" w:rsidR="00512A25" w:rsidRDefault="00512A25" w:rsidP="003B523B">
      <w:pPr>
        <w:pStyle w:val="Prrafodelista"/>
        <w:numPr>
          <w:ilvl w:val="0"/>
          <w:numId w:val="39"/>
        </w:numPr>
        <w:spacing w:line="240" w:lineRule="auto"/>
        <w:ind w:left="426" w:hanging="284"/>
      </w:pPr>
      <w:r w:rsidRPr="00512A25">
        <w:rPr>
          <w:lang w:val="en-US"/>
        </w:rPr>
        <w:t xml:space="preserve">SLE-DAS: SLE Disease Activity Score. </w:t>
      </w:r>
      <w:r>
        <w:t>Escala continua de actividad de la enfermedad en lupus eritematoso sistémico.</w:t>
      </w:r>
    </w:p>
    <w:p w14:paraId="713E1CDA" w14:textId="47E08498" w:rsidR="00512A25" w:rsidRDefault="00512A25" w:rsidP="003B523B">
      <w:pPr>
        <w:pStyle w:val="Prrafodelista"/>
        <w:numPr>
          <w:ilvl w:val="0"/>
          <w:numId w:val="39"/>
        </w:numPr>
        <w:spacing w:line="240" w:lineRule="auto"/>
        <w:ind w:left="426" w:hanging="284"/>
      </w:pPr>
      <w:r w:rsidRPr="00512A25">
        <w:rPr>
          <w:lang w:val="en-US"/>
        </w:rPr>
        <w:t xml:space="preserve">SLICC: Systemic Lupus International Collaborating Clinics. </w:t>
      </w:r>
      <w:r>
        <w:t>Consorcio internacional para estudios clínicos en lupus.</w:t>
      </w:r>
    </w:p>
    <w:p w14:paraId="2A594BD7" w14:textId="76E5BEE5" w:rsidR="00512A25" w:rsidRPr="00512A25" w:rsidRDefault="00512A25" w:rsidP="003B523B">
      <w:pPr>
        <w:pStyle w:val="Prrafodelista"/>
        <w:numPr>
          <w:ilvl w:val="0"/>
          <w:numId w:val="39"/>
        </w:numPr>
        <w:spacing w:line="240" w:lineRule="auto"/>
        <w:ind w:left="426" w:hanging="284"/>
      </w:pPr>
      <w:r w:rsidRPr="00512A25">
        <w:rPr>
          <w:lang w:val="en-US"/>
        </w:rPr>
        <w:lastRenderedPageBreak/>
        <w:t xml:space="preserve">SLICC-DI: Systemic Lupus International Collaborating Clinics Damage Index. </w:t>
      </w:r>
      <w:r>
        <w:t>Índice de daño acumulado en lupus eritematoso sistémico.</w:t>
      </w:r>
    </w:p>
    <w:p w14:paraId="3D0F0C67" w14:textId="4DCDB428" w:rsidR="003B523B" w:rsidRPr="003B523B" w:rsidRDefault="00000000" w:rsidP="00203CA6">
      <w:pPr>
        <w:pStyle w:val="Ttulo1"/>
        <w:numPr>
          <w:ilvl w:val="0"/>
          <w:numId w:val="17"/>
        </w:numPr>
      </w:pPr>
      <w:bookmarkStart w:id="194" w:name="_Toc229237696"/>
      <w:bookmarkStart w:id="195" w:name="_Toc230792342"/>
      <w:r>
        <w:t>Bibliografía</w:t>
      </w:r>
      <w:bookmarkEnd w:id="194"/>
      <w:bookmarkEnd w:id="195"/>
    </w:p>
    <w:p w14:paraId="24074D52" w14:textId="77777777" w:rsidR="003B523B" w:rsidRPr="003B523B" w:rsidRDefault="00000000" w:rsidP="003B523B">
      <w:pPr>
        <w:pStyle w:val="Prrafodelista"/>
        <w:numPr>
          <w:ilvl w:val="0"/>
          <w:numId w:val="55"/>
        </w:numPr>
        <w:spacing w:line="240" w:lineRule="auto"/>
        <w:ind w:left="426" w:hanging="426"/>
        <w:rPr>
          <w:lang w:val="en-US"/>
        </w:rPr>
      </w:pPr>
      <w:r w:rsidRPr="003B523B">
        <w:rPr>
          <w:lang w:val="en-US"/>
        </w:rPr>
        <w:t xml:space="preserve">Crow, M.K. Type I Interferon in the Pathogenesis of Lupus. </w:t>
      </w:r>
      <w:r w:rsidRPr="003B523B">
        <w:rPr>
          <w:i/>
          <w:iCs/>
          <w:lang w:val="en-US"/>
        </w:rPr>
        <w:t>The Journal of Immunology</w:t>
      </w:r>
      <w:r w:rsidRPr="003B523B">
        <w:rPr>
          <w:lang w:val="en-US"/>
        </w:rPr>
        <w:t xml:space="preserve"> </w:t>
      </w:r>
      <w:r w:rsidRPr="003B523B">
        <w:rPr>
          <w:b/>
          <w:bCs/>
          <w:lang w:val="en-US"/>
        </w:rPr>
        <w:t>2014</w:t>
      </w:r>
      <w:r w:rsidRPr="003B523B">
        <w:rPr>
          <w:lang w:val="en-US"/>
        </w:rPr>
        <w:t xml:space="preserve">, </w:t>
      </w:r>
      <w:r w:rsidRPr="003B523B">
        <w:rPr>
          <w:i/>
          <w:iCs/>
          <w:lang w:val="en-US"/>
        </w:rPr>
        <w:t>192</w:t>
      </w:r>
      <w:r w:rsidRPr="003B523B">
        <w:rPr>
          <w:lang w:val="en-US"/>
        </w:rPr>
        <w:t>, 5459–5468, doi:10.4049/jimmunol.1002795.</w:t>
      </w:r>
    </w:p>
    <w:p w14:paraId="13809C56" w14:textId="77777777" w:rsidR="003B523B" w:rsidRPr="003B523B" w:rsidRDefault="00000000" w:rsidP="003B523B">
      <w:pPr>
        <w:pStyle w:val="Prrafodelista"/>
        <w:numPr>
          <w:ilvl w:val="0"/>
          <w:numId w:val="55"/>
        </w:numPr>
        <w:spacing w:line="240" w:lineRule="auto"/>
        <w:ind w:left="426" w:hanging="426"/>
        <w:rPr>
          <w:lang w:val="en-US"/>
        </w:rPr>
      </w:pPr>
      <w:proofErr w:type="spellStart"/>
      <w:r w:rsidRPr="003B523B">
        <w:rPr>
          <w:lang w:val="en-US"/>
        </w:rPr>
        <w:t>Bruera</w:t>
      </w:r>
      <w:proofErr w:type="spellEnd"/>
      <w:r w:rsidRPr="003B523B">
        <w:rPr>
          <w:lang w:val="en-US"/>
        </w:rPr>
        <w:t xml:space="preserve">, S.; </w:t>
      </w:r>
      <w:proofErr w:type="spellStart"/>
      <w:r w:rsidRPr="003B523B">
        <w:rPr>
          <w:lang w:val="en-US"/>
        </w:rPr>
        <w:t>Chavula</w:t>
      </w:r>
      <w:proofErr w:type="spellEnd"/>
      <w:r w:rsidRPr="003B523B">
        <w:rPr>
          <w:lang w:val="en-US"/>
        </w:rPr>
        <w:t xml:space="preserve">, T.; Madan, R.; Agarwal, S.K. Targeting Type I Interferons in Systemic Lupus Erythematous. </w:t>
      </w:r>
      <w:r w:rsidRPr="003B523B">
        <w:rPr>
          <w:i/>
          <w:iCs/>
          <w:lang w:val="en-US"/>
        </w:rPr>
        <w:t xml:space="preserve">Front. </w:t>
      </w:r>
      <w:proofErr w:type="spellStart"/>
      <w:r w:rsidRPr="003B523B">
        <w:rPr>
          <w:i/>
          <w:iCs/>
          <w:lang w:val="en-US"/>
        </w:rPr>
        <w:t>Pharmacol</w:t>
      </w:r>
      <w:proofErr w:type="spellEnd"/>
      <w:r w:rsidRPr="003B523B">
        <w:rPr>
          <w:i/>
          <w:iCs/>
          <w:lang w:val="en-US"/>
        </w:rPr>
        <w:t>.</w:t>
      </w:r>
      <w:r w:rsidRPr="003B523B">
        <w:rPr>
          <w:lang w:val="en-US"/>
        </w:rPr>
        <w:t xml:space="preserve"> 2023, </w:t>
      </w:r>
      <w:r w:rsidRPr="003B523B">
        <w:rPr>
          <w:i/>
          <w:iCs/>
          <w:lang w:val="en-US"/>
        </w:rPr>
        <w:t>13</w:t>
      </w:r>
      <w:r w:rsidRPr="003B523B">
        <w:rPr>
          <w:lang w:val="en-US"/>
        </w:rPr>
        <w:t>.</w:t>
      </w:r>
    </w:p>
    <w:p w14:paraId="18CAFE26" w14:textId="77777777" w:rsidR="003B523B" w:rsidRPr="003B523B" w:rsidRDefault="00000000" w:rsidP="003B523B">
      <w:pPr>
        <w:pStyle w:val="Prrafodelista"/>
        <w:numPr>
          <w:ilvl w:val="0"/>
          <w:numId w:val="55"/>
        </w:numPr>
        <w:spacing w:line="240" w:lineRule="auto"/>
        <w:ind w:left="426" w:hanging="426"/>
        <w:rPr>
          <w:lang w:val="en-US"/>
        </w:rPr>
      </w:pPr>
      <w:proofErr w:type="spellStart"/>
      <w:r w:rsidRPr="003B523B">
        <w:rPr>
          <w:lang w:val="en-US"/>
        </w:rPr>
        <w:t>Abdelhady</w:t>
      </w:r>
      <w:proofErr w:type="spellEnd"/>
      <w:r w:rsidRPr="003B523B">
        <w:rPr>
          <w:lang w:val="en-US"/>
        </w:rPr>
        <w:t xml:space="preserve">, E.I.; Rabie, M.; Hassan, R.A. Validity of Systemic Lupus Erythematosus Disease Activity Score (SLE-DAS) for Definition of Lupus Low Disease Activity State (LLDAS). </w:t>
      </w:r>
      <w:r w:rsidRPr="003B523B">
        <w:rPr>
          <w:i/>
          <w:iCs/>
          <w:lang w:val="en-US"/>
        </w:rPr>
        <w:t>1</w:t>
      </w:r>
      <w:r w:rsidRPr="003B523B">
        <w:rPr>
          <w:lang w:val="en-US"/>
        </w:rPr>
        <w:t>, 3, doi:10.1007/s10067-021-05803-7.</w:t>
      </w:r>
    </w:p>
    <w:p w14:paraId="51EAC878" w14:textId="77777777" w:rsidR="003B523B" w:rsidRPr="003B523B" w:rsidRDefault="00000000" w:rsidP="003B523B">
      <w:pPr>
        <w:pStyle w:val="Prrafodelista"/>
        <w:numPr>
          <w:ilvl w:val="0"/>
          <w:numId w:val="55"/>
        </w:numPr>
        <w:spacing w:line="240" w:lineRule="auto"/>
        <w:ind w:left="426" w:hanging="426"/>
        <w:rPr>
          <w:lang w:val="en-US"/>
        </w:rPr>
      </w:pPr>
      <w:r w:rsidRPr="003B523B">
        <w:rPr>
          <w:lang w:val="en-US"/>
        </w:rPr>
        <w:t xml:space="preserve">Franklyn, K.; Lau, C.S.; Navarra, S. V.; </w:t>
      </w:r>
      <w:proofErr w:type="spellStart"/>
      <w:r w:rsidRPr="003B523B">
        <w:rPr>
          <w:lang w:val="en-US"/>
        </w:rPr>
        <w:t>Louthrenoo</w:t>
      </w:r>
      <w:proofErr w:type="spellEnd"/>
      <w:r w:rsidRPr="003B523B">
        <w:rPr>
          <w:lang w:val="en-US"/>
        </w:rPr>
        <w:t xml:space="preserve">, W.; Lateef, A.; </w:t>
      </w:r>
      <w:proofErr w:type="spellStart"/>
      <w:r w:rsidRPr="003B523B">
        <w:rPr>
          <w:lang w:val="en-US"/>
        </w:rPr>
        <w:t>Hamijoyo</w:t>
      </w:r>
      <w:proofErr w:type="spellEnd"/>
      <w:r w:rsidRPr="003B523B">
        <w:rPr>
          <w:lang w:val="en-US"/>
        </w:rPr>
        <w:t xml:space="preserve">, L.; </w:t>
      </w:r>
      <w:proofErr w:type="spellStart"/>
      <w:r w:rsidRPr="003B523B">
        <w:rPr>
          <w:lang w:val="en-US"/>
        </w:rPr>
        <w:t>Wahono</w:t>
      </w:r>
      <w:proofErr w:type="spellEnd"/>
      <w:r w:rsidRPr="003B523B">
        <w:rPr>
          <w:lang w:val="en-US"/>
        </w:rPr>
        <w:t xml:space="preserve">, C.S.; Chen, S. Le; </w:t>
      </w:r>
      <w:proofErr w:type="spellStart"/>
      <w:r w:rsidRPr="003B523B">
        <w:rPr>
          <w:lang w:val="en-US"/>
        </w:rPr>
        <w:t>Jin</w:t>
      </w:r>
      <w:proofErr w:type="spellEnd"/>
      <w:r w:rsidRPr="003B523B">
        <w:rPr>
          <w:lang w:val="en-US"/>
        </w:rPr>
        <w:t xml:space="preserve">, O.; Morton, S.; et al. Definition and Initial Validation of a Lupus Low Disease Activity State (LLDAS). </w:t>
      </w:r>
      <w:r w:rsidRPr="003B523B">
        <w:rPr>
          <w:i/>
          <w:iCs/>
          <w:lang w:val="en-US"/>
        </w:rPr>
        <w:t>Ann. Rheum. Dis.</w:t>
      </w:r>
      <w:r w:rsidRPr="003B523B">
        <w:rPr>
          <w:lang w:val="en-US"/>
        </w:rPr>
        <w:t xml:space="preserve"> </w:t>
      </w:r>
      <w:r w:rsidRPr="003B523B">
        <w:rPr>
          <w:b/>
          <w:bCs/>
          <w:lang w:val="en-US"/>
        </w:rPr>
        <w:t>2016</w:t>
      </w:r>
      <w:r w:rsidRPr="003B523B">
        <w:rPr>
          <w:lang w:val="en-US"/>
        </w:rPr>
        <w:t xml:space="preserve">, </w:t>
      </w:r>
      <w:r w:rsidRPr="003B523B">
        <w:rPr>
          <w:i/>
          <w:iCs/>
          <w:lang w:val="en-US"/>
        </w:rPr>
        <w:t>75</w:t>
      </w:r>
      <w:r w:rsidRPr="003B523B">
        <w:rPr>
          <w:lang w:val="en-US"/>
        </w:rPr>
        <w:t>, 1615–1621, doi:10.1136/ANNRHEUMDIS-2015-207726.</w:t>
      </w:r>
    </w:p>
    <w:p w14:paraId="37CF38AB" w14:textId="14490FAB"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Gladman, D.D.; </w:t>
      </w:r>
      <w:proofErr w:type="spellStart"/>
      <w:r w:rsidRPr="003B523B">
        <w:rPr>
          <w:lang w:val="en-US"/>
        </w:rPr>
        <w:t>Ibañez</w:t>
      </w:r>
      <w:proofErr w:type="spellEnd"/>
      <w:r w:rsidRPr="003B523B">
        <w:rPr>
          <w:lang w:val="en-US"/>
        </w:rPr>
        <w:t xml:space="preserve">, D.; </w:t>
      </w:r>
      <w:proofErr w:type="spellStart"/>
      <w:r w:rsidRPr="003B523B">
        <w:rPr>
          <w:lang w:val="en-US"/>
        </w:rPr>
        <w:t>Urowitz</w:t>
      </w:r>
      <w:proofErr w:type="spellEnd"/>
      <w:r w:rsidRPr="003B523B">
        <w:rPr>
          <w:lang w:val="en-US"/>
        </w:rPr>
        <w:t xml:space="preserve">, M.B. Systemic Lupus Erythematosus Disease Activity Index 2000. </w:t>
      </w:r>
      <w:r w:rsidRPr="003B523B">
        <w:rPr>
          <w:i/>
          <w:iCs/>
          <w:lang w:val="en-US"/>
        </w:rPr>
        <w:t xml:space="preserve">J. </w:t>
      </w:r>
      <w:proofErr w:type="spellStart"/>
      <w:r w:rsidRPr="003B523B">
        <w:rPr>
          <w:i/>
          <w:iCs/>
          <w:lang w:val="en-US"/>
        </w:rPr>
        <w:t>Rheumatol</w:t>
      </w:r>
      <w:proofErr w:type="spellEnd"/>
      <w:r w:rsidRPr="003B523B">
        <w:rPr>
          <w:i/>
          <w:iCs/>
          <w:lang w:val="en-US"/>
        </w:rPr>
        <w:t>.</w:t>
      </w:r>
      <w:r w:rsidRPr="003B523B">
        <w:rPr>
          <w:lang w:val="en-US"/>
        </w:rPr>
        <w:t xml:space="preserve"> </w:t>
      </w:r>
      <w:r w:rsidRPr="003B523B">
        <w:rPr>
          <w:b/>
          <w:bCs/>
          <w:lang w:val="en-US"/>
        </w:rPr>
        <w:t>2002</w:t>
      </w:r>
      <w:r w:rsidRPr="003B523B">
        <w:rPr>
          <w:lang w:val="en-US"/>
        </w:rPr>
        <w:t xml:space="preserve">, </w:t>
      </w:r>
      <w:r w:rsidRPr="003B523B">
        <w:rPr>
          <w:i/>
          <w:iCs/>
          <w:lang w:val="en-US"/>
        </w:rPr>
        <w:t>29</w:t>
      </w:r>
      <w:r w:rsidRPr="003B523B">
        <w:rPr>
          <w:lang w:val="en-US"/>
        </w:rPr>
        <w:t>.</w:t>
      </w:r>
    </w:p>
    <w:p w14:paraId="23BDCF57" w14:textId="3B061BE6"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Jesus, D.; Matos, A.; Henriques, C.; Zen, M.; </w:t>
      </w:r>
      <w:proofErr w:type="spellStart"/>
      <w:r w:rsidRPr="003B523B">
        <w:rPr>
          <w:lang w:val="en-US"/>
        </w:rPr>
        <w:t>Larosa</w:t>
      </w:r>
      <w:proofErr w:type="spellEnd"/>
      <w:r w:rsidRPr="003B523B">
        <w:rPr>
          <w:lang w:val="en-US"/>
        </w:rPr>
        <w:t xml:space="preserve">, M.; </w:t>
      </w:r>
      <w:proofErr w:type="spellStart"/>
      <w:r w:rsidRPr="003B523B">
        <w:rPr>
          <w:lang w:val="en-US"/>
        </w:rPr>
        <w:t>Iaccarino</w:t>
      </w:r>
      <w:proofErr w:type="spellEnd"/>
      <w:r w:rsidRPr="003B523B">
        <w:rPr>
          <w:lang w:val="en-US"/>
        </w:rPr>
        <w:t xml:space="preserve">, L.; da Silva, J.A.P.; </w:t>
      </w:r>
      <w:proofErr w:type="spellStart"/>
      <w:r w:rsidRPr="003B523B">
        <w:rPr>
          <w:lang w:val="en-US"/>
        </w:rPr>
        <w:t>Doria</w:t>
      </w:r>
      <w:proofErr w:type="spellEnd"/>
      <w:r w:rsidRPr="003B523B">
        <w:rPr>
          <w:lang w:val="en-US"/>
        </w:rPr>
        <w:t xml:space="preserve">, A.; </w:t>
      </w:r>
      <w:proofErr w:type="spellStart"/>
      <w:r w:rsidRPr="003B523B">
        <w:rPr>
          <w:lang w:val="en-US"/>
        </w:rPr>
        <w:t>Inês</w:t>
      </w:r>
      <w:proofErr w:type="spellEnd"/>
      <w:r w:rsidRPr="003B523B">
        <w:rPr>
          <w:lang w:val="en-US"/>
        </w:rPr>
        <w:t xml:space="preserve">, L.S. Derivation and Validation of the SLE Disease Activity Score (SLE-DAS): A New SLE Continuous Measure with High Sensitivity for Changes in Disease Activity. </w:t>
      </w:r>
      <w:r w:rsidRPr="003B523B">
        <w:rPr>
          <w:i/>
          <w:iCs/>
          <w:lang w:val="en-US"/>
        </w:rPr>
        <w:t>Ann. Rheum. Dis.</w:t>
      </w:r>
      <w:r w:rsidRPr="003B523B">
        <w:rPr>
          <w:lang w:val="en-US"/>
        </w:rPr>
        <w:t xml:space="preserve"> </w:t>
      </w:r>
      <w:r w:rsidRPr="003B523B">
        <w:rPr>
          <w:b/>
          <w:bCs/>
          <w:lang w:val="en-US"/>
        </w:rPr>
        <w:t>2019</w:t>
      </w:r>
      <w:r w:rsidRPr="003B523B">
        <w:rPr>
          <w:lang w:val="en-US"/>
        </w:rPr>
        <w:t xml:space="preserve">, </w:t>
      </w:r>
      <w:r w:rsidRPr="003B523B">
        <w:rPr>
          <w:i/>
          <w:iCs/>
          <w:lang w:val="en-US"/>
        </w:rPr>
        <w:t>78</w:t>
      </w:r>
      <w:r w:rsidRPr="003B523B">
        <w:rPr>
          <w:lang w:val="en-US"/>
        </w:rPr>
        <w:t>, 365–371, doi:10.1136/annrheumdis-2018-214502.</w:t>
      </w:r>
    </w:p>
    <w:p w14:paraId="43C80091" w14:textId="74690BDC" w:rsidR="00097466" w:rsidRPr="003B523B" w:rsidRDefault="00000000" w:rsidP="003B523B">
      <w:pPr>
        <w:pStyle w:val="Prrafodelista"/>
        <w:numPr>
          <w:ilvl w:val="0"/>
          <w:numId w:val="55"/>
        </w:numPr>
        <w:spacing w:line="240" w:lineRule="auto"/>
        <w:ind w:left="426" w:hanging="426"/>
        <w:rPr>
          <w:lang w:val="en-US"/>
        </w:rPr>
      </w:pPr>
      <w:proofErr w:type="spellStart"/>
      <w:r>
        <w:t>Jesus</w:t>
      </w:r>
      <w:proofErr w:type="spellEnd"/>
      <w:r>
        <w:t xml:space="preserve">, D.; </w:t>
      </w:r>
      <w:proofErr w:type="spellStart"/>
      <w:r>
        <w:t>Larosa</w:t>
      </w:r>
      <w:proofErr w:type="spellEnd"/>
      <w:r>
        <w:t xml:space="preserve">, M.; </w:t>
      </w:r>
      <w:proofErr w:type="spellStart"/>
      <w:r>
        <w:t>Henriques</w:t>
      </w:r>
      <w:proofErr w:type="spellEnd"/>
      <w:r>
        <w:t xml:space="preserve">, C.; Matos, A.; Zen, M.; Tomé, P.; Alves, V.; Costa, N.; Le </w:t>
      </w:r>
      <w:proofErr w:type="spellStart"/>
      <w:r>
        <w:t>Guern</w:t>
      </w:r>
      <w:proofErr w:type="spellEnd"/>
      <w:r>
        <w:t xml:space="preserve">, V.; </w:t>
      </w:r>
      <w:proofErr w:type="spellStart"/>
      <w:r>
        <w:t>Iaccarino</w:t>
      </w:r>
      <w:proofErr w:type="spellEnd"/>
      <w:r>
        <w:t xml:space="preserve">, L.; et al. </w:t>
      </w:r>
      <w:r w:rsidRPr="003B523B">
        <w:rPr>
          <w:lang w:val="en-US"/>
        </w:rPr>
        <w:t xml:space="preserve">Systemic Lupus Erythematosus Disease Activity Score (SLE-DAS) Enables Accurate and User-Friendly Definitions of Clinical Remission and Categories of Disease Activity. </w:t>
      </w:r>
      <w:r w:rsidRPr="003B523B">
        <w:rPr>
          <w:i/>
          <w:iCs/>
          <w:lang w:val="en-US"/>
        </w:rPr>
        <w:t>Ann. Rheum. Dis.</w:t>
      </w:r>
      <w:r w:rsidRPr="003B523B">
        <w:rPr>
          <w:lang w:val="en-US"/>
        </w:rPr>
        <w:t xml:space="preserve"> </w:t>
      </w:r>
      <w:r w:rsidRPr="003B523B">
        <w:rPr>
          <w:b/>
          <w:bCs/>
          <w:lang w:val="en-US"/>
        </w:rPr>
        <w:t>2021</w:t>
      </w:r>
      <w:r w:rsidRPr="003B523B">
        <w:rPr>
          <w:lang w:val="en-US"/>
        </w:rPr>
        <w:t xml:space="preserve">, </w:t>
      </w:r>
      <w:r w:rsidRPr="003B523B">
        <w:rPr>
          <w:i/>
          <w:iCs/>
          <w:lang w:val="en-US"/>
        </w:rPr>
        <w:t>80</w:t>
      </w:r>
      <w:r w:rsidRPr="003B523B">
        <w:rPr>
          <w:lang w:val="en-US"/>
        </w:rPr>
        <w:t>, 1568–1574, doi:10.1136/annrheumdis-2021-220363.</w:t>
      </w:r>
    </w:p>
    <w:p w14:paraId="6ACA8AD9" w14:textId="7CF8F7CC" w:rsidR="00097466" w:rsidRPr="003B523B" w:rsidRDefault="00000000" w:rsidP="003B523B">
      <w:pPr>
        <w:pStyle w:val="Prrafodelista"/>
        <w:numPr>
          <w:ilvl w:val="0"/>
          <w:numId w:val="55"/>
        </w:numPr>
        <w:spacing w:line="240" w:lineRule="auto"/>
        <w:ind w:left="426" w:hanging="426"/>
        <w:rPr>
          <w:lang w:val="en-US"/>
        </w:rPr>
      </w:pPr>
      <w:proofErr w:type="spellStart"/>
      <w:r w:rsidRPr="003B523B">
        <w:rPr>
          <w:lang w:val="en-US"/>
        </w:rPr>
        <w:t>Anić</w:t>
      </w:r>
      <w:proofErr w:type="spellEnd"/>
      <w:r w:rsidRPr="003B523B">
        <w:rPr>
          <w:lang w:val="en-US"/>
        </w:rPr>
        <w:t xml:space="preserve">, F.; </w:t>
      </w:r>
      <w:proofErr w:type="spellStart"/>
      <w:r w:rsidRPr="003B523B">
        <w:rPr>
          <w:lang w:val="en-US"/>
        </w:rPr>
        <w:t>Žuvić-Butorac</w:t>
      </w:r>
      <w:proofErr w:type="spellEnd"/>
      <w:r w:rsidRPr="003B523B">
        <w:rPr>
          <w:lang w:val="en-US"/>
        </w:rPr>
        <w:t xml:space="preserve">, M.; </w:t>
      </w:r>
      <w:proofErr w:type="spellStart"/>
      <w:r w:rsidRPr="003B523B">
        <w:rPr>
          <w:lang w:val="en-US"/>
        </w:rPr>
        <w:t>Štimać</w:t>
      </w:r>
      <w:proofErr w:type="spellEnd"/>
      <w:r w:rsidRPr="003B523B">
        <w:rPr>
          <w:lang w:val="en-US"/>
        </w:rPr>
        <w:t xml:space="preserve">, D.; Novak, S. New Classification Criteria for Systemic Lupus Erythematosus Correlate with Disease Activity. </w:t>
      </w:r>
      <w:r w:rsidRPr="003B523B">
        <w:rPr>
          <w:i/>
          <w:iCs/>
          <w:lang w:val="en-US"/>
        </w:rPr>
        <w:t>Croat. Med. J.</w:t>
      </w:r>
      <w:r w:rsidRPr="003B523B">
        <w:rPr>
          <w:lang w:val="en-US"/>
        </w:rPr>
        <w:t xml:space="preserve"> </w:t>
      </w:r>
      <w:r w:rsidRPr="003B523B">
        <w:rPr>
          <w:b/>
          <w:bCs/>
          <w:lang w:val="en-US"/>
        </w:rPr>
        <w:t>2014</w:t>
      </w:r>
      <w:r w:rsidRPr="003B523B">
        <w:rPr>
          <w:lang w:val="en-US"/>
        </w:rPr>
        <w:t xml:space="preserve">, </w:t>
      </w:r>
      <w:r w:rsidRPr="003B523B">
        <w:rPr>
          <w:i/>
          <w:iCs/>
          <w:lang w:val="en-US"/>
        </w:rPr>
        <w:t>55</w:t>
      </w:r>
      <w:r w:rsidRPr="003B523B">
        <w:rPr>
          <w:lang w:val="en-US"/>
        </w:rPr>
        <w:t>, 514, doi:10.3325/CMJ.2014.55.514.</w:t>
      </w:r>
    </w:p>
    <w:p w14:paraId="773D8E4E" w14:textId="76473721"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Gladman, D.D.; </w:t>
      </w:r>
      <w:proofErr w:type="spellStart"/>
      <w:r w:rsidRPr="003B523B">
        <w:rPr>
          <w:lang w:val="en-US"/>
        </w:rPr>
        <w:t>Urowitz</w:t>
      </w:r>
      <w:proofErr w:type="spellEnd"/>
      <w:r w:rsidRPr="003B523B">
        <w:rPr>
          <w:lang w:val="en-US"/>
        </w:rPr>
        <w:t xml:space="preserve">, M.B.; Goldsmith, C.H.; Fortin, P.; </w:t>
      </w:r>
      <w:proofErr w:type="spellStart"/>
      <w:r w:rsidRPr="003B523B">
        <w:rPr>
          <w:lang w:val="en-US"/>
        </w:rPr>
        <w:t>Ginzler</w:t>
      </w:r>
      <w:proofErr w:type="spellEnd"/>
      <w:r w:rsidRPr="003B523B">
        <w:rPr>
          <w:lang w:val="en-US"/>
        </w:rPr>
        <w:t xml:space="preserve">, E.; Gordon, C.; </w:t>
      </w:r>
      <w:proofErr w:type="spellStart"/>
      <w:r w:rsidRPr="003B523B">
        <w:rPr>
          <w:lang w:val="en-US"/>
        </w:rPr>
        <w:t>Hanly</w:t>
      </w:r>
      <w:proofErr w:type="spellEnd"/>
      <w:r w:rsidRPr="003B523B">
        <w:rPr>
          <w:lang w:val="en-US"/>
        </w:rPr>
        <w:t xml:space="preserve">, J.G.; Isenberg, D.A.; </w:t>
      </w:r>
      <w:proofErr w:type="spellStart"/>
      <w:r w:rsidRPr="003B523B">
        <w:rPr>
          <w:lang w:val="en-US"/>
        </w:rPr>
        <w:t>Kalunian</w:t>
      </w:r>
      <w:proofErr w:type="spellEnd"/>
      <w:r w:rsidRPr="003B523B">
        <w:rPr>
          <w:lang w:val="en-US"/>
        </w:rPr>
        <w:t xml:space="preserve">, K.; </w:t>
      </w:r>
      <w:proofErr w:type="spellStart"/>
      <w:r w:rsidRPr="003B523B">
        <w:rPr>
          <w:lang w:val="en-US"/>
        </w:rPr>
        <w:t>Nived</w:t>
      </w:r>
      <w:proofErr w:type="spellEnd"/>
      <w:r w:rsidRPr="003B523B">
        <w:rPr>
          <w:lang w:val="en-US"/>
        </w:rPr>
        <w:t xml:space="preserve">, O.; et al. The Reliability of the Systemic Lupus International Collaborating Clinics/American College of Rheumatology Damage Index in Patients with Systemic Lupus Erythematosus. </w:t>
      </w:r>
      <w:r w:rsidRPr="003B523B">
        <w:rPr>
          <w:i/>
          <w:iCs/>
          <w:lang w:val="en-US"/>
        </w:rPr>
        <w:t>Arthritis Rheum.</w:t>
      </w:r>
      <w:r w:rsidRPr="003B523B">
        <w:rPr>
          <w:lang w:val="en-US"/>
        </w:rPr>
        <w:t xml:space="preserve"> </w:t>
      </w:r>
      <w:r w:rsidRPr="003B523B">
        <w:rPr>
          <w:b/>
          <w:bCs/>
          <w:lang w:val="en-US"/>
        </w:rPr>
        <w:t>1997</w:t>
      </w:r>
      <w:r w:rsidRPr="003B523B">
        <w:rPr>
          <w:lang w:val="en-US"/>
        </w:rPr>
        <w:t xml:space="preserve">, </w:t>
      </w:r>
      <w:r w:rsidRPr="003B523B">
        <w:rPr>
          <w:i/>
          <w:iCs/>
          <w:lang w:val="en-US"/>
        </w:rPr>
        <w:t>40</w:t>
      </w:r>
      <w:r w:rsidRPr="003B523B">
        <w:rPr>
          <w:lang w:val="en-US"/>
        </w:rPr>
        <w:t>, 809–813, doi:10.1002/ART.1780400506.</w:t>
      </w:r>
    </w:p>
    <w:p w14:paraId="0F8940B2" w14:textId="251AEE17"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Franklyn, K.; Lau, C.S.; Navarra, S. V.; </w:t>
      </w:r>
      <w:proofErr w:type="spellStart"/>
      <w:r w:rsidRPr="003B523B">
        <w:rPr>
          <w:lang w:val="en-US"/>
        </w:rPr>
        <w:t>Louthrenoo</w:t>
      </w:r>
      <w:proofErr w:type="spellEnd"/>
      <w:r w:rsidRPr="003B523B">
        <w:rPr>
          <w:lang w:val="en-US"/>
        </w:rPr>
        <w:t xml:space="preserve">, W.; Lateef, A.; </w:t>
      </w:r>
      <w:proofErr w:type="spellStart"/>
      <w:r w:rsidRPr="003B523B">
        <w:rPr>
          <w:lang w:val="en-US"/>
        </w:rPr>
        <w:t>Hamijoyo</w:t>
      </w:r>
      <w:proofErr w:type="spellEnd"/>
      <w:r w:rsidRPr="003B523B">
        <w:rPr>
          <w:lang w:val="en-US"/>
        </w:rPr>
        <w:t xml:space="preserve">, L.; </w:t>
      </w:r>
      <w:proofErr w:type="spellStart"/>
      <w:r w:rsidRPr="003B523B">
        <w:rPr>
          <w:lang w:val="en-US"/>
        </w:rPr>
        <w:t>Wahono</w:t>
      </w:r>
      <w:proofErr w:type="spellEnd"/>
      <w:r w:rsidRPr="003B523B">
        <w:rPr>
          <w:lang w:val="en-US"/>
        </w:rPr>
        <w:t xml:space="preserve">, C.S.; Chen, S. Le; </w:t>
      </w:r>
      <w:proofErr w:type="spellStart"/>
      <w:r w:rsidRPr="003B523B">
        <w:rPr>
          <w:lang w:val="en-US"/>
        </w:rPr>
        <w:t>Jin</w:t>
      </w:r>
      <w:proofErr w:type="spellEnd"/>
      <w:r w:rsidRPr="003B523B">
        <w:rPr>
          <w:lang w:val="en-US"/>
        </w:rPr>
        <w:t xml:space="preserve">, O.; Morton, S.; et al. Definition and Initial Validation of a Lupus Low Disease Activity State (LLDAS). </w:t>
      </w:r>
      <w:r w:rsidRPr="003B523B">
        <w:rPr>
          <w:i/>
          <w:iCs/>
          <w:lang w:val="en-US"/>
        </w:rPr>
        <w:t>Ann. Rheum. Dis.</w:t>
      </w:r>
      <w:r w:rsidRPr="003B523B">
        <w:rPr>
          <w:lang w:val="en-US"/>
        </w:rPr>
        <w:t xml:space="preserve"> </w:t>
      </w:r>
      <w:r w:rsidRPr="003B523B">
        <w:rPr>
          <w:b/>
          <w:bCs/>
          <w:lang w:val="en-US"/>
        </w:rPr>
        <w:t>2016</w:t>
      </w:r>
      <w:r w:rsidRPr="003B523B">
        <w:rPr>
          <w:lang w:val="en-US"/>
        </w:rPr>
        <w:t xml:space="preserve">, </w:t>
      </w:r>
      <w:r w:rsidRPr="003B523B">
        <w:rPr>
          <w:i/>
          <w:iCs/>
          <w:lang w:val="en-US"/>
        </w:rPr>
        <w:t>75</w:t>
      </w:r>
      <w:r w:rsidRPr="003B523B">
        <w:rPr>
          <w:lang w:val="en-US"/>
        </w:rPr>
        <w:t>, 1615–1621, doi:10.1136/annrheumdis-2015-207726.</w:t>
      </w:r>
    </w:p>
    <w:p w14:paraId="1F83B7F8" w14:textId="152CC100"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van Vollenhoven, R.; </w:t>
      </w:r>
      <w:proofErr w:type="spellStart"/>
      <w:r w:rsidRPr="003B523B">
        <w:rPr>
          <w:lang w:val="en-US"/>
        </w:rPr>
        <w:t>Bertsias</w:t>
      </w:r>
      <w:proofErr w:type="spellEnd"/>
      <w:r w:rsidRPr="003B523B">
        <w:rPr>
          <w:lang w:val="en-US"/>
        </w:rPr>
        <w:t xml:space="preserve">, G.; </w:t>
      </w:r>
      <w:proofErr w:type="spellStart"/>
      <w:r w:rsidRPr="003B523B">
        <w:rPr>
          <w:lang w:val="en-US"/>
        </w:rPr>
        <w:t>Doria</w:t>
      </w:r>
      <w:proofErr w:type="spellEnd"/>
      <w:r w:rsidRPr="003B523B">
        <w:rPr>
          <w:lang w:val="en-US"/>
        </w:rPr>
        <w:t xml:space="preserve">, A.; Isenberg, D.; </w:t>
      </w:r>
      <w:proofErr w:type="spellStart"/>
      <w:r w:rsidRPr="003B523B">
        <w:rPr>
          <w:lang w:val="en-US"/>
        </w:rPr>
        <w:t>Morand</w:t>
      </w:r>
      <w:proofErr w:type="spellEnd"/>
      <w:r w:rsidRPr="003B523B">
        <w:rPr>
          <w:lang w:val="en-US"/>
        </w:rPr>
        <w:t>, E.F.; Petri, M.A.; Pons-</w:t>
      </w:r>
      <w:proofErr w:type="spellStart"/>
      <w:r w:rsidRPr="003B523B">
        <w:rPr>
          <w:lang w:val="en-US"/>
        </w:rPr>
        <w:t>Estel</w:t>
      </w:r>
      <w:proofErr w:type="spellEnd"/>
      <w:r w:rsidRPr="003B523B">
        <w:rPr>
          <w:lang w:val="en-US"/>
        </w:rPr>
        <w:t xml:space="preserve">, B.; Rahman, A.; Ugarte-Gil, M.; </w:t>
      </w:r>
      <w:proofErr w:type="spellStart"/>
      <w:r w:rsidRPr="003B523B">
        <w:rPr>
          <w:lang w:val="en-US"/>
        </w:rPr>
        <w:t>Voskuyl</w:t>
      </w:r>
      <w:proofErr w:type="spellEnd"/>
      <w:r w:rsidRPr="003B523B">
        <w:rPr>
          <w:lang w:val="en-US"/>
        </w:rPr>
        <w:t xml:space="preserve">, A.; et al. OP0296 THE 2021 DORIS DEFINITION OF REMISSION IN SLE – FINAL RECOMMENDATIONS FROM AN INTERNATIONAL TASK FORCE. </w:t>
      </w:r>
      <w:r w:rsidRPr="003B523B">
        <w:rPr>
          <w:i/>
          <w:iCs/>
          <w:lang w:val="en-US"/>
        </w:rPr>
        <w:t>Ann. Rheum. Dis.</w:t>
      </w:r>
      <w:r w:rsidRPr="003B523B">
        <w:rPr>
          <w:lang w:val="en-US"/>
        </w:rPr>
        <w:t xml:space="preserve"> </w:t>
      </w:r>
      <w:r w:rsidRPr="003B523B">
        <w:rPr>
          <w:b/>
          <w:bCs/>
          <w:lang w:val="en-US"/>
        </w:rPr>
        <w:t>2021</w:t>
      </w:r>
      <w:r w:rsidRPr="003B523B">
        <w:rPr>
          <w:lang w:val="en-US"/>
        </w:rPr>
        <w:t xml:space="preserve">, </w:t>
      </w:r>
      <w:r w:rsidRPr="003B523B">
        <w:rPr>
          <w:i/>
          <w:iCs/>
          <w:lang w:val="en-US"/>
        </w:rPr>
        <w:t>80</w:t>
      </w:r>
      <w:r w:rsidRPr="003B523B">
        <w:rPr>
          <w:lang w:val="en-US"/>
        </w:rPr>
        <w:t>, 181–182, doi:10.1136/annrheumdis-2021-eular.1192.</w:t>
      </w:r>
    </w:p>
    <w:p w14:paraId="1B356DA0" w14:textId="70F4CBE7" w:rsidR="00097466" w:rsidRPr="003B523B" w:rsidRDefault="00000000" w:rsidP="003B523B">
      <w:pPr>
        <w:pStyle w:val="Prrafodelista"/>
        <w:numPr>
          <w:ilvl w:val="0"/>
          <w:numId w:val="55"/>
        </w:numPr>
        <w:spacing w:line="240" w:lineRule="auto"/>
        <w:ind w:left="426" w:hanging="426"/>
        <w:rPr>
          <w:lang w:val="en-US"/>
        </w:rPr>
      </w:pPr>
      <w:r w:rsidRPr="003B523B">
        <w:rPr>
          <w:lang w:val="en-US"/>
        </w:rPr>
        <w:t>Demers-Mathieu, V. Optimal Selection of IFN-</w:t>
      </w:r>
      <w:r>
        <w:t>α</w:t>
      </w:r>
      <w:r w:rsidRPr="003B523B">
        <w:rPr>
          <w:lang w:val="en-US"/>
        </w:rPr>
        <w:t xml:space="preserve">-Inducible Genes to Determine Type I Interferon Signature Improves the Diagnosis of Systemic Lupus Erythematosus. </w:t>
      </w:r>
      <w:r w:rsidRPr="003B523B">
        <w:rPr>
          <w:i/>
          <w:iCs/>
          <w:lang w:val="en-US"/>
        </w:rPr>
        <w:t>Biomedicines</w:t>
      </w:r>
      <w:r w:rsidRPr="003B523B">
        <w:rPr>
          <w:lang w:val="en-US"/>
        </w:rPr>
        <w:t xml:space="preserve"> 2023, </w:t>
      </w:r>
      <w:r w:rsidRPr="003B523B">
        <w:rPr>
          <w:i/>
          <w:iCs/>
          <w:lang w:val="en-US"/>
        </w:rPr>
        <w:t>11</w:t>
      </w:r>
      <w:r w:rsidRPr="003B523B">
        <w:rPr>
          <w:lang w:val="en-US"/>
        </w:rPr>
        <w:t>.</w:t>
      </w:r>
    </w:p>
    <w:p w14:paraId="6BBB665E" w14:textId="7A3F51E1"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Sim, T.M.; Ong, S.J.; </w:t>
      </w:r>
      <w:proofErr w:type="spellStart"/>
      <w:r w:rsidRPr="003B523B">
        <w:rPr>
          <w:lang w:val="en-US"/>
        </w:rPr>
        <w:t>Mak</w:t>
      </w:r>
      <w:proofErr w:type="spellEnd"/>
      <w:r w:rsidRPr="003B523B">
        <w:rPr>
          <w:lang w:val="en-US"/>
        </w:rPr>
        <w:t xml:space="preserve">, A.; Tay, S.H. Type I Interferons in Systemic Lupus Erythematosus: A Journey from Bench to Bedside. </w:t>
      </w:r>
      <w:r w:rsidRPr="003B523B">
        <w:rPr>
          <w:i/>
          <w:iCs/>
          <w:lang w:val="en-US"/>
        </w:rPr>
        <w:t>Int. J. Mol. Sci.</w:t>
      </w:r>
      <w:r w:rsidRPr="003B523B">
        <w:rPr>
          <w:lang w:val="en-US"/>
        </w:rPr>
        <w:t xml:space="preserve"> 2022, </w:t>
      </w:r>
      <w:r w:rsidRPr="003B523B">
        <w:rPr>
          <w:i/>
          <w:iCs/>
          <w:lang w:val="en-US"/>
        </w:rPr>
        <w:t>23</w:t>
      </w:r>
      <w:r w:rsidRPr="003B523B">
        <w:rPr>
          <w:lang w:val="en-US"/>
        </w:rPr>
        <w:t>.</w:t>
      </w:r>
    </w:p>
    <w:p w14:paraId="0F531CC9" w14:textId="6A351368" w:rsidR="00097466" w:rsidRPr="003B523B" w:rsidRDefault="00000000" w:rsidP="003B523B">
      <w:pPr>
        <w:pStyle w:val="Prrafodelista"/>
        <w:numPr>
          <w:ilvl w:val="0"/>
          <w:numId w:val="55"/>
        </w:numPr>
        <w:spacing w:line="240" w:lineRule="auto"/>
        <w:ind w:left="426" w:hanging="426"/>
        <w:rPr>
          <w:lang w:val="en-US"/>
        </w:rPr>
      </w:pPr>
      <w:proofErr w:type="spellStart"/>
      <w:r w:rsidRPr="003B523B">
        <w:rPr>
          <w:lang w:val="en-US"/>
        </w:rPr>
        <w:lastRenderedPageBreak/>
        <w:t>Haljasmägi</w:t>
      </w:r>
      <w:proofErr w:type="spellEnd"/>
      <w:r w:rsidRPr="003B523B">
        <w:rPr>
          <w:lang w:val="en-US"/>
        </w:rPr>
        <w:t xml:space="preserve">, L.; </w:t>
      </w:r>
      <w:proofErr w:type="spellStart"/>
      <w:r w:rsidRPr="003B523B">
        <w:rPr>
          <w:lang w:val="en-US"/>
        </w:rPr>
        <w:t>Meisalu</w:t>
      </w:r>
      <w:proofErr w:type="spellEnd"/>
      <w:r w:rsidRPr="003B523B">
        <w:rPr>
          <w:lang w:val="en-US"/>
        </w:rPr>
        <w:t xml:space="preserve">, S.; </w:t>
      </w:r>
      <w:proofErr w:type="spellStart"/>
      <w:r w:rsidRPr="003B523B">
        <w:rPr>
          <w:lang w:val="en-US"/>
        </w:rPr>
        <w:t>Bondet</w:t>
      </w:r>
      <w:proofErr w:type="spellEnd"/>
      <w:r w:rsidRPr="003B523B">
        <w:rPr>
          <w:lang w:val="en-US"/>
        </w:rPr>
        <w:t xml:space="preserve">, V.; Peterson, P.; Duffy, D.; </w:t>
      </w:r>
      <w:proofErr w:type="spellStart"/>
      <w:r w:rsidRPr="003B523B">
        <w:rPr>
          <w:lang w:val="en-US"/>
        </w:rPr>
        <w:t>Kisand</w:t>
      </w:r>
      <w:proofErr w:type="spellEnd"/>
      <w:r w:rsidRPr="003B523B">
        <w:rPr>
          <w:lang w:val="en-US"/>
        </w:rPr>
        <w:t xml:space="preserve">, K. Ultrasensitive Test Systems Are Required to Quantify Interferon Alpha Protein in Serum Samples. </w:t>
      </w:r>
      <w:r w:rsidRPr="003B523B">
        <w:rPr>
          <w:i/>
          <w:iCs/>
          <w:lang w:val="en-US"/>
        </w:rPr>
        <w:t>Eur. J. Immunol.</w:t>
      </w:r>
      <w:r w:rsidRPr="003B523B">
        <w:rPr>
          <w:lang w:val="en-US"/>
        </w:rPr>
        <w:t xml:space="preserve"> </w:t>
      </w:r>
      <w:r w:rsidRPr="003B523B">
        <w:rPr>
          <w:b/>
          <w:bCs/>
          <w:lang w:val="en-US"/>
        </w:rPr>
        <w:t>2025</w:t>
      </w:r>
      <w:r w:rsidRPr="003B523B">
        <w:rPr>
          <w:lang w:val="en-US"/>
        </w:rPr>
        <w:t xml:space="preserve">, </w:t>
      </w:r>
      <w:r w:rsidRPr="003B523B">
        <w:rPr>
          <w:i/>
          <w:iCs/>
          <w:lang w:val="en-US"/>
        </w:rPr>
        <w:t>55</w:t>
      </w:r>
      <w:r w:rsidRPr="003B523B">
        <w:rPr>
          <w:lang w:val="en-US"/>
        </w:rPr>
        <w:t>, doi:10.1002/eji.70100.</w:t>
      </w:r>
    </w:p>
    <w:p w14:paraId="02840F95" w14:textId="11366190" w:rsidR="00097466" w:rsidRPr="003B523B" w:rsidRDefault="00000000" w:rsidP="003B523B">
      <w:pPr>
        <w:pStyle w:val="Prrafodelista"/>
        <w:numPr>
          <w:ilvl w:val="0"/>
          <w:numId w:val="55"/>
        </w:numPr>
        <w:spacing w:line="240" w:lineRule="auto"/>
        <w:ind w:left="426" w:hanging="426"/>
        <w:rPr>
          <w:lang w:val="en-US"/>
        </w:rPr>
      </w:pPr>
      <w:proofErr w:type="spellStart"/>
      <w:r w:rsidRPr="003B523B">
        <w:rPr>
          <w:lang w:val="en-US"/>
        </w:rPr>
        <w:t>Rodero</w:t>
      </w:r>
      <w:proofErr w:type="spellEnd"/>
      <w:r w:rsidRPr="003B523B">
        <w:rPr>
          <w:lang w:val="en-US"/>
        </w:rPr>
        <w:t xml:space="preserve">, M.P.; </w:t>
      </w:r>
      <w:proofErr w:type="spellStart"/>
      <w:r w:rsidRPr="003B523B">
        <w:rPr>
          <w:lang w:val="en-US"/>
        </w:rPr>
        <w:t>Decalf</w:t>
      </w:r>
      <w:proofErr w:type="spellEnd"/>
      <w:r w:rsidRPr="003B523B">
        <w:rPr>
          <w:lang w:val="en-US"/>
        </w:rPr>
        <w:t xml:space="preserve">, J.; </w:t>
      </w:r>
      <w:proofErr w:type="spellStart"/>
      <w:r w:rsidRPr="003B523B">
        <w:rPr>
          <w:lang w:val="en-US"/>
        </w:rPr>
        <w:t>Bondet</w:t>
      </w:r>
      <w:proofErr w:type="spellEnd"/>
      <w:r w:rsidRPr="003B523B">
        <w:rPr>
          <w:lang w:val="en-US"/>
        </w:rPr>
        <w:t xml:space="preserve">, V.; Hunt, D.; Rice, G.I.; </w:t>
      </w:r>
      <w:proofErr w:type="spellStart"/>
      <w:r w:rsidRPr="003B523B">
        <w:rPr>
          <w:lang w:val="en-US"/>
        </w:rPr>
        <w:t>Werneke</w:t>
      </w:r>
      <w:proofErr w:type="spellEnd"/>
      <w:r w:rsidRPr="003B523B">
        <w:rPr>
          <w:lang w:val="en-US"/>
        </w:rPr>
        <w:t xml:space="preserve">, S.; McGlasson, S.L.; </w:t>
      </w:r>
      <w:proofErr w:type="spellStart"/>
      <w:r w:rsidRPr="003B523B">
        <w:rPr>
          <w:lang w:val="en-US"/>
        </w:rPr>
        <w:t>Alyanakian</w:t>
      </w:r>
      <w:proofErr w:type="spellEnd"/>
      <w:r w:rsidRPr="003B523B">
        <w:rPr>
          <w:lang w:val="en-US"/>
        </w:rPr>
        <w:t xml:space="preserve">, M.A.; Bader-Meunier, B.; </w:t>
      </w:r>
      <w:proofErr w:type="spellStart"/>
      <w:r w:rsidRPr="003B523B">
        <w:rPr>
          <w:lang w:val="en-US"/>
        </w:rPr>
        <w:t>Barnerias</w:t>
      </w:r>
      <w:proofErr w:type="spellEnd"/>
      <w:r w:rsidRPr="003B523B">
        <w:rPr>
          <w:lang w:val="en-US"/>
        </w:rPr>
        <w:t xml:space="preserve">, C.; et al. Detection of Interferon Alpha Protein Reveals Differential Levels and Cellular Sources in Disease. </w:t>
      </w:r>
      <w:r w:rsidRPr="003B523B">
        <w:rPr>
          <w:i/>
          <w:iCs/>
          <w:lang w:val="en-US"/>
        </w:rPr>
        <w:t>Journal of Experimental Medicine</w:t>
      </w:r>
      <w:r w:rsidRPr="003B523B">
        <w:rPr>
          <w:lang w:val="en-US"/>
        </w:rPr>
        <w:t xml:space="preserve"> </w:t>
      </w:r>
      <w:r w:rsidRPr="003B523B">
        <w:rPr>
          <w:b/>
          <w:bCs/>
          <w:lang w:val="en-US"/>
        </w:rPr>
        <w:t>2017</w:t>
      </w:r>
      <w:r w:rsidRPr="003B523B">
        <w:rPr>
          <w:lang w:val="en-US"/>
        </w:rPr>
        <w:t xml:space="preserve">, </w:t>
      </w:r>
      <w:r w:rsidRPr="003B523B">
        <w:rPr>
          <w:i/>
          <w:iCs/>
          <w:lang w:val="en-US"/>
        </w:rPr>
        <w:t>214</w:t>
      </w:r>
      <w:r w:rsidRPr="003B523B">
        <w:rPr>
          <w:lang w:val="en-US"/>
        </w:rPr>
        <w:t>, 1547–1555, doi:10.1084/jem.20161451.</w:t>
      </w:r>
    </w:p>
    <w:p w14:paraId="1F568253" w14:textId="6E49908D" w:rsidR="00097466" w:rsidRPr="003B523B" w:rsidRDefault="00000000" w:rsidP="003B523B">
      <w:pPr>
        <w:pStyle w:val="Prrafodelista"/>
        <w:numPr>
          <w:ilvl w:val="0"/>
          <w:numId w:val="55"/>
        </w:numPr>
        <w:spacing w:line="240" w:lineRule="auto"/>
        <w:ind w:left="426" w:hanging="426"/>
        <w:rPr>
          <w:lang w:val="en-US"/>
        </w:rPr>
      </w:pPr>
      <w:proofErr w:type="spellStart"/>
      <w:r w:rsidRPr="003B523B">
        <w:rPr>
          <w:lang w:val="en-US"/>
        </w:rPr>
        <w:t>Sirobhushanam</w:t>
      </w:r>
      <w:proofErr w:type="spellEnd"/>
      <w:r w:rsidRPr="003B523B">
        <w:rPr>
          <w:lang w:val="en-US"/>
        </w:rPr>
        <w:t xml:space="preserve">, S.; Lazar, S.; </w:t>
      </w:r>
      <w:proofErr w:type="spellStart"/>
      <w:r w:rsidRPr="003B523B">
        <w:rPr>
          <w:lang w:val="en-US"/>
        </w:rPr>
        <w:t>Kahlenberg</w:t>
      </w:r>
      <w:proofErr w:type="spellEnd"/>
      <w:r w:rsidRPr="003B523B">
        <w:rPr>
          <w:lang w:val="en-US"/>
        </w:rPr>
        <w:t xml:space="preserve">, J.M. Interferons in Systemic Lupus Erythematosus. </w:t>
      </w:r>
      <w:r w:rsidRPr="003B523B">
        <w:rPr>
          <w:i/>
          <w:iCs/>
          <w:lang w:val="en-US"/>
        </w:rPr>
        <w:t>Rheumatic Disease Clinics of North America</w:t>
      </w:r>
      <w:r w:rsidRPr="003B523B">
        <w:rPr>
          <w:lang w:val="en-US"/>
        </w:rPr>
        <w:t xml:space="preserve"> 2021, </w:t>
      </w:r>
      <w:r w:rsidRPr="003B523B">
        <w:rPr>
          <w:i/>
          <w:iCs/>
          <w:lang w:val="en-US"/>
        </w:rPr>
        <w:t>47</w:t>
      </w:r>
      <w:r w:rsidRPr="003B523B">
        <w:rPr>
          <w:lang w:val="en-US"/>
        </w:rPr>
        <w:t>, 297–315.</w:t>
      </w:r>
    </w:p>
    <w:p w14:paraId="54D270A9" w14:textId="173B56C1"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Northcott, M.; Jones, S.; </w:t>
      </w:r>
      <w:proofErr w:type="spellStart"/>
      <w:r w:rsidRPr="003B523B">
        <w:rPr>
          <w:lang w:val="en-US"/>
        </w:rPr>
        <w:t>Koelmeyer</w:t>
      </w:r>
      <w:proofErr w:type="spellEnd"/>
      <w:r w:rsidRPr="003B523B">
        <w:rPr>
          <w:lang w:val="en-US"/>
        </w:rPr>
        <w:t xml:space="preserve">, R.; Bonin, J.; Vincent, F.; </w:t>
      </w:r>
      <w:proofErr w:type="spellStart"/>
      <w:r w:rsidRPr="003B523B">
        <w:rPr>
          <w:lang w:val="en-US"/>
        </w:rPr>
        <w:t>Kandane-Rathnayake</w:t>
      </w:r>
      <w:proofErr w:type="spellEnd"/>
      <w:r w:rsidRPr="003B523B">
        <w:rPr>
          <w:lang w:val="en-US"/>
        </w:rPr>
        <w:t xml:space="preserve">, R.; Hoi, A.; </w:t>
      </w:r>
      <w:proofErr w:type="spellStart"/>
      <w:r w:rsidRPr="003B523B">
        <w:rPr>
          <w:lang w:val="en-US"/>
        </w:rPr>
        <w:t>Morand</w:t>
      </w:r>
      <w:proofErr w:type="spellEnd"/>
      <w:r w:rsidRPr="003B523B">
        <w:rPr>
          <w:lang w:val="en-US"/>
        </w:rPr>
        <w:t xml:space="preserve">, E. Type 1 Interferon Status in Systemic Lupus Erythematosus: A Longitudinal Analysis. </w:t>
      </w:r>
      <w:r w:rsidRPr="003B523B">
        <w:rPr>
          <w:i/>
          <w:iCs/>
          <w:lang w:val="en-US"/>
        </w:rPr>
        <w:t>Lupus Sci. Med.</w:t>
      </w:r>
      <w:r w:rsidRPr="003B523B">
        <w:rPr>
          <w:lang w:val="en-US"/>
        </w:rPr>
        <w:t xml:space="preserve"> </w:t>
      </w:r>
      <w:r w:rsidRPr="003B523B">
        <w:rPr>
          <w:b/>
          <w:bCs/>
          <w:lang w:val="en-US"/>
        </w:rPr>
        <w:t>2022</w:t>
      </w:r>
      <w:r w:rsidRPr="003B523B">
        <w:rPr>
          <w:lang w:val="en-US"/>
        </w:rPr>
        <w:t xml:space="preserve">, </w:t>
      </w:r>
      <w:r w:rsidRPr="003B523B">
        <w:rPr>
          <w:i/>
          <w:iCs/>
          <w:lang w:val="en-US"/>
        </w:rPr>
        <w:t>9</w:t>
      </w:r>
      <w:r w:rsidRPr="003B523B">
        <w:rPr>
          <w:lang w:val="en-US"/>
        </w:rPr>
        <w:t>, doi:10.1136/lupus-2021-000625.</w:t>
      </w:r>
    </w:p>
    <w:p w14:paraId="2838F151" w14:textId="5A7BE262"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Tanaka, Y.; </w:t>
      </w:r>
      <w:proofErr w:type="spellStart"/>
      <w:r w:rsidRPr="003B523B">
        <w:rPr>
          <w:lang w:val="en-US"/>
        </w:rPr>
        <w:t>Kusuda</w:t>
      </w:r>
      <w:proofErr w:type="spellEnd"/>
      <w:r w:rsidRPr="003B523B">
        <w:rPr>
          <w:lang w:val="en-US"/>
        </w:rPr>
        <w:t xml:space="preserve">, M.; Yamaguchi, Y. Interferons and Systemic Lupus Erythematosus: Pathogenesis, Clinical Features, and Treatments in Interferon-Driven Disease. </w:t>
      </w:r>
      <w:r w:rsidRPr="003B523B">
        <w:rPr>
          <w:i/>
          <w:iCs/>
          <w:lang w:val="en-US"/>
        </w:rPr>
        <w:t xml:space="preserve">Mod. </w:t>
      </w:r>
      <w:proofErr w:type="spellStart"/>
      <w:r w:rsidRPr="003B523B">
        <w:rPr>
          <w:i/>
          <w:iCs/>
          <w:lang w:val="en-US"/>
        </w:rPr>
        <w:t>Rheumatol</w:t>
      </w:r>
      <w:proofErr w:type="spellEnd"/>
      <w:r w:rsidRPr="003B523B">
        <w:rPr>
          <w:i/>
          <w:iCs/>
          <w:lang w:val="en-US"/>
        </w:rPr>
        <w:t>.</w:t>
      </w:r>
      <w:r w:rsidRPr="003B523B">
        <w:rPr>
          <w:lang w:val="en-US"/>
        </w:rPr>
        <w:t xml:space="preserve"> </w:t>
      </w:r>
      <w:r w:rsidRPr="003B523B">
        <w:rPr>
          <w:b/>
          <w:bCs/>
          <w:lang w:val="en-US"/>
        </w:rPr>
        <w:t>2023</w:t>
      </w:r>
      <w:r w:rsidRPr="003B523B">
        <w:rPr>
          <w:lang w:val="en-US"/>
        </w:rPr>
        <w:t xml:space="preserve">, </w:t>
      </w:r>
      <w:r w:rsidRPr="003B523B">
        <w:rPr>
          <w:i/>
          <w:iCs/>
          <w:lang w:val="en-US"/>
        </w:rPr>
        <w:t>33</w:t>
      </w:r>
      <w:r w:rsidRPr="003B523B">
        <w:rPr>
          <w:lang w:val="en-US"/>
        </w:rPr>
        <w:t>, 857–867, doi:10.1093/</w:t>
      </w:r>
      <w:proofErr w:type="spellStart"/>
      <w:r w:rsidRPr="003B523B">
        <w:rPr>
          <w:lang w:val="en-US"/>
        </w:rPr>
        <w:t>mr</w:t>
      </w:r>
      <w:proofErr w:type="spellEnd"/>
      <w:r w:rsidRPr="003B523B">
        <w:rPr>
          <w:lang w:val="en-US"/>
        </w:rPr>
        <w:t>/roac140.</w:t>
      </w:r>
    </w:p>
    <w:p w14:paraId="2B8E75D0" w14:textId="5DA8B340" w:rsidR="00097466" w:rsidRPr="003B523B" w:rsidRDefault="00000000" w:rsidP="003B523B">
      <w:pPr>
        <w:pStyle w:val="Prrafodelista"/>
        <w:numPr>
          <w:ilvl w:val="0"/>
          <w:numId w:val="55"/>
        </w:numPr>
        <w:spacing w:line="240" w:lineRule="auto"/>
        <w:ind w:left="426" w:hanging="426"/>
        <w:rPr>
          <w:lang w:val="en-US"/>
        </w:rPr>
      </w:pPr>
      <w:proofErr w:type="spellStart"/>
      <w:r w:rsidRPr="003B523B">
        <w:rPr>
          <w:lang w:val="en-US"/>
        </w:rPr>
        <w:t>Banchereau</w:t>
      </w:r>
      <w:proofErr w:type="spellEnd"/>
      <w:r w:rsidRPr="003B523B">
        <w:rPr>
          <w:lang w:val="en-US"/>
        </w:rPr>
        <w:t xml:space="preserve">, R.; Hong, S.; </w:t>
      </w:r>
      <w:proofErr w:type="spellStart"/>
      <w:r w:rsidRPr="003B523B">
        <w:rPr>
          <w:lang w:val="en-US"/>
        </w:rPr>
        <w:t>Cantarel</w:t>
      </w:r>
      <w:proofErr w:type="spellEnd"/>
      <w:r w:rsidRPr="003B523B">
        <w:rPr>
          <w:lang w:val="en-US"/>
        </w:rPr>
        <w:t xml:space="preserve">, B.; Baldwin, N.; </w:t>
      </w:r>
      <w:proofErr w:type="spellStart"/>
      <w:r w:rsidRPr="003B523B">
        <w:rPr>
          <w:lang w:val="en-US"/>
        </w:rPr>
        <w:t>Baisch</w:t>
      </w:r>
      <w:proofErr w:type="spellEnd"/>
      <w:r w:rsidRPr="003B523B">
        <w:rPr>
          <w:lang w:val="en-US"/>
        </w:rPr>
        <w:t xml:space="preserve">, J.; </w:t>
      </w:r>
      <w:proofErr w:type="spellStart"/>
      <w:r w:rsidRPr="003B523B">
        <w:rPr>
          <w:lang w:val="en-US"/>
        </w:rPr>
        <w:t>Edens</w:t>
      </w:r>
      <w:proofErr w:type="spellEnd"/>
      <w:r w:rsidRPr="003B523B">
        <w:rPr>
          <w:lang w:val="en-US"/>
        </w:rPr>
        <w:t xml:space="preserve">, M.; </w:t>
      </w:r>
      <w:proofErr w:type="spellStart"/>
      <w:r w:rsidRPr="003B523B">
        <w:rPr>
          <w:lang w:val="en-US"/>
        </w:rPr>
        <w:t>Cepika</w:t>
      </w:r>
      <w:proofErr w:type="spellEnd"/>
      <w:r w:rsidRPr="003B523B">
        <w:rPr>
          <w:lang w:val="en-US"/>
        </w:rPr>
        <w:t xml:space="preserve">, A.M.; </w:t>
      </w:r>
      <w:proofErr w:type="spellStart"/>
      <w:r w:rsidRPr="003B523B">
        <w:rPr>
          <w:lang w:val="en-US"/>
        </w:rPr>
        <w:t>Acs</w:t>
      </w:r>
      <w:proofErr w:type="spellEnd"/>
      <w:r w:rsidRPr="003B523B">
        <w:rPr>
          <w:lang w:val="en-US"/>
        </w:rPr>
        <w:t xml:space="preserve">, P.; Turner, J.; Anguiano, E.; et al. Personalized </w:t>
      </w:r>
      <w:proofErr w:type="spellStart"/>
      <w:r w:rsidRPr="003B523B">
        <w:rPr>
          <w:lang w:val="en-US"/>
        </w:rPr>
        <w:t>Immunomonitoring</w:t>
      </w:r>
      <w:proofErr w:type="spellEnd"/>
      <w:r w:rsidRPr="003B523B">
        <w:rPr>
          <w:lang w:val="en-US"/>
        </w:rPr>
        <w:t xml:space="preserve"> Uncovers Molecular Networks That Stratify Lupus Patients. </w:t>
      </w:r>
      <w:r w:rsidRPr="003B523B">
        <w:rPr>
          <w:i/>
          <w:iCs/>
          <w:lang w:val="en-US"/>
        </w:rPr>
        <w:t>Cell</w:t>
      </w:r>
      <w:r w:rsidRPr="003B523B">
        <w:rPr>
          <w:lang w:val="en-US"/>
        </w:rPr>
        <w:t xml:space="preserve"> </w:t>
      </w:r>
      <w:r w:rsidRPr="003B523B">
        <w:rPr>
          <w:b/>
          <w:bCs/>
          <w:lang w:val="en-US"/>
        </w:rPr>
        <w:t>2016</w:t>
      </w:r>
      <w:r w:rsidRPr="003B523B">
        <w:rPr>
          <w:lang w:val="en-US"/>
        </w:rPr>
        <w:t xml:space="preserve">, </w:t>
      </w:r>
      <w:r w:rsidRPr="003B523B">
        <w:rPr>
          <w:i/>
          <w:iCs/>
          <w:lang w:val="en-US"/>
        </w:rPr>
        <w:t>165</w:t>
      </w:r>
      <w:r w:rsidRPr="003B523B">
        <w:rPr>
          <w:lang w:val="en-US"/>
        </w:rPr>
        <w:t xml:space="preserve">, 551–565, </w:t>
      </w:r>
      <w:proofErr w:type="gramStart"/>
      <w:r w:rsidRPr="003B523B">
        <w:rPr>
          <w:lang w:val="en-US"/>
        </w:rPr>
        <w:t>doi:10.1016/j.cell</w:t>
      </w:r>
      <w:proofErr w:type="gramEnd"/>
      <w:r w:rsidRPr="003B523B">
        <w:rPr>
          <w:lang w:val="en-US"/>
        </w:rPr>
        <w:t>.2016.03.008.</w:t>
      </w:r>
    </w:p>
    <w:p w14:paraId="134A67AF" w14:textId="2BF17C70" w:rsidR="00097466" w:rsidRPr="003B523B" w:rsidRDefault="00000000" w:rsidP="003B523B">
      <w:pPr>
        <w:pStyle w:val="Prrafodelista"/>
        <w:numPr>
          <w:ilvl w:val="0"/>
          <w:numId w:val="55"/>
        </w:numPr>
        <w:spacing w:line="240" w:lineRule="auto"/>
        <w:ind w:left="426" w:hanging="426"/>
        <w:rPr>
          <w:lang w:val="en-US"/>
        </w:rPr>
      </w:pPr>
      <w:proofErr w:type="spellStart"/>
      <w:r w:rsidRPr="003B523B">
        <w:rPr>
          <w:lang w:val="en-US"/>
        </w:rPr>
        <w:t>Rodero</w:t>
      </w:r>
      <w:proofErr w:type="spellEnd"/>
      <w:r w:rsidRPr="003B523B">
        <w:rPr>
          <w:lang w:val="en-US"/>
        </w:rPr>
        <w:t xml:space="preserve">, M.P.; Crow, Y.J. Type I Interferon-Mediated Monogenic Autoinflammation: The Type I Interferonopathies, a Conceptual Overview. </w:t>
      </w:r>
      <w:r w:rsidRPr="003B523B">
        <w:rPr>
          <w:i/>
          <w:iCs/>
          <w:lang w:val="en-US"/>
        </w:rPr>
        <w:t>J. Exp. Med.</w:t>
      </w:r>
      <w:r w:rsidRPr="003B523B">
        <w:rPr>
          <w:lang w:val="en-US"/>
        </w:rPr>
        <w:t xml:space="preserve"> </w:t>
      </w:r>
      <w:r w:rsidRPr="003B523B">
        <w:rPr>
          <w:b/>
          <w:bCs/>
          <w:lang w:val="en-US"/>
        </w:rPr>
        <w:t>2016</w:t>
      </w:r>
      <w:r w:rsidRPr="003B523B">
        <w:rPr>
          <w:lang w:val="en-US"/>
        </w:rPr>
        <w:t xml:space="preserve">, </w:t>
      </w:r>
      <w:r w:rsidRPr="003B523B">
        <w:rPr>
          <w:i/>
          <w:iCs/>
          <w:lang w:val="en-US"/>
        </w:rPr>
        <w:t>213</w:t>
      </w:r>
      <w:r w:rsidRPr="003B523B">
        <w:rPr>
          <w:lang w:val="en-US"/>
        </w:rPr>
        <w:t>, 2527–2538, doi:10.1084/jem.20161596.</w:t>
      </w:r>
    </w:p>
    <w:p w14:paraId="2878641D" w14:textId="6A3F9486" w:rsidR="00097466" w:rsidRPr="003B523B" w:rsidRDefault="00000000" w:rsidP="003B523B">
      <w:pPr>
        <w:pStyle w:val="Prrafodelista"/>
        <w:numPr>
          <w:ilvl w:val="0"/>
          <w:numId w:val="55"/>
        </w:numPr>
        <w:spacing w:line="240" w:lineRule="auto"/>
        <w:ind w:left="426" w:hanging="426"/>
        <w:rPr>
          <w:lang w:val="en-US"/>
        </w:rPr>
      </w:pPr>
      <w:proofErr w:type="spellStart"/>
      <w:r w:rsidRPr="003B523B">
        <w:rPr>
          <w:lang w:val="es-ES"/>
        </w:rPr>
        <w:t>Burska</w:t>
      </w:r>
      <w:proofErr w:type="spellEnd"/>
      <w:r w:rsidRPr="003B523B">
        <w:rPr>
          <w:lang w:val="es-ES"/>
        </w:rPr>
        <w:t>, A.; Rodríguez-</w:t>
      </w:r>
      <w:proofErr w:type="spellStart"/>
      <w:r w:rsidRPr="003B523B">
        <w:rPr>
          <w:lang w:val="es-ES"/>
        </w:rPr>
        <w:t>Carrio</w:t>
      </w:r>
      <w:proofErr w:type="spellEnd"/>
      <w:r w:rsidRPr="003B523B">
        <w:rPr>
          <w:lang w:val="es-ES"/>
        </w:rPr>
        <w:t xml:space="preserve">, J.; </w:t>
      </w:r>
      <w:proofErr w:type="spellStart"/>
      <w:r w:rsidRPr="003B523B">
        <w:rPr>
          <w:lang w:val="es-ES"/>
        </w:rPr>
        <w:t>Biesen</w:t>
      </w:r>
      <w:proofErr w:type="spellEnd"/>
      <w:r w:rsidRPr="003B523B">
        <w:rPr>
          <w:lang w:val="es-ES"/>
        </w:rPr>
        <w:t xml:space="preserve">, R.; </w:t>
      </w:r>
      <w:proofErr w:type="spellStart"/>
      <w:r w:rsidRPr="003B523B">
        <w:rPr>
          <w:lang w:val="es-ES"/>
        </w:rPr>
        <w:t>Dik</w:t>
      </w:r>
      <w:proofErr w:type="spellEnd"/>
      <w:r w:rsidRPr="003B523B">
        <w:rPr>
          <w:lang w:val="es-ES"/>
        </w:rPr>
        <w:t xml:space="preserve">, W.A.; </w:t>
      </w:r>
      <w:proofErr w:type="spellStart"/>
      <w:r w:rsidRPr="003B523B">
        <w:rPr>
          <w:lang w:val="es-ES"/>
        </w:rPr>
        <w:t>Eloranta</w:t>
      </w:r>
      <w:proofErr w:type="spellEnd"/>
      <w:r w:rsidRPr="003B523B">
        <w:rPr>
          <w:lang w:val="es-ES"/>
        </w:rPr>
        <w:t xml:space="preserve">, M.L.; Cavalli, G.; Visser, M.; </w:t>
      </w:r>
      <w:proofErr w:type="spellStart"/>
      <w:r w:rsidRPr="003B523B">
        <w:rPr>
          <w:lang w:val="es-ES"/>
        </w:rPr>
        <w:t>Boumpas</w:t>
      </w:r>
      <w:proofErr w:type="spellEnd"/>
      <w:r w:rsidRPr="003B523B">
        <w:rPr>
          <w:lang w:val="es-ES"/>
        </w:rPr>
        <w:t xml:space="preserve">, D.T.; </w:t>
      </w:r>
      <w:proofErr w:type="spellStart"/>
      <w:r w:rsidRPr="003B523B">
        <w:rPr>
          <w:lang w:val="es-ES"/>
        </w:rPr>
        <w:t>Bertsias</w:t>
      </w:r>
      <w:proofErr w:type="spellEnd"/>
      <w:r w:rsidRPr="003B523B">
        <w:rPr>
          <w:lang w:val="es-ES"/>
        </w:rPr>
        <w:t xml:space="preserve">, G.; </w:t>
      </w:r>
      <w:proofErr w:type="spellStart"/>
      <w:r w:rsidRPr="003B523B">
        <w:rPr>
          <w:lang w:val="es-ES"/>
        </w:rPr>
        <w:t>Wahren-Herlenius</w:t>
      </w:r>
      <w:proofErr w:type="spellEnd"/>
      <w:r w:rsidRPr="003B523B">
        <w:rPr>
          <w:lang w:val="es-ES"/>
        </w:rPr>
        <w:t xml:space="preserve">, M.; et al. </w:t>
      </w:r>
      <w:r w:rsidRPr="003B523B">
        <w:rPr>
          <w:lang w:val="en-US"/>
        </w:rPr>
        <w:t xml:space="preserve">Type I Interferon Pathway Assays in Studies of Rheumatic and Musculoskeletal Diseases: A Systematic Literature Review Informing EULAR Points to Consider. </w:t>
      </w:r>
      <w:r w:rsidRPr="003B523B">
        <w:rPr>
          <w:i/>
          <w:iCs/>
          <w:lang w:val="en-US"/>
        </w:rPr>
        <w:t>RMD Open</w:t>
      </w:r>
      <w:r w:rsidRPr="003B523B">
        <w:rPr>
          <w:lang w:val="en-US"/>
        </w:rPr>
        <w:t xml:space="preserve"> </w:t>
      </w:r>
      <w:r w:rsidRPr="003B523B">
        <w:rPr>
          <w:b/>
          <w:bCs/>
          <w:lang w:val="en-US"/>
        </w:rPr>
        <w:t>2023</w:t>
      </w:r>
      <w:r w:rsidRPr="003B523B">
        <w:rPr>
          <w:lang w:val="en-US"/>
        </w:rPr>
        <w:t xml:space="preserve">, </w:t>
      </w:r>
      <w:r w:rsidRPr="003B523B">
        <w:rPr>
          <w:i/>
          <w:iCs/>
          <w:lang w:val="en-US"/>
        </w:rPr>
        <w:t>9</w:t>
      </w:r>
      <w:r w:rsidRPr="003B523B">
        <w:rPr>
          <w:lang w:val="en-US"/>
        </w:rPr>
        <w:t>, doi:10.1136/rmdopen-2022-002876.</w:t>
      </w:r>
    </w:p>
    <w:p w14:paraId="2DA58793" w14:textId="7B5CF37A"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Mai, L.; </w:t>
      </w:r>
      <w:proofErr w:type="spellStart"/>
      <w:r w:rsidRPr="003B523B">
        <w:rPr>
          <w:lang w:val="en-US"/>
        </w:rPr>
        <w:t>Asaduzzaman</w:t>
      </w:r>
      <w:proofErr w:type="spellEnd"/>
      <w:r w:rsidRPr="003B523B">
        <w:rPr>
          <w:lang w:val="en-US"/>
        </w:rPr>
        <w:t xml:space="preserve">, A.; </w:t>
      </w:r>
      <w:proofErr w:type="spellStart"/>
      <w:r w:rsidRPr="003B523B">
        <w:rPr>
          <w:lang w:val="en-US"/>
        </w:rPr>
        <w:t>Noamani</w:t>
      </w:r>
      <w:proofErr w:type="spellEnd"/>
      <w:r w:rsidRPr="003B523B">
        <w:rPr>
          <w:lang w:val="en-US"/>
        </w:rPr>
        <w:t xml:space="preserve">, B.; Fortin, P.R.; Gladman, D.D.; Touma, Z.; </w:t>
      </w:r>
      <w:proofErr w:type="spellStart"/>
      <w:r w:rsidRPr="003B523B">
        <w:rPr>
          <w:lang w:val="en-US"/>
        </w:rPr>
        <w:t>Urowitz</w:t>
      </w:r>
      <w:proofErr w:type="spellEnd"/>
      <w:r w:rsidRPr="003B523B">
        <w:rPr>
          <w:lang w:val="en-US"/>
        </w:rPr>
        <w:t xml:space="preserve">, M.B.; Wither, J. The Baseline Interferon Signature Predicts Disease Severity over the Subsequent 5 Years in Systemic Lupus Erythematosus. </w:t>
      </w:r>
      <w:r w:rsidRPr="003B523B">
        <w:rPr>
          <w:i/>
          <w:iCs/>
          <w:lang w:val="en-US"/>
        </w:rPr>
        <w:t xml:space="preserve">Arthritis Res. </w:t>
      </w:r>
      <w:proofErr w:type="spellStart"/>
      <w:r w:rsidRPr="003B523B">
        <w:rPr>
          <w:i/>
          <w:iCs/>
          <w:lang w:val="en-US"/>
        </w:rPr>
        <w:t>Ther</w:t>
      </w:r>
      <w:proofErr w:type="spellEnd"/>
      <w:r w:rsidRPr="003B523B">
        <w:rPr>
          <w:i/>
          <w:iCs/>
          <w:lang w:val="en-US"/>
        </w:rPr>
        <w:t>.</w:t>
      </w:r>
      <w:r w:rsidRPr="003B523B">
        <w:rPr>
          <w:lang w:val="en-US"/>
        </w:rPr>
        <w:t xml:space="preserve"> </w:t>
      </w:r>
      <w:r w:rsidRPr="003B523B">
        <w:rPr>
          <w:b/>
          <w:bCs/>
          <w:lang w:val="en-US"/>
        </w:rPr>
        <w:t>2021</w:t>
      </w:r>
      <w:r w:rsidRPr="003B523B">
        <w:rPr>
          <w:lang w:val="en-US"/>
        </w:rPr>
        <w:t xml:space="preserve">, </w:t>
      </w:r>
      <w:r w:rsidRPr="003B523B">
        <w:rPr>
          <w:i/>
          <w:iCs/>
          <w:lang w:val="en-US"/>
        </w:rPr>
        <w:t>23</w:t>
      </w:r>
      <w:r w:rsidRPr="003B523B">
        <w:rPr>
          <w:lang w:val="en-US"/>
        </w:rPr>
        <w:t>, doi:10.1186/s13075-021-02414-0.</w:t>
      </w:r>
    </w:p>
    <w:p w14:paraId="424EE07A" w14:textId="37F58BA1" w:rsidR="00097466" w:rsidRPr="003B523B" w:rsidRDefault="00000000" w:rsidP="003B523B">
      <w:pPr>
        <w:pStyle w:val="Prrafodelista"/>
        <w:numPr>
          <w:ilvl w:val="0"/>
          <w:numId w:val="55"/>
        </w:numPr>
        <w:spacing w:line="240" w:lineRule="auto"/>
        <w:ind w:left="426" w:hanging="426"/>
        <w:rPr>
          <w:lang w:val="en-US"/>
        </w:rPr>
      </w:pPr>
      <w:r w:rsidRPr="003B523B">
        <w:rPr>
          <w:lang w:val="en-US"/>
        </w:rPr>
        <w:t>Gómez-</w:t>
      </w:r>
      <w:proofErr w:type="spellStart"/>
      <w:r w:rsidRPr="003B523B">
        <w:rPr>
          <w:lang w:val="en-US"/>
        </w:rPr>
        <w:t>Bañuelos</w:t>
      </w:r>
      <w:proofErr w:type="spellEnd"/>
      <w:r w:rsidRPr="003B523B">
        <w:rPr>
          <w:lang w:val="en-US"/>
        </w:rPr>
        <w:t xml:space="preserve">, E.; Goldman, D.W.; Andrade, V.; Darrah, E.; Petri, M.; Andrade, F. Uncoupling Interferons and the Interferon Signature Explains Clinical and Transcriptional Subsets in SLE. </w:t>
      </w:r>
      <w:r w:rsidRPr="003B523B">
        <w:rPr>
          <w:i/>
          <w:iCs/>
          <w:lang w:val="en-US"/>
        </w:rPr>
        <w:t>Cell Rep. Med.</w:t>
      </w:r>
      <w:r w:rsidRPr="003B523B">
        <w:rPr>
          <w:lang w:val="en-US"/>
        </w:rPr>
        <w:t xml:space="preserve"> </w:t>
      </w:r>
      <w:r w:rsidRPr="003B523B">
        <w:rPr>
          <w:b/>
          <w:bCs/>
          <w:lang w:val="en-US"/>
        </w:rPr>
        <w:t>2024</w:t>
      </w:r>
      <w:r w:rsidRPr="003B523B">
        <w:rPr>
          <w:lang w:val="en-US"/>
        </w:rPr>
        <w:t xml:space="preserve">, </w:t>
      </w:r>
      <w:r w:rsidRPr="003B523B">
        <w:rPr>
          <w:i/>
          <w:iCs/>
          <w:lang w:val="en-US"/>
        </w:rPr>
        <w:t>5</w:t>
      </w:r>
      <w:r w:rsidRPr="003B523B">
        <w:rPr>
          <w:lang w:val="en-US"/>
        </w:rPr>
        <w:t xml:space="preserve">, </w:t>
      </w:r>
      <w:proofErr w:type="gramStart"/>
      <w:r w:rsidRPr="003B523B">
        <w:rPr>
          <w:lang w:val="en-US"/>
        </w:rPr>
        <w:t>doi:10.1016/j.xcrm</w:t>
      </w:r>
      <w:proofErr w:type="gramEnd"/>
      <w:r w:rsidRPr="003B523B">
        <w:rPr>
          <w:lang w:val="en-US"/>
        </w:rPr>
        <w:t>.2024.101569.</w:t>
      </w:r>
    </w:p>
    <w:p w14:paraId="67068C7F" w14:textId="61FA6026"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Liu, M.; Liu, J.; Hao, S.; Wu, P.; Zhang, X.; Xiao, Y.; Jiang, G.; Huang, X. Higher Activation of the Interferon-Gamma Signaling Pathway in Systemic Lupus Erythematosus Patients with a High Type I IFN Score: Relation to Disease Activity. </w:t>
      </w:r>
      <w:r w:rsidRPr="003B523B">
        <w:rPr>
          <w:i/>
          <w:iCs/>
          <w:lang w:val="en-US"/>
        </w:rPr>
        <w:t xml:space="preserve">Clin. </w:t>
      </w:r>
      <w:proofErr w:type="spellStart"/>
      <w:r w:rsidRPr="003B523B">
        <w:rPr>
          <w:i/>
          <w:iCs/>
          <w:lang w:val="en-US"/>
        </w:rPr>
        <w:t>Rheumatol</w:t>
      </w:r>
      <w:proofErr w:type="spellEnd"/>
      <w:r w:rsidRPr="003B523B">
        <w:rPr>
          <w:i/>
          <w:iCs/>
          <w:lang w:val="en-US"/>
        </w:rPr>
        <w:t>.</w:t>
      </w:r>
      <w:r w:rsidRPr="003B523B">
        <w:rPr>
          <w:lang w:val="en-US"/>
        </w:rPr>
        <w:t xml:space="preserve"> </w:t>
      </w:r>
      <w:r w:rsidRPr="003B523B">
        <w:rPr>
          <w:b/>
          <w:bCs/>
          <w:lang w:val="en-US"/>
        </w:rPr>
        <w:t>2018</w:t>
      </w:r>
      <w:r w:rsidRPr="003B523B">
        <w:rPr>
          <w:lang w:val="en-US"/>
        </w:rPr>
        <w:t xml:space="preserve">, </w:t>
      </w:r>
      <w:r w:rsidRPr="003B523B">
        <w:rPr>
          <w:i/>
          <w:iCs/>
          <w:lang w:val="en-US"/>
        </w:rPr>
        <w:t>37</w:t>
      </w:r>
      <w:r w:rsidRPr="003B523B">
        <w:rPr>
          <w:lang w:val="en-US"/>
        </w:rPr>
        <w:t>, 2675–2684, doi:10.1007/s10067-018-4138-7.</w:t>
      </w:r>
    </w:p>
    <w:p w14:paraId="0148DEB9" w14:textId="5D4788A4" w:rsidR="00097466" w:rsidRPr="003B523B" w:rsidRDefault="00000000" w:rsidP="003B523B">
      <w:pPr>
        <w:pStyle w:val="Prrafodelista"/>
        <w:numPr>
          <w:ilvl w:val="0"/>
          <w:numId w:val="55"/>
        </w:numPr>
        <w:spacing w:line="240" w:lineRule="auto"/>
        <w:ind w:left="426" w:hanging="426"/>
        <w:rPr>
          <w:lang w:val="en-US"/>
        </w:rPr>
      </w:pPr>
      <w:proofErr w:type="spellStart"/>
      <w:r w:rsidRPr="003B523B">
        <w:rPr>
          <w:lang w:val="en-US"/>
        </w:rPr>
        <w:t>Chasset</w:t>
      </w:r>
      <w:proofErr w:type="spellEnd"/>
      <w:r w:rsidRPr="003B523B">
        <w:rPr>
          <w:lang w:val="en-US"/>
        </w:rPr>
        <w:t xml:space="preserve">, F.; </w:t>
      </w:r>
      <w:proofErr w:type="spellStart"/>
      <w:r w:rsidRPr="003B523B">
        <w:rPr>
          <w:lang w:val="en-US"/>
        </w:rPr>
        <w:t>Mathian</w:t>
      </w:r>
      <w:proofErr w:type="spellEnd"/>
      <w:r w:rsidRPr="003B523B">
        <w:rPr>
          <w:lang w:val="en-US"/>
        </w:rPr>
        <w:t xml:space="preserve">, A.; </w:t>
      </w:r>
      <w:proofErr w:type="spellStart"/>
      <w:r w:rsidRPr="003B523B">
        <w:rPr>
          <w:lang w:val="en-US"/>
        </w:rPr>
        <w:t>Dorgham</w:t>
      </w:r>
      <w:proofErr w:type="spellEnd"/>
      <w:r w:rsidRPr="003B523B">
        <w:rPr>
          <w:lang w:val="en-US"/>
        </w:rPr>
        <w:t xml:space="preserve">, K.; </w:t>
      </w:r>
      <w:proofErr w:type="spellStart"/>
      <w:r w:rsidRPr="003B523B">
        <w:rPr>
          <w:lang w:val="en-US"/>
        </w:rPr>
        <w:t>Ribi</w:t>
      </w:r>
      <w:proofErr w:type="spellEnd"/>
      <w:r w:rsidRPr="003B523B">
        <w:rPr>
          <w:lang w:val="en-US"/>
        </w:rPr>
        <w:t xml:space="preserve">, C.; Trendelenburg, M.; Huynh-Do, U.; Roux-Lombard, P.; Courvoisier, D.S.; </w:t>
      </w:r>
      <w:proofErr w:type="spellStart"/>
      <w:r w:rsidRPr="003B523B">
        <w:rPr>
          <w:lang w:val="en-US"/>
        </w:rPr>
        <w:t>Amoura</w:t>
      </w:r>
      <w:proofErr w:type="spellEnd"/>
      <w:r w:rsidRPr="003B523B">
        <w:rPr>
          <w:lang w:val="en-US"/>
        </w:rPr>
        <w:t xml:space="preserve">, Z.; </w:t>
      </w:r>
      <w:proofErr w:type="spellStart"/>
      <w:r w:rsidRPr="003B523B">
        <w:rPr>
          <w:lang w:val="en-US"/>
        </w:rPr>
        <w:t>Gorochov</w:t>
      </w:r>
      <w:proofErr w:type="spellEnd"/>
      <w:r w:rsidRPr="003B523B">
        <w:rPr>
          <w:lang w:val="en-US"/>
        </w:rPr>
        <w:t>, G. Serum Interferon-</w:t>
      </w:r>
      <w:r>
        <w:t>α</w:t>
      </w:r>
      <w:r w:rsidRPr="003B523B">
        <w:rPr>
          <w:lang w:val="en-US"/>
        </w:rPr>
        <w:t xml:space="preserve"> Levels and IFN Type I-Stimulated Genes Score Perform Equally to Assess Systemic Lupus Erythematosus Disease Activity. </w:t>
      </w:r>
      <w:r w:rsidRPr="003B523B">
        <w:rPr>
          <w:i/>
          <w:iCs/>
          <w:lang w:val="en-US"/>
        </w:rPr>
        <w:t>Ann. Rheum. Dis.</w:t>
      </w:r>
      <w:r w:rsidRPr="003B523B">
        <w:rPr>
          <w:lang w:val="en-US"/>
        </w:rPr>
        <w:t>, doi:10.1136/annrheumdis-2021-221835ï.</w:t>
      </w:r>
    </w:p>
    <w:p w14:paraId="639518FA" w14:textId="169512F5"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Geiss, G.K.; Bumgarner, R.E.; </w:t>
      </w:r>
      <w:proofErr w:type="spellStart"/>
      <w:r w:rsidRPr="003B523B">
        <w:rPr>
          <w:lang w:val="en-US"/>
        </w:rPr>
        <w:t>Birditt</w:t>
      </w:r>
      <w:proofErr w:type="spellEnd"/>
      <w:r w:rsidRPr="003B523B">
        <w:rPr>
          <w:lang w:val="en-US"/>
        </w:rPr>
        <w:t xml:space="preserve">, B.; Dahl, T.; </w:t>
      </w:r>
      <w:proofErr w:type="spellStart"/>
      <w:r w:rsidRPr="003B523B">
        <w:rPr>
          <w:lang w:val="en-US"/>
        </w:rPr>
        <w:t>Dowidar</w:t>
      </w:r>
      <w:proofErr w:type="spellEnd"/>
      <w:r w:rsidRPr="003B523B">
        <w:rPr>
          <w:lang w:val="en-US"/>
        </w:rPr>
        <w:t xml:space="preserve">, N.; Dunaway, D.L.; Fell, H.P.; Ferree, S.; George, R.D.; Grogan, T.; et al. Direct Multiplexed Measurement of Gene Expression with Color-Coded Probe Pairs. </w:t>
      </w:r>
      <w:r w:rsidRPr="003B523B">
        <w:rPr>
          <w:i/>
          <w:iCs/>
          <w:lang w:val="en-US"/>
        </w:rPr>
        <w:t xml:space="preserve">Nat. </w:t>
      </w:r>
      <w:proofErr w:type="spellStart"/>
      <w:r w:rsidRPr="003B523B">
        <w:rPr>
          <w:i/>
          <w:iCs/>
          <w:lang w:val="en-US"/>
        </w:rPr>
        <w:t>Biotechnol</w:t>
      </w:r>
      <w:proofErr w:type="spellEnd"/>
      <w:r w:rsidRPr="003B523B">
        <w:rPr>
          <w:i/>
          <w:iCs/>
          <w:lang w:val="en-US"/>
        </w:rPr>
        <w:t>.</w:t>
      </w:r>
      <w:r w:rsidRPr="003B523B">
        <w:rPr>
          <w:lang w:val="en-US"/>
        </w:rPr>
        <w:t xml:space="preserve"> </w:t>
      </w:r>
      <w:r w:rsidRPr="003B523B">
        <w:rPr>
          <w:b/>
          <w:bCs/>
          <w:lang w:val="en-US"/>
        </w:rPr>
        <w:t>2008</w:t>
      </w:r>
      <w:r w:rsidRPr="003B523B">
        <w:rPr>
          <w:lang w:val="en-US"/>
        </w:rPr>
        <w:t xml:space="preserve">, </w:t>
      </w:r>
      <w:r w:rsidRPr="003B523B">
        <w:rPr>
          <w:i/>
          <w:iCs/>
          <w:lang w:val="en-US"/>
        </w:rPr>
        <w:t>26</w:t>
      </w:r>
      <w:r w:rsidRPr="003B523B">
        <w:rPr>
          <w:lang w:val="en-US"/>
        </w:rPr>
        <w:t>, 317–325, doi:10.1038/nbt1385.</w:t>
      </w:r>
    </w:p>
    <w:p w14:paraId="69EC0A62" w14:textId="7004F839" w:rsidR="00097466" w:rsidRPr="003B523B" w:rsidRDefault="00000000" w:rsidP="003B523B">
      <w:pPr>
        <w:pStyle w:val="Prrafodelista"/>
        <w:numPr>
          <w:ilvl w:val="0"/>
          <w:numId w:val="55"/>
        </w:numPr>
        <w:spacing w:line="240" w:lineRule="auto"/>
        <w:ind w:left="426" w:hanging="426"/>
        <w:rPr>
          <w:lang w:val="en-US"/>
        </w:rPr>
      </w:pPr>
      <w:r>
        <w:t xml:space="preserve">González-Gay, M.; Gómez-Bernal, F.; Quevedo-Abeledo, J.C.; Almeida-Santiago, C.; Heras-Recuero, E.; Torres-Roselló, A.; Vera-González, A. de; Tejera-Segura, B.; García-Barrera, E.; Blázquez-Sánchez, T.; et al. </w:t>
      </w:r>
      <w:r w:rsidRPr="003B523B">
        <w:rPr>
          <w:lang w:val="en-US"/>
        </w:rPr>
        <w:t>Ultrasensitive Quantification of Serum IFN-</w:t>
      </w:r>
      <w:r>
        <w:t>α</w:t>
      </w:r>
      <w:r w:rsidRPr="003B523B">
        <w:rPr>
          <w:lang w:val="en-US"/>
        </w:rPr>
        <w:t xml:space="preserve"> and IFN-</w:t>
      </w:r>
      <w:r>
        <w:t>γ</w:t>
      </w:r>
      <w:r w:rsidRPr="003B523B">
        <w:rPr>
          <w:lang w:val="en-US"/>
        </w:rPr>
        <w:t xml:space="preserve"> in </w:t>
      </w:r>
      <w:r w:rsidRPr="003B523B">
        <w:rPr>
          <w:lang w:val="en-US"/>
        </w:rPr>
        <w:lastRenderedPageBreak/>
        <w:t xml:space="preserve">Systemic Lupus Erythematosus: A Cross-Sectional Observational Study. </w:t>
      </w:r>
      <w:proofErr w:type="spellStart"/>
      <w:r w:rsidRPr="003B523B">
        <w:rPr>
          <w:i/>
          <w:iCs/>
          <w:lang w:val="en-US"/>
        </w:rPr>
        <w:t>PLoS</w:t>
      </w:r>
      <w:proofErr w:type="spellEnd"/>
      <w:r w:rsidRPr="003B523B">
        <w:rPr>
          <w:i/>
          <w:iCs/>
          <w:lang w:val="en-US"/>
        </w:rPr>
        <w:t xml:space="preserve"> Med.</w:t>
      </w:r>
      <w:r w:rsidRPr="003B523B">
        <w:rPr>
          <w:lang w:val="en-US"/>
        </w:rPr>
        <w:t xml:space="preserve"> </w:t>
      </w:r>
      <w:r w:rsidRPr="003B523B">
        <w:rPr>
          <w:b/>
          <w:bCs/>
          <w:lang w:val="en-US"/>
        </w:rPr>
        <w:t>2025</w:t>
      </w:r>
      <w:r w:rsidRPr="003B523B">
        <w:rPr>
          <w:lang w:val="en-US"/>
        </w:rPr>
        <w:t xml:space="preserve">, </w:t>
      </w:r>
      <w:r w:rsidRPr="003B523B">
        <w:rPr>
          <w:i/>
          <w:iCs/>
          <w:lang w:val="en-US"/>
        </w:rPr>
        <w:t>22</w:t>
      </w:r>
      <w:r w:rsidRPr="003B523B">
        <w:rPr>
          <w:lang w:val="en-US"/>
        </w:rPr>
        <w:t xml:space="preserve">, </w:t>
      </w:r>
      <w:proofErr w:type="gramStart"/>
      <w:r w:rsidRPr="003B523B">
        <w:rPr>
          <w:lang w:val="en-US"/>
        </w:rPr>
        <w:t>doi:10.1371/journal.pmed</w:t>
      </w:r>
      <w:proofErr w:type="gramEnd"/>
      <w:r w:rsidRPr="003B523B">
        <w:rPr>
          <w:lang w:val="en-US"/>
        </w:rPr>
        <w:t>.1004841.</w:t>
      </w:r>
    </w:p>
    <w:p w14:paraId="1F57358F" w14:textId="09B39DE5"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Bauer, J.W.; </w:t>
      </w:r>
      <w:proofErr w:type="spellStart"/>
      <w:r w:rsidRPr="003B523B">
        <w:rPr>
          <w:lang w:val="en-US"/>
        </w:rPr>
        <w:t>Baechler</w:t>
      </w:r>
      <w:proofErr w:type="spellEnd"/>
      <w:r w:rsidRPr="003B523B">
        <w:rPr>
          <w:lang w:val="en-US"/>
        </w:rPr>
        <w:t xml:space="preserve">, E.C.; Petri, M.; </w:t>
      </w:r>
      <w:proofErr w:type="spellStart"/>
      <w:r w:rsidRPr="003B523B">
        <w:rPr>
          <w:lang w:val="en-US"/>
        </w:rPr>
        <w:t>Batliwalla</w:t>
      </w:r>
      <w:proofErr w:type="spellEnd"/>
      <w:r w:rsidRPr="003B523B">
        <w:rPr>
          <w:lang w:val="en-US"/>
        </w:rPr>
        <w:t xml:space="preserve">, F.M.; Crawford, D.; </w:t>
      </w:r>
      <w:proofErr w:type="spellStart"/>
      <w:r w:rsidRPr="003B523B">
        <w:rPr>
          <w:lang w:val="en-US"/>
        </w:rPr>
        <w:t>Ortmann</w:t>
      </w:r>
      <w:proofErr w:type="spellEnd"/>
      <w:r w:rsidRPr="003B523B">
        <w:rPr>
          <w:lang w:val="en-US"/>
        </w:rPr>
        <w:t xml:space="preserve">, W.A.; </w:t>
      </w:r>
      <w:proofErr w:type="spellStart"/>
      <w:r w:rsidRPr="003B523B">
        <w:rPr>
          <w:lang w:val="en-US"/>
        </w:rPr>
        <w:t>Espe</w:t>
      </w:r>
      <w:proofErr w:type="spellEnd"/>
      <w:r w:rsidRPr="003B523B">
        <w:rPr>
          <w:lang w:val="en-US"/>
        </w:rPr>
        <w:t xml:space="preserve">, K.J.; Li, W.; Patel, D.D.; </w:t>
      </w:r>
      <w:proofErr w:type="spellStart"/>
      <w:r w:rsidRPr="003B523B">
        <w:rPr>
          <w:lang w:val="en-US"/>
        </w:rPr>
        <w:t>Gregersen</w:t>
      </w:r>
      <w:proofErr w:type="spellEnd"/>
      <w:r w:rsidRPr="003B523B">
        <w:rPr>
          <w:lang w:val="en-US"/>
        </w:rPr>
        <w:t xml:space="preserve">, P.K.; et al. Elevated Serum Levels of Interferon-Regulated Chemokines Are Biomarkers for Active Human Systemic Lupus Erythematosus. </w:t>
      </w:r>
      <w:proofErr w:type="spellStart"/>
      <w:r w:rsidRPr="003B523B">
        <w:rPr>
          <w:i/>
          <w:iCs/>
          <w:lang w:val="en-US"/>
        </w:rPr>
        <w:t>PLoS</w:t>
      </w:r>
      <w:proofErr w:type="spellEnd"/>
      <w:r w:rsidRPr="003B523B">
        <w:rPr>
          <w:i/>
          <w:iCs/>
          <w:lang w:val="en-US"/>
        </w:rPr>
        <w:t xml:space="preserve"> Med.</w:t>
      </w:r>
      <w:r w:rsidRPr="003B523B">
        <w:rPr>
          <w:lang w:val="en-US"/>
        </w:rPr>
        <w:t xml:space="preserve"> </w:t>
      </w:r>
      <w:r w:rsidRPr="003B523B">
        <w:rPr>
          <w:b/>
          <w:bCs/>
          <w:lang w:val="en-US"/>
        </w:rPr>
        <w:t>2006</w:t>
      </w:r>
      <w:r w:rsidRPr="003B523B">
        <w:rPr>
          <w:lang w:val="en-US"/>
        </w:rPr>
        <w:t xml:space="preserve">, </w:t>
      </w:r>
      <w:r w:rsidRPr="003B523B">
        <w:rPr>
          <w:i/>
          <w:iCs/>
          <w:lang w:val="en-US"/>
        </w:rPr>
        <w:t>3</w:t>
      </w:r>
      <w:r w:rsidRPr="003B523B">
        <w:rPr>
          <w:lang w:val="en-US"/>
        </w:rPr>
        <w:t xml:space="preserve">, 2274–2284, </w:t>
      </w:r>
      <w:proofErr w:type="gramStart"/>
      <w:r w:rsidRPr="003B523B">
        <w:rPr>
          <w:lang w:val="en-US"/>
        </w:rPr>
        <w:t>doi:10.1371/journal.pmed</w:t>
      </w:r>
      <w:proofErr w:type="gramEnd"/>
      <w:r w:rsidRPr="003B523B">
        <w:rPr>
          <w:lang w:val="en-US"/>
        </w:rPr>
        <w:t>.0030491.</w:t>
      </w:r>
    </w:p>
    <w:p w14:paraId="6FAE6E43" w14:textId="4ABCFEFB" w:rsidR="00097466" w:rsidRPr="003B523B" w:rsidRDefault="00000000" w:rsidP="003B523B">
      <w:pPr>
        <w:pStyle w:val="Prrafodelista"/>
        <w:numPr>
          <w:ilvl w:val="0"/>
          <w:numId w:val="55"/>
        </w:numPr>
        <w:spacing w:line="240" w:lineRule="auto"/>
        <w:ind w:left="426" w:hanging="426"/>
        <w:rPr>
          <w:lang w:val="en-US"/>
        </w:rPr>
      </w:pPr>
      <w:r w:rsidRPr="003B523B">
        <w:rPr>
          <w:lang w:val="en-US"/>
        </w:rPr>
        <w:t>Borrego-</w:t>
      </w:r>
      <w:proofErr w:type="spellStart"/>
      <w:r w:rsidRPr="003B523B">
        <w:rPr>
          <w:lang w:val="en-US"/>
        </w:rPr>
        <w:t>Yaniz</w:t>
      </w:r>
      <w:proofErr w:type="spellEnd"/>
      <w:r w:rsidRPr="003B523B">
        <w:rPr>
          <w:lang w:val="en-US"/>
        </w:rPr>
        <w:t xml:space="preserve">, G.; </w:t>
      </w:r>
      <w:proofErr w:type="spellStart"/>
      <w:r w:rsidRPr="003B523B">
        <w:rPr>
          <w:lang w:val="en-US"/>
        </w:rPr>
        <w:t>Terrón-Camero</w:t>
      </w:r>
      <w:proofErr w:type="spellEnd"/>
      <w:r w:rsidRPr="003B523B">
        <w:rPr>
          <w:lang w:val="en-US"/>
        </w:rPr>
        <w:t xml:space="preserve">, L.C.; </w:t>
      </w:r>
      <w:proofErr w:type="spellStart"/>
      <w:r w:rsidRPr="003B523B">
        <w:rPr>
          <w:lang w:val="en-US"/>
        </w:rPr>
        <w:t>Kerick</w:t>
      </w:r>
      <w:proofErr w:type="spellEnd"/>
      <w:r w:rsidRPr="003B523B">
        <w:rPr>
          <w:lang w:val="en-US"/>
        </w:rPr>
        <w:t xml:space="preserve">, M.; Andrés-León, E.; Martin, J. A Holistic Approach to Understanding Immune-Mediated Inflammatory Diseases: Bioinformatic Tools to Integrate Omics Data. </w:t>
      </w:r>
      <w:proofErr w:type="spellStart"/>
      <w:r w:rsidRPr="003B523B">
        <w:rPr>
          <w:i/>
          <w:iCs/>
          <w:lang w:val="en-US"/>
        </w:rPr>
        <w:t>Comput</w:t>
      </w:r>
      <w:proofErr w:type="spellEnd"/>
      <w:r w:rsidRPr="003B523B">
        <w:rPr>
          <w:i/>
          <w:iCs/>
          <w:lang w:val="en-US"/>
        </w:rPr>
        <w:t xml:space="preserve">. Struct. </w:t>
      </w:r>
      <w:proofErr w:type="spellStart"/>
      <w:r w:rsidRPr="003B523B">
        <w:rPr>
          <w:i/>
          <w:iCs/>
          <w:lang w:val="en-US"/>
        </w:rPr>
        <w:t>Biotechnol</w:t>
      </w:r>
      <w:proofErr w:type="spellEnd"/>
      <w:r w:rsidRPr="003B523B">
        <w:rPr>
          <w:i/>
          <w:iCs/>
          <w:lang w:val="en-US"/>
        </w:rPr>
        <w:t>. J.</w:t>
      </w:r>
      <w:r w:rsidRPr="003B523B">
        <w:rPr>
          <w:lang w:val="en-US"/>
        </w:rPr>
        <w:t xml:space="preserve"> 2024, </w:t>
      </w:r>
      <w:r w:rsidRPr="003B523B">
        <w:rPr>
          <w:i/>
          <w:iCs/>
          <w:lang w:val="en-US"/>
        </w:rPr>
        <w:t>23</w:t>
      </w:r>
      <w:r w:rsidRPr="003B523B">
        <w:rPr>
          <w:lang w:val="en-US"/>
        </w:rPr>
        <w:t>, 96–105.</w:t>
      </w:r>
    </w:p>
    <w:p w14:paraId="11C8ECD7" w14:textId="4F8EC424"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Jamil, I.N.; </w:t>
      </w:r>
      <w:proofErr w:type="spellStart"/>
      <w:r w:rsidRPr="003B523B">
        <w:rPr>
          <w:lang w:val="en-US"/>
        </w:rPr>
        <w:t>Remali</w:t>
      </w:r>
      <w:proofErr w:type="spellEnd"/>
      <w:r w:rsidRPr="003B523B">
        <w:rPr>
          <w:lang w:val="en-US"/>
        </w:rPr>
        <w:t xml:space="preserve">, J.; </w:t>
      </w:r>
      <w:proofErr w:type="spellStart"/>
      <w:r w:rsidRPr="003B523B">
        <w:rPr>
          <w:lang w:val="en-US"/>
        </w:rPr>
        <w:t>Azizan</w:t>
      </w:r>
      <w:proofErr w:type="spellEnd"/>
      <w:r w:rsidRPr="003B523B">
        <w:rPr>
          <w:lang w:val="en-US"/>
        </w:rPr>
        <w:t xml:space="preserve">, K.A.; Nor Muhammad, N.A.; </w:t>
      </w:r>
      <w:proofErr w:type="spellStart"/>
      <w:r w:rsidRPr="003B523B">
        <w:rPr>
          <w:lang w:val="en-US"/>
        </w:rPr>
        <w:t>Arita</w:t>
      </w:r>
      <w:proofErr w:type="spellEnd"/>
      <w:r w:rsidRPr="003B523B">
        <w:rPr>
          <w:lang w:val="en-US"/>
        </w:rPr>
        <w:t xml:space="preserve">, M.; Goh, H.-H.; </w:t>
      </w:r>
      <w:proofErr w:type="spellStart"/>
      <w:r w:rsidRPr="003B523B">
        <w:rPr>
          <w:lang w:val="en-US"/>
        </w:rPr>
        <w:t>Aizat</w:t>
      </w:r>
      <w:proofErr w:type="spellEnd"/>
      <w:r w:rsidRPr="003B523B">
        <w:rPr>
          <w:lang w:val="en-US"/>
        </w:rPr>
        <w:t xml:space="preserve">, W.M. Systematic Multi-Omics Integration (MOI) Approach in Plant Systems Biology. </w:t>
      </w:r>
      <w:r w:rsidRPr="003B523B">
        <w:rPr>
          <w:i/>
          <w:iCs/>
          <w:lang w:val="en-US"/>
        </w:rPr>
        <w:t>Front. Plant Sci.</w:t>
      </w:r>
      <w:r w:rsidRPr="003B523B">
        <w:rPr>
          <w:lang w:val="en-US"/>
        </w:rPr>
        <w:t xml:space="preserve"> </w:t>
      </w:r>
      <w:r w:rsidRPr="003B523B">
        <w:rPr>
          <w:b/>
          <w:bCs/>
          <w:lang w:val="en-US"/>
        </w:rPr>
        <w:t>2020</w:t>
      </w:r>
      <w:r w:rsidRPr="003B523B">
        <w:rPr>
          <w:lang w:val="en-US"/>
        </w:rPr>
        <w:t xml:space="preserve">, </w:t>
      </w:r>
      <w:r w:rsidRPr="003B523B">
        <w:rPr>
          <w:i/>
          <w:iCs/>
          <w:lang w:val="en-US"/>
        </w:rPr>
        <w:t>11</w:t>
      </w:r>
      <w:r w:rsidRPr="003B523B">
        <w:rPr>
          <w:lang w:val="en-US"/>
        </w:rPr>
        <w:t>, 944, doi:10.3389/fpls.2020.00944.</w:t>
      </w:r>
    </w:p>
    <w:p w14:paraId="6432A82E" w14:textId="33077491"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Banerjee, P.; Carmelo, V.A.O.; </w:t>
      </w:r>
      <w:proofErr w:type="spellStart"/>
      <w:r w:rsidRPr="003B523B">
        <w:rPr>
          <w:lang w:val="en-US"/>
        </w:rPr>
        <w:t>Kadarmideen</w:t>
      </w:r>
      <w:proofErr w:type="spellEnd"/>
      <w:r w:rsidRPr="003B523B">
        <w:rPr>
          <w:lang w:val="en-US"/>
        </w:rPr>
        <w:t xml:space="preserve">, H.N. Integrative Analysis of Metabolomic and Transcriptomic Profiles Uncovers Biological Pathways of Feed Efficiency in Pigs. </w:t>
      </w:r>
      <w:r w:rsidRPr="003B523B">
        <w:rPr>
          <w:i/>
          <w:iCs/>
          <w:lang w:val="en-US"/>
        </w:rPr>
        <w:t>Metabolites</w:t>
      </w:r>
      <w:r w:rsidRPr="003B523B">
        <w:rPr>
          <w:lang w:val="en-US"/>
        </w:rPr>
        <w:t xml:space="preserve"> </w:t>
      </w:r>
      <w:r w:rsidRPr="003B523B">
        <w:rPr>
          <w:b/>
          <w:bCs/>
          <w:lang w:val="en-US"/>
        </w:rPr>
        <w:t>2020</w:t>
      </w:r>
      <w:r w:rsidRPr="003B523B">
        <w:rPr>
          <w:lang w:val="en-US"/>
        </w:rPr>
        <w:t xml:space="preserve">, </w:t>
      </w:r>
      <w:r w:rsidRPr="003B523B">
        <w:rPr>
          <w:i/>
          <w:iCs/>
          <w:lang w:val="en-US"/>
        </w:rPr>
        <w:t>10</w:t>
      </w:r>
      <w:r w:rsidRPr="003B523B">
        <w:rPr>
          <w:lang w:val="en-US"/>
        </w:rPr>
        <w:t>, 1–17, doi:10.3390/metabo10070275.</w:t>
      </w:r>
    </w:p>
    <w:p w14:paraId="066ACFC5" w14:textId="400FB033" w:rsidR="00097466" w:rsidRPr="003B523B" w:rsidRDefault="00000000" w:rsidP="003B523B">
      <w:pPr>
        <w:pStyle w:val="Prrafodelista"/>
        <w:numPr>
          <w:ilvl w:val="0"/>
          <w:numId w:val="55"/>
        </w:numPr>
        <w:spacing w:line="240" w:lineRule="auto"/>
        <w:ind w:left="426" w:hanging="426"/>
        <w:rPr>
          <w:lang w:val="en-US"/>
        </w:rPr>
      </w:pPr>
      <w:proofErr w:type="spellStart"/>
      <w:r w:rsidRPr="003B523B">
        <w:rPr>
          <w:lang w:val="en-US"/>
        </w:rPr>
        <w:t>Turek</w:t>
      </w:r>
      <w:proofErr w:type="spellEnd"/>
      <w:r w:rsidRPr="003B523B">
        <w:rPr>
          <w:lang w:val="en-US"/>
        </w:rPr>
        <w:t xml:space="preserve">, C.; </w:t>
      </w:r>
      <w:proofErr w:type="spellStart"/>
      <w:r w:rsidRPr="003B523B">
        <w:rPr>
          <w:lang w:val="en-US"/>
        </w:rPr>
        <w:t>Wróbel</w:t>
      </w:r>
      <w:proofErr w:type="spellEnd"/>
      <w:r w:rsidRPr="003B523B">
        <w:rPr>
          <w:lang w:val="en-US"/>
        </w:rPr>
        <w:t xml:space="preserve">, S.; Piwowar, M. </w:t>
      </w:r>
      <w:proofErr w:type="spellStart"/>
      <w:r w:rsidRPr="003B523B">
        <w:rPr>
          <w:lang w:val="en-US"/>
        </w:rPr>
        <w:t>OmicsON</w:t>
      </w:r>
      <w:proofErr w:type="spellEnd"/>
      <w:r w:rsidRPr="003B523B">
        <w:rPr>
          <w:lang w:val="en-US"/>
        </w:rPr>
        <w:t xml:space="preserve"> - Integration of Omics Data with Molecular Networks and Statistical Procedures. </w:t>
      </w:r>
      <w:proofErr w:type="spellStart"/>
      <w:r w:rsidRPr="003B523B">
        <w:rPr>
          <w:i/>
          <w:iCs/>
          <w:lang w:val="en-US"/>
        </w:rPr>
        <w:t>PLoS</w:t>
      </w:r>
      <w:proofErr w:type="spellEnd"/>
      <w:r w:rsidRPr="003B523B">
        <w:rPr>
          <w:i/>
          <w:iCs/>
          <w:lang w:val="en-US"/>
        </w:rPr>
        <w:t xml:space="preserve"> One</w:t>
      </w:r>
      <w:r w:rsidRPr="003B523B">
        <w:rPr>
          <w:lang w:val="en-US"/>
        </w:rPr>
        <w:t xml:space="preserve"> </w:t>
      </w:r>
      <w:r w:rsidRPr="003B523B">
        <w:rPr>
          <w:b/>
          <w:bCs/>
          <w:lang w:val="en-US"/>
        </w:rPr>
        <w:t>2020</w:t>
      </w:r>
      <w:r w:rsidRPr="003B523B">
        <w:rPr>
          <w:lang w:val="en-US"/>
        </w:rPr>
        <w:t xml:space="preserve">, </w:t>
      </w:r>
      <w:r w:rsidRPr="003B523B">
        <w:rPr>
          <w:i/>
          <w:iCs/>
          <w:lang w:val="en-US"/>
        </w:rPr>
        <w:t>15</w:t>
      </w:r>
      <w:r w:rsidRPr="003B523B">
        <w:rPr>
          <w:lang w:val="en-US"/>
        </w:rPr>
        <w:t xml:space="preserve">, </w:t>
      </w:r>
      <w:proofErr w:type="gramStart"/>
      <w:r w:rsidRPr="003B523B">
        <w:rPr>
          <w:lang w:val="en-US"/>
        </w:rPr>
        <w:t>doi:10.1371/journal.pone</w:t>
      </w:r>
      <w:proofErr w:type="gramEnd"/>
      <w:r w:rsidRPr="003B523B">
        <w:rPr>
          <w:lang w:val="en-US"/>
        </w:rPr>
        <w:t>.0235398.</w:t>
      </w:r>
    </w:p>
    <w:p w14:paraId="4AB170FD" w14:textId="73B8245B" w:rsidR="00097466" w:rsidRPr="003B523B" w:rsidRDefault="00000000" w:rsidP="003B523B">
      <w:pPr>
        <w:pStyle w:val="Prrafodelista"/>
        <w:numPr>
          <w:ilvl w:val="0"/>
          <w:numId w:val="55"/>
        </w:numPr>
        <w:spacing w:line="240" w:lineRule="auto"/>
        <w:ind w:left="426" w:hanging="426"/>
        <w:rPr>
          <w:lang w:val="en-US"/>
        </w:rPr>
      </w:pPr>
      <w:proofErr w:type="spellStart"/>
      <w:r w:rsidRPr="003B523B">
        <w:rPr>
          <w:lang w:val="en-US"/>
        </w:rPr>
        <w:t>Cavill</w:t>
      </w:r>
      <w:proofErr w:type="spellEnd"/>
      <w:r w:rsidRPr="003B523B">
        <w:rPr>
          <w:lang w:val="en-US"/>
        </w:rPr>
        <w:t xml:space="preserve">, R.; </w:t>
      </w:r>
      <w:proofErr w:type="spellStart"/>
      <w:r w:rsidRPr="003B523B">
        <w:rPr>
          <w:lang w:val="en-US"/>
        </w:rPr>
        <w:t>Jennen</w:t>
      </w:r>
      <w:proofErr w:type="spellEnd"/>
      <w:r w:rsidRPr="003B523B">
        <w:rPr>
          <w:lang w:val="en-US"/>
        </w:rPr>
        <w:t xml:space="preserve">, D.; </w:t>
      </w:r>
      <w:proofErr w:type="spellStart"/>
      <w:r w:rsidRPr="003B523B">
        <w:rPr>
          <w:lang w:val="en-US"/>
        </w:rPr>
        <w:t>Kleinjans</w:t>
      </w:r>
      <w:proofErr w:type="spellEnd"/>
      <w:r w:rsidRPr="003B523B">
        <w:rPr>
          <w:lang w:val="en-US"/>
        </w:rPr>
        <w:t xml:space="preserve">, J.; </w:t>
      </w:r>
      <w:proofErr w:type="spellStart"/>
      <w:r w:rsidRPr="003B523B">
        <w:rPr>
          <w:lang w:val="en-US"/>
        </w:rPr>
        <w:t>Briedé</w:t>
      </w:r>
      <w:proofErr w:type="spellEnd"/>
      <w:r w:rsidRPr="003B523B">
        <w:rPr>
          <w:lang w:val="en-US"/>
        </w:rPr>
        <w:t xml:space="preserve">, J.J. Transcriptomic and Metabolomic Data Integration. </w:t>
      </w:r>
      <w:r w:rsidRPr="003B523B">
        <w:rPr>
          <w:i/>
          <w:iCs/>
          <w:lang w:val="en-US"/>
        </w:rPr>
        <w:t xml:space="preserve">Brief. </w:t>
      </w:r>
      <w:proofErr w:type="spellStart"/>
      <w:r w:rsidRPr="003B523B">
        <w:rPr>
          <w:i/>
          <w:iCs/>
          <w:lang w:val="en-US"/>
        </w:rPr>
        <w:t>Bioinform</w:t>
      </w:r>
      <w:proofErr w:type="spellEnd"/>
      <w:r w:rsidRPr="003B523B">
        <w:rPr>
          <w:i/>
          <w:iCs/>
          <w:lang w:val="en-US"/>
        </w:rPr>
        <w:t>.</w:t>
      </w:r>
      <w:r w:rsidRPr="003B523B">
        <w:rPr>
          <w:lang w:val="en-US"/>
        </w:rPr>
        <w:t xml:space="preserve"> </w:t>
      </w:r>
      <w:r w:rsidRPr="003B523B">
        <w:rPr>
          <w:b/>
          <w:bCs/>
          <w:lang w:val="en-US"/>
        </w:rPr>
        <w:t>2016</w:t>
      </w:r>
      <w:r w:rsidRPr="003B523B">
        <w:rPr>
          <w:lang w:val="en-US"/>
        </w:rPr>
        <w:t xml:space="preserve">, </w:t>
      </w:r>
      <w:r w:rsidRPr="003B523B">
        <w:rPr>
          <w:i/>
          <w:iCs/>
          <w:lang w:val="en-US"/>
        </w:rPr>
        <w:t>17</w:t>
      </w:r>
      <w:r w:rsidRPr="003B523B">
        <w:rPr>
          <w:lang w:val="en-US"/>
        </w:rPr>
        <w:t>, 891–901, doi:10.1093/bib/bbv090.</w:t>
      </w:r>
    </w:p>
    <w:p w14:paraId="14486B23" w14:textId="7A57AD4B"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Ritchie, M.D.; </w:t>
      </w:r>
      <w:proofErr w:type="spellStart"/>
      <w:r w:rsidRPr="003B523B">
        <w:rPr>
          <w:lang w:val="en-US"/>
        </w:rPr>
        <w:t>Holzinger</w:t>
      </w:r>
      <w:proofErr w:type="spellEnd"/>
      <w:r w:rsidRPr="003B523B">
        <w:rPr>
          <w:lang w:val="en-US"/>
        </w:rPr>
        <w:t xml:space="preserve">, E.R.; Li, R.; Pendergrass, S.A.; Kim, D. Methods of Integrating Data to Uncover Genotype-Phenotype Interactions. </w:t>
      </w:r>
      <w:r w:rsidRPr="003B523B">
        <w:rPr>
          <w:i/>
          <w:iCs/>
          <w:lang w:val="en-US"/>
        </w:rPr>
        <w:t>Nat. Rev. Genet.</w:t>
      </w:r>
      <w:r w:rsidRPr="003B523B">
        <w:rPr>
          <w:lang w:val="en-US"/>
        </w:rPr>
        <w:t xml:space="preserve"> </w:t>
      </w:r>
      <w:r w:rsidRPr="003B523B">
        <w:rPr>
          <w:b/>
          <w:bCs/>
          <w:lang w:val="en-US"/>
        </w:rPr>
        <w:t>2015</w:t>
      </w:r>
      <w:r w:rsidRPr="003B523B">
        <w:rPr>
          <w:lang w:val="en-US"/>
        </w:rPr>
        <w:t xml:space="preserve">, </w:t>
      </w:r>
      <w:r w:rsidRPr="003B523B">
        <w:rPr>
          <w:i/>
          <w:iCs/>
          <w:lang w:val="en-US"/>
        </w:rPr>
        <w:t>16</w:t>
      </w:r>
      <w:r w:rsidRPr="003B523B">
        <w:rPr>
          <w:lang w:val="en-US"/>
        </w:rPr>
        <w:t>, 85–97, doi:10.1038/nrg3868.</w:t>
      </w:r>
    </w:p>
    <w:p w14:paraId="3942CD4C" w14:textId="10A0085D" w:rsidR="00097466" w:rsidRPr="003B523B" w:rsidRDefault="00000000" w:rsidP="003B523B">
      <w:pPr>
        <w:pStyle w:val="Prrafodelista"/>
        <w:numPr>
          <w:ilvl w:val="0"/>
          <w:numId w:val="55"/>
        </w:numPr>
        <w:spacing w:line="240" w:lineRule="auto"/>
        <w:ind w:left="426" w:hanging="426"/>
        <w:rPr>
          <w:lang w:val="en-US"/>
        </w:rPr>
      </w:pPr>
      <w:proofErr w:type="spellStart"/>
      <w:r w:rsidRPr="003B523B">
        <w:rPr>
          <w:lang w:val="en-US"/>
        </w:rPr>
        <w:t>Argelaguet</w:t>
      </w:r>
      <w:proofErr w:type="spellEnd"/>
      <w:r w:rsidRPr="003B523B">
        <w:rPr>
          <w:lang w:val="en-US"/>
        </w:rPr>
        <w:t xml:space="preserve">, R.; </w:t>
      </w:r>
      <w:proofErr w:type="spellStart"/>
      <w:r w:rsidRPr="003B523B">
        <w:rPr>
          <w:lang w:val="en-US"/>
        </w:rPr>
        <w:t>Arnol</w:t>
      </w:r>
      <w:proofErr w:type="spellEnd"/>
      <w:r w:rsidRPr="003B523B">
        <w:rPr>
          <w:lang w:val="en-US"/>
        </w:rPr>
        <w:t xml:space="preserve">, D.; </w:t>
      </w:r>
      <w:proofErr w:type="spellStart"/>
      <w:r w:rsidRPr="003B523B">
        <w:rPr>
          <w:lang w:val="en-US"/>
        </w:rPr>
        <w:t>Bredikhin</w:t>
      </w:r>
      <w:proofErr w:type="spellEnd"/>
      <w:r w:rsidRPr="003B523B">
        <w:rPr>
          <w:lang w:val="en-US"/>
        </w:rPr>
        <w:t xml:space="preserve">, D.; </w:t>
      </w:r>
      <w:proofErr w:type="spellStart"/>
      <w:r w:rsidRPr="003B523B">
        <w:rPr>
          <w:lang w:val="en-US"/>
        </w:rPr>
        <w:t>Deloro</w:t>
      </w:r>
      <w:proofErr w:type="spellEnd"/>
      <w:r w:rsidRPr="003B523B">
        <w:rPr>
          <w:lang w:val="en-US"/>
        </w:rPr>
        <w:t xml:space="preserve">, Y.; </w:t>
      </w:r>
      <w:proofErr w:type="spellStart"/>
      <w:r w:rsidRPr="003B523B">
        <w:rPr>
          <w:lang w:val="en-US"/>
        </w:rPr>
        <w:t>Velten</w:t>
      </w:r>
      <w:proofErr w:type="spellEnd"/>
      <w:r w:rsidRPr="003B523B">
        <w:rPr>
          <w:lang w:val="en-US"/>
        </w:rPr>
        <w:t xml:space="preserve">, B.; </w:t>
      </w:r>
      <w:proofErr w:type="spellStart"/>
      <w:r w:rsidRPr="003B523B">
        <w:rPr>
          <w:lang w:val="en-US"/>
        </w:rPr>
        <w:t>Marioni</w:t>
      </w:r>
      <w:proofErr w:type="spellEnd"/>
      <w:r w:rsidRPr="003B523B">
        <w:rPr>
          <w:lang w:val="en-US"/>
        </w:rPr>
        <w:t xml:space="preserve">, J.C.; </w:t>
      </w:r>
      <w:proofErr w:type="spellStart"/>
      <w:r w:rsidRPr="003B523B">
        <w:rPr>
          <w:lang w:val="en-US"/>
        </w:rPr>
        <w:t>Stegle</w:t>
      </w:r>
      <w:proofErr w:type="spellEnd"/>
      <w:r w:rsidRPr="003B523B">
        <w:rPr>
          <w:lang w:val="en-US"/>
        </w:rPr>
        <w:t xml:space="preserve">, O. MOFA+: A Statistical Framework for Comprehensive Integration of Multi-Modal Single-Cell Data. </w:t>
      </w:r>
      <w:r w:rsidRPr="003B523B">
        <w:rPr>
          <w:i/>
          <w:iCs/>
          <w:lang w:val="en-US"/>
        </w:rPr>
        <w:t>Genome Biol.</w:t>
      </w:r>
      <w:r w:rsidRPr="003B523B">
        <w:rPr>
          <w:lang w:val="en-US"/>
        </w:rPr>
        <w:t xml:space="preserve"> </w:t>
      </w:r>
      <w:r w:rsidRPr="003B523B">
        <w:rPr>
          <w:b/>
          <w:bCs/>
          <w:lang w:val="en-US"/>
        </w:rPr>
        <w:t>2020</w:t>
      </w:r>
      <w:r w:rsidRPr="003B523B">
        <w:rPr>
          <w:lang w:val="en-US"/>
        </w:rPr>
        <w:t xml:space="preserve">, </w:t>
      </w:r>
      <w:r w:rsidRPr="003B523B">
        <w:rPr>
          <w:i/>
          <w:iCs/>
          <w:lang w:val="en-US"/>
        </w:rPr>
        <w:t>21</w:t>
      </w:r>
      <w:r w:rsidRPr="003B523B">
        <w:rPr>
          <w:lang w:val="en-US"/>
        </w:rPr>
        <w:t>, doi:10.1186/s13059-020-02015-1.</w:t>
      </w:r>
    </w:p>
    <w:p w14:paraId="52CA9D32" w14:textId="666DA3D6" w:rsidR="00097466" w:rsidRPr="003B523B" w:rsidRDefault="00000000" w:rsidP="003B523B">
      <w:pPr>
        <w:pStyle w:val="Prrafodelista"/>
        <w:numPr>
          <w:ilvl w:val="0"/>
          <w:numId w:val="55"/>
        </w:numPr>
        <w:spacing w:line="240" w:lineRule="auto"/>
        <w:ind w:left="426" w:hanging="426"/>
        <w:rPr>
          <w:lang w:val="en-US"/>
        </w:rPr>
      </w:pPr>
      <w:proofErr w:type="spellStart"/>
      <w:r w:rsidRPr="003B523B">
        <w:rPr>
          <w:lang w:val="en-US"/>
        </w:rPr>
        <w:t>Argelaguet</w:t>
      </w:r>
      <w:proofErr w:type="spellEnd"/>
      <w:r w:rsidRPr="003B523B">
        <w:rPr>
          <w:lang w:val="en-US"/>
        </w:rPr>
        <w:t xml:space="preserve">, R.; </w:t>
      </w:r>
      <w:proofErr w:type="spellStart"/>
      <w:r w:rsidRPr="003B523B">
        <w:rPr>
          <w:lang w:val="en-US"/>
        </w:rPr>
        <w:t>Velten</w:t>
      </w:r>
      <w:proofErr w:type="spellEnd"/>
      <w:r w:rsidRPr="003B523B">
        <w:rPr>
          <w:lang w:val="en-US"/>
        </w:rPr>
        <w:t xml:space="preserve">, B.; </w:t>
      </w:r>
      <w:proofErr w:type="spellStart"/>
      <w:r w:rsidRPr="003B523B">
        <w:rPr>
          <w:lang w:val="en-US"/>
        </w:rPr>
        <w:t>Arnol</w:t>
      </w:r>
      <w:proofErr w:type="spellEnd"/>
      <w:r w:rsidRPr="003B523B">
        <w:rPr>
          <w:lang w:val="en-US"/>
        </w:rPr>
        <w:t xml:space="preserve">, D.; Dietrich, S.; </w:t>
      </w:r>
      <w:proofErr w:type="spellStart"/>
      <w:r w:rsidRPr="003B523B">
        <w:rPr>
          <w:lang w:val="en-US"/>
        </w:rPr>
        <w:t>Zenz</w:t>
      </w:r>
      <w:proofErr w:type="spellEnd"/>
      <w:r w:rsidRPr="003B523B">
        <w:rPr>
          <w:lang w:val="en-US"/>
        </w:rPr>
        <w:t xml:space="preserve">, T.; </w:t>
      </w:r>
      <w:proofErr w:type="spellStart"/>
      <w:r w:rsidRPr="003B523B">
        <w:rPr>
          <w:lang w:val="en-US"/>
        </w:rPr>
        <w:t>Marioni</w:t>
      </w:r>
      <w:proofErr w:type="spellEnd"/>
      <w:r w:rsidRPr="003B523B">
        <w:rPr>
          <w:lang w:val="en-US"/>
        </w:rPr>
        <w:t xml:space="preserve">, J.C.; Buettner, F.; Huber, W.; </w:t>
      </w:r>
      <w:proofErr w:type="spellStart"/>
      <w:r w:rsidRPr="003B523B">
        <w:rPr>
          <w:lang w:val="en-US"/>
        </w:rPr>
        <w:t>Stegle</w:t>
      </w:r>
      <w:proofErr w:type="spellEnd"/>
      <w:r w:rsidRPr="003B523B">
        <w:rPr>
          <w:lang w:val="en-US"/>
        </w:rPr>
        <w:t xml:space="preserve">, O. Multi‐Omics Factor Analysis—a Framework for Unsupervised Integration of Multi‐omics Data Sets. </w:t>
      </w:r>
      <w:r w:rsidRPr="003B523B">
        <w:rPr>
          <w:i/>
          <w:iCs/>
          <w:lang w:val="en-US"/>
        </w:rPr>
        <w:t>Mol. Syst. Biol.</w:t>
      </w:r>
      <w:r w:rsidRPr="003B523B">
        <w:rPr>
          <w:lang w:val="en-US"/>
        </w:rPr>
        <w:t xml:space="preserve"> </w:t>
      </w:r>
      <w:r w:rsidRPr="003B523B">
        <w:rPr>
          <w:b/>
          <w:bCs/>
          <w:lang w:val="en-US"/>
        </w:rPr>
        <w:t>2018</w:t>
      </w:r>
      <w:r w:rsidRPr="003B523B">
        <w:rPr>
          <w:lang w:val="en-US"/>
        </w:rPr>
        <w:t xml:space="preserve">, </w:t>
      </w:r>
      <w:r w:rsidRPr="003B523B">
        <w:rPr>
          <w:i/>
          <w:iCs/>
          <w:lang w:val="en-US"/>
        </w:rPr>
        <w:t>14</w:t>
      </w:r>
      <w:r w:rsidRPr="003B523B">
        <w:rPr>
          <w:lang w:val="en-US"/>
        </w:rPr>
        <w:t>, doi:10.15252/msb.20178124.</w:t>
      </w:r>
    </w:p>
    <w:p w14:paraId="41FD7708" w14:textId="17333098" w:rsidR="00097466" w:rsidRPr="003B523B" w:rsidRDefault="00000000" w:rsidP="003B523B">
      <w:pPr>
        <w:pStyle w:val="Prrafodelista"/>
        <w:numPr>
          <w:ilvl w:val="0"/>
          <w:numId w:val="55"/>
        </w:numPr>
        <w:spacing w:line="240" w:lineRule="auto"/>
        <w:ind w:left="426" w:hanging="426"/>
        <w:rPr>
          <w:lang w:val="en-US"/>
        </w:rPr>
      </w:pPr>
      <w:r w:rsidRPr="003B523B">
        <w:rPr>
          <w:lang w:val="en-US"/>
        </w:rPr>
        <w:t xml:space="preserve">Singh, A.; Shannon, C.P.; Gautier, B.; </w:t>
      </w:r>
      <w:proofErr w:type="spellStart"/>
      <w:r w:rsidRPr="003B523B">
        <w:rPr>
          <w:lang w:val="en-US"/>
        </w:rPr>
        <w:t>Rohart</w:t>
      </w:r>
      <w:proofErr w:type="spellEnd"/>
      <w:r w:rsidRPr="003B523B">
        <w:rPr>
          <w:lang w:val="en-US"/>
        </w:rPr>
        <w:t xml:space="preserve">, F.; </w:t>
      </w:r>
      <w:proofErr w:type="spellStart"/>
      <w:r w:rsidRPr="003B523B">
        <w:rPr>
          <w:lang w:val="en-US"/>
        </w:rPr>
        <w:t>Vacher</w:t>
      </w:r>
      <w:proofErr w:type="spellEnd"/>
      <w:r w:rsidRPr="003B523B">
        <w:rPr>
          <w:lang w:val="en-US"/>
        </w:rPr>
        <w:t xml:space="preserve">, M.; Tebbutt, S.J.; Cao, K.A.L. DIABLO: An Integrative Approach for Identifying Key Molecular Drivers from Multi-Omics Assays. </w:t>
      </w:r>
      <w:r w:rsidRPr="003B523B">
        <w:rPr>
          <w:i/>
          <w:iCs/>
          <w:lang w:val="en-US"/>
        </w:rPr>
        <w:t>Bioinformatics</w:t>
      </w:r>
      <w:r w:rsidRPr="003B523B">
        <w:rPr>
          <w:lang w:val="en-US"/>
        </w:rPr>
        <w:t xml:space="preserve"> </w:t>
      </w:r>
      <w:r w:rsidRPr="003B523B">
        <w:rPr>
          <w:b/>
          <w:bCs/>
          <w:lang w:val="en-US"/>
        </w:rPr>
        <w:t>2019</w:t>
      </w:r>
      <w:r w:rsidRPr="003B523B">
        <w:rPr>
          <w:lang w:val="en-US"/>
        </w:rPr>
        <w:t xml:space="preserve">, </w:t>
      </w:r>
      <w:r w:rsidRPr="003B523B">
        <w:rPr>
          <w:i/>
          <w:iCs/>
          <w:lang w:val="en-US"/>
        </w:rPr>
        <w:t>35</w:t>
      </w:r>
      <w:r w:rsidRPr="003B523B">
        <w:rPr>
          <w:lang w:val="en-US"/>
        </w:rPr>
        <w:t>, 3055–3062, doi:10.1093/bioinformatics/bty1054.</w:t>
      </w:r>
    </w:p>
    <w:p w14:paraId="5A8588AA" w14:textId="21DC079E" w:rsidR="00097466" w:rsidRDefault="00000000" w:rsidP="003B523B">
      <w:pPr>
        <w:spacing w:before="0" w:after="0" w:line="240" w:lineRule="auto"/>
      </w:pPr>
      <w:r w:rsidRPr="009008F7">
        <w:rPr>
          <w:color w:val="000000"/>
          <w:lang w:val="en-US"/>
        </w:rPr>
        <w:t> </w:t>
      </w:r>
      <w:bookmarkStart w:id="196" w:name="_heading=h.yntbtf8innoj" w:colFirst="0" w:colLast="0"/>
      <w:bookmarkEnd w:id="196"/>
    </w:p>
    <w:sectPr w:rsidR="00097466">
      <w:footerReference w:type="first" r:id="rId59"/>
      <w:pgSz w:w="11907" w:h="16840"/>
      <w:pgMar w:top="1418" w:right="1701" w:bottom="1418"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53FEBC" w14:textId="77777777" w:rsidR="00B75D6A" w:rsidRDefault="00B75D6A">
      <w:pPr>
        <w:spacing w:before="0" w:after="0" w:line="240" w:lineRule="auto"/>
      </w:pPr>
      <w:r>
        <w:separator/>
      </w:r>
    </w:p>
  </w:endnote>
  <w:endnote w:type="continuationSeparator" w:id="0">
    <w:p w14:paraId="3F8CA0F3" w14:textId="77777777" w:rsidR="00B75D6A" w:rsidRDefault="00B75D6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embedRegular r:id="rId1" w:fontKey="{A60E791C-25DF-C440-B15A-5784F4FBDCBD}"/>
  </w:font>
  <w:font w:name="Times New Roman">
    <w:panose1 w:val="02020603050405020304"/>
    <w:charset w:val="00"/>
    <w:family w:val="roman"/>
    <w:pitch w:val="variable"/>
    <w:sig w:usb0="E0002EFF" w:usb1="C000785B" w:usb2="00000009" w:usb3="00000000" w:csb0="000001FF" w:csb1="00000000"/>
    <w:embedRegular r:id="rId2" w:fontKey="{D394DB3F-2CBB-D04D-BE44-0A4863033168}"/>
    <w:embedBold r:id="rId3" w:fontKey="{161DBEB6-3C80-4947-97F6-E6C7D8291A09}"/>
  </w:font>
  <w:font w:name="Courier New">
    <w:panose1 w:val="02070309020205020404"/>
    <w:charset w:val="00"/>
    <w:family w:val="modern"/>
    <w:pitch w:val="fixed"/>
    <w:sig w:usb0="E0002AFF" w:usb1="C0007843" w:usb2="00000009" w:usb3="00000000" w:csb0="000001FF" w:csb1="00000000"/>
    <w:embedRegular r:id="rId4" w:fontKey="{C5C343DD-3A0F-BC4D-BB04-EDF003281F80}"/>
  </w:font>
  <w:font w:name="Symbol">
    <w:panose1 w:val="05050102010706020507"/>
    <w:charset w:val="02"/>
    <w:family w:val="decorative"/>
    <w:pitch w:val="variable"/>
    <w:sig w:usb0="00000003" w:usb1="10000000" w:usb2="00000000" w:usb3="00000000" w:csb0="80000001" w:csb1="00000000"/>
    <w:embedRegular r:id="rId5" w:fontKey="{DDF8069D-E86E-6341-AF27-EC1B2EAE77E0}"/>
  </w:font>
  <w:font w:name="Calibri">
    <w:panose1 w:val="020F0502020204030204"/>
    <w:charset w:val="00"/>
    <w:family w:val="swiss"/>
    <w:pitch w:val="variable"/>
    <w:sig w:usb0="E1002AFF" w:usb1="C000ACFF" w:usb2="00000009" w:usb3="00000000" w:csb0="000001FF" w:csb1="00000000"/>
    <w:embedRegular r:id="rId6" w:fontKey="{5CD169CC-8500-EC40-BB04-B7CCC3E96B6C}"/>
    <w:embedBold r:id="rId7" w:fontKey="{62C9AA91-78D2-3548-854F-89C48BA6C59A}"/>
    <w:embedItalic r:id="rId8" w:fontKey="{27AA4786-7EA8-1247-B4FE-F45BA2A6E72C}"/>
  </w:font>
  <w:font w:name="Noto Sans Symbol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Italic r:id="rId10" w:fontKey="{28E3E727-04A4-5741-9020-AD9E04F8591A}"/>
  </w:font>
  <w:font w:name="Arial">
    <w:panose1 w:val="020B0604020202020204"/>
    <w:charset w:val="00"/>
    <w:family w:val="swiss"/>
    <w:pitch w:val="variable"/>
    <w:sig w:usb0="E0002AFF" w:usb1="C0007843" w:usb2="00000009" w:usb3="00000000" w:csb0="000001FF" w:csb1="00000000"/>
    <w:embedRegular r:id="rId11" w:fontKey="{B042BEBA-4F88-1B4E-ACD2-8AABB8A5571C}"/>
  </w:font>
  <w:font w:name="Cambria">
    <w:panose1 w:val="02040503050406030204"/>
    <w:charset w:val="00"/>
    <w:family w:val="roman"/>
    <w:pitch w:val="variable"/>
    <w:sig w:usb0="E00002FF" w:usb1="400004FF" w:usb2="00000000" w:usb3="00000000" w:csb0="0000019F" w:csb1="00000000"/>
    <w:embedRegular r:id="rId12" w:fontKey="{69EB6DCC-E5A8-4C44-8BC2-307962FD52CE}"/>
  </w:font>
  <w:font w:name="Cambria Math">
    <w:panose1 w:val="02040503050406030204"/>
    <w:charset w:val="00"/>
    <w:family w:val="roman"/>
    <w:pitch w:val="variable"/>
    <w:sig w:usb0="E00002FF" w:usb1="420024FF" w:usb2="00000000" w:usb3="00000000" w:csb0="0000019F" w:csb1="00000000"/>
    <w:embedRegular r:id="rId13" w:fontKey="{5363B1DA-4796-F24F-A5C1-FD186E24DAF0}"/>
    <w:embedBold r:id="rId14" w:fontKey="{2F8FFA8E-6D0A-BF45-935F-F2785301683B}"/>
    <w:embedItalic r:id="rId15" w:fontKey="{EA0F7D8A-F0E0-ED45-9591-F26AB6488C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4B0F6" w14:textId="77777777" w:rsidR="00097466" w:rsidRDefault="00000000">
    <w:pPr>
      <w:pBdr>
        <w:top w:val="nil"/>
        <w:left w:val="nil"/>
        <w:bottom w:val="nil"/>
        <w:right w:val="nil"/>
        <w:between w:val="nil"/>
      </w:pBdr>
      <w:tabs>
        <w:tab w:val="center" w:pos="4252"/>
        <w:tab w:val="right" w:pos="8504"/>
      </w:tabs>
      <w:ind w:hanging="2"/>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B55B597" w14:textId="77777777" w:rsidR="00097466" w:rsidRDefault="00097466">
    <w:pPr>
      <w:pBdr>
        <w:top w:val="nil"/>
        <w:left w:val="nil"/>
        <w:bottom w:val="nil"/>
        <w:right w:val="nil"/>
        <w:between w:val="nil"/>
      </w:pBdr>
      <w:tabs>
        <w:tab w:val="center" w:pos="4252"/>
        <w:tab w:val="right" w:pos="8504"/>
      </w:tabs>
      <w:ind w:right="360" w:hanging="2"/>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44170" w14:textId="77777777" w:rsidR="00097466" w:rsidRDefault="00097466">
    <w:pPr>
      <w:pBdr>
        <w:top w:val="nil"/>
        <w:left w:val="nil"/>
        <w:bottom w:val="nil"/>
        <w:right w:val="nil"/>
        <w:between w:val="nil"/>
      </w:pBdr>
      <w:tabs>
        <w:tab w:val="center" w:pos="4252"/>
        <w:tab w:val="right" w:pos="8504"/>
      </w:tabs>
      <w:ind w:hanging="2"/>
      <w:jc w:val="center"/>
      <w:rPr>
        <w:color w:val="000000"/>
      </w:rPr>
    </w:pPr>
  </w:p>
  <w:p w14:paraId="5DAF5854" w14:textId="77777777" w:rsidR="00097466" w:rsidRDefault="00097466">
    <w:pPr>
      <w:pBdr>
        <w:top w:val="nil"/>
        <w:left w:val="nil"/>
        <w:bottom w:val="nil"/>
        <w:right w:val="nil"/>
        <w:between w:val="nil"/>
      </w:pBdr>
      <w:tabs>
        <w:tab w:val="center" w:pos="4252"/>
        <w:tab w:val="right" w:pos="8504"/>
      </w:tabs>
      <w:ind w:hanging="2"/>
      <w:jc w:val="right"/>
      <w:rPr>
        <w:color w:val="000000"/>
      </w:rPr>
    </w:pPr>
  </w:p>
  <w:p w14:paraId="2ADC64E9" w14:textId="77777777" w:rsidR="00097466" w:rsidRDefault="00097466">
    <w:pPr>
      <w:pBdr>
        <w:top w:val="nil"/>
        <w:left w:val="nil"/>
        <w:bottom w:val="nil"/>
        <w:right w:val="nil"/>
        <w:between w:val="nil"/>
      </w:pBdr>
      <w:tabs>
        <w:tab w:val="center" w:pos="4252"/>
        <w:tab w:val="right" w:pos="8504"/>
      </w:tabs>
      <w:ind w:right="360" w:hanging="2"/>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BA45B" w14:textId="77777777" w:rsidR="00097466" w:rsidRDefault="00097466">
    <w:pPr>
      <w:pBdr>
        <w:top w:val="nil"/>
        <w:left w:val="nil"/>
        <w:bottom w:val="nil"/>
        <w:right w:val="nil"/>
        <w:between w:val="nil"/>
      </w:pBdr>
      <w:tabs>
        <w:tab w:val="center" w:pos="4252"/>
        <w:tab w:val="right" w:pos="8504"/>
      </w:tabs>
      <w:ind w:hanging="2"/>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2CB15" w14:textId="77777777" w:rsidR="00097466" w:rsidRDefault="00097466" w:rsidP="00544557">
    <w:pPr>
      <w:pBdr>
        <w:top w:val="nil"/>
        <w:left w:val="nil"/>
        <w:bottom w:val="nil"/>
        <w:right w:val="nil"/>
        <w:between w:val="nil"/>
      </w:pBdr>
      <w:tabs>
        <w:tab w:val="center" w:pos="4252"/>
        <w:tab w:val="right" w:pos="8504"/>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E4DA" w14:textId="77777777" w:rsidR="00097466" w:rsidRDefault="00097466">
    <w:pPr>
      <w:pBdr>
        <w:top w:val="nil"/>
        <w:left w:val="nil"/>
        <w:bottom w:val="nil"/>
        <w:right w:val="nil"/>
        <w:between w:val="nil"/>
      </w:pBdr>
      <w:tabs>
        <w:tab w:val="center" w:pos="4252"/>
        <w:tab w:val="right" w:pos="8504"/>
      </w:tabs>
      <w:ind w:hanging="2"/>
      <w:jc w:val="center"/>
      <w:rPr>
        <w:color w:val="000000"/>
      </w:rPr>
    </w:pPr>
  </w:p>
  <w:p w14:paraId="71B5701C" w14:textId="77777777" w:rsidR="00097466" w:rsidRDefault="00097466">
    <w:pPr>
      <w:pBdr>
        <w:top w:val="nil"/>
        <w:left w:val="nil"/>
        <w:bottom w:val="nil"/>
        <w:right w:val="nil"/>
        <w:between w:val="nil"/>
      </w:pBdr>
      <w:tabs>
        <w:tab w:val="center" w:pos="4252"/>
        <w:tab w:val="right" w:pos="8504"/>
      </w:tabs>
      <w:ind w:hanging="2"/>
      <w:jc w:val="right"/>
      <w:rPr>
        <w:color w:val="000000"/>
      </w:rPr>
    </w:pPr>
  </w:p>
  <w:p w14:paraId="589AD81C" w14:textId="77777777" w:rsidR="00097466" w:rsidRDefault="00000000">
    <w:pPr>
      <w:pBdr>
        <w:top w:val="nil"/>
        <w:left w:val="nil"/>
        <w:bottom w:val="nil"/>
        <w:right w:val="nil"/>
        <w:between w:val="nil"/>
      </w:pBdr>
      <w:tabs>
        <w:tab w:val="center" w:pos="4252"/>
        <w:tab w:val="right" w:pos="8504"/>
      </w:tabs>
      <w:ind w:right="360" w:hanging="2"/>
      <w:jc w:val="center"/>
      <w:rPr>
        <w:color w:val="000000"/>
      </w:rPr>
    </w:pPr>
    <w:r>
      <w:rPr>
        <w:color w:val="000000"/>
      </w:rPr>
      <w:fldChar w:fldCharType="begin"/>
    </w:r>
    <w:r>
      <w:rPr>
        <w:color w:val="000000"/>
      </w:rPr>
      <w:instrText>PAGE</w:instrText>
    </w:r>
    <w:r>
      <w:rPr>
        <w:color w:val="000000"/>
      </w:rPr>
      <w:fldChar w:fldCharType="separate"/>
    </w:r>
    <w:r w:rsidR="009008F7">
      <w:rPr>
        <w:noProof/>
        <w:color w:val="000000"/>
      </w:rPr>
      <w:t>2</w: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83EF9" w14:textId="77777777" w:rsidR="00097466" w:rsidRDefault="00000000">
    <w:pPr>
      <w:pBdr>
        <w:top w:val="nil"/>
        <w:left w:val="nil"/>
        <w:bottom w:val="nil"/>
        <w:right w:val="nil"/>
        <w:between w:val="nil"/>
      </w:pBdr>
      <w:tabs>
        <w:tab w:val="center" w:pos="4252"/>
        <w:tab w:val="right" w:pos="8504"/>
      </w:tabs>
      <w:ind w:hanging="2"/>
      <w:jc w:val="center"/>
      <w:rPr>
        <w:color w:val="000000"/>
      </w:rPr>
    </w:pPr>
    <w:r>
      <w:rPr>
        <w:color w:val="000000"/>
      </w:rPr>
      <w:fldChar w:fldCharType="begin"/>
    </w:r>
    <w:r>
      <w:rPr>
        <w:color w:val="000000"/>
      </w:rPr>
      <w:instrText>PAGE</w:instrText>
    </w:r>
    <w:r>
      <w:rPr>
        <w:color w:val="000000"/>
      </w:rPr>
      <w:fldChar w:fldCharType="separate"/>
    </w:r>
    <w:r w:rsidR="009008F7">
      <w:rPr>
        <w:noProof/>
        <w:color w:val="000000"/>
      </w:rPr>
      <w:t>1</w:t>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11DEE" w14:textId="77777777" w:rsidR="00097466" w:rsidRDefault="00097466">
    <w:pPr>
      <w:pBdr>
        <w:top w:val="nil"/>
        <w:left w:val="nil"/>
        <w:bottom w:val="nil"/>
        <w:right w:val="nil"/>
        <w:between w:val="nil"/>
      </w:pBdr>
      <w:tabs>
        <w:tab w:val="center" w:pos="4252"/>
        <w:tab w:val="right" w:pos="8504"/>
      </w:tabs>
      <w:rPr>
        <w:color w:val="000000"/>
        <w:sz w:val="21"/>
        <w:szCs w:val="21"/>
      </w:rPr>
    </w:pPr>
  </w:p>
  <w:p w14:paraId="2EC5FF71" w14:textId="77777777" w:rsidR="00097466" w:rsidRDefault="00000000">
    <w:pPr>
      <w:jc w:val="right"/>
      <w:rPr>
        <w:sz w:val="21"/>
        <w:szCs w:val="21"/>
      </w:rPr>
    </w:pPr>
    <w:r>
      <w:rPr>
        <w:sz w:val="21"/>
        <w:szCs w:val="21"/>
      </w:rPr>
      <w:fldChar w:fldCharType="begin"/>
    </w:r>
    <w:r>
      <w:rPr>
        <w:sz w:val="21"/>
        <w:szCs w:val="21"/>
      </w:rPr>
      <w:instrText>PAGE</w:instrText>
    </w:r>
    <w:r>
      <w:rPr>
        <w:sz w:val="21"/>
        <w:szCs w:val="21"/>
      </w:rPr>
      <w:fldChar w:fldCharType="separate"/>
    </w:r>
    <w:r w:rsidR="009008F7">
      <w:rPr>
        <w:noProof/>
        <w:sz w:val="21"/>
        <w:szCs w:val="21"/>
      </w:rPr>
      <w:t>4</w:t>
    </w:r>
    <w:r>
      <w:rPr>
        <w:sz w:val="21"/>
        <w:szCs w:val="21"/>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75190" w14:textId="77777777" w:rsidR="00097466" w:rsidRDefault="00097466">
    <w:pPr>
      <w:pBdr>
        <w:top w:val="nil"/>
        <w:left w:val="nil"/>
        <w:bottom w:val="nil"/>
        <w:right w:val="nil"/>
        <w:between w:val="nil"/>
      </w:pBdr>
      <w:tabs>
        <w:tab w:val="center" w:pos="4252"/>
        <w:tab w:val="right" w:pos="8504"/>
      </w:tabs>
      <w:ind w:hanging="2"/>
      <w:rPr>
        <w:color w:val="000000"/>
      </w:rPr>
    </w:pPr>
  </w:p>
  <w:p w14:paraId="2AC0B098" w14:textId="77777777" w:rsidR="00097466" w:rsidRDefault="00000000">
    <w:pPr>
      <w:pBdr>
        <w:top w:val="nil"/>
        <w:left w:val="nil"/>
        <w:bottom w:val="nil"/>
        <w:right w:val="nil"/>
        <w:between w:val="nil"/>
      </w:pBdr>
      <w:tabs>
        <w:tab w:val="center" w:pos="4252"/>
        <w:tab w:val="right" w:pos="8504"/>
      </w:tabs>
      <w:ind w:hanging="2"/>
      <w:jc w:val="center"/>
      <w:rPr>
        <w:color w:val="000000"/>
      </w:rPr>
    </w:pPr>
    <w:r>
      <w:rPr>
        <w:color w:val="000000"/>
      </w:rPr>
      <w:fldChar w:fldCharType="begin"/>
    </w:r>
    <w:r>
      <w:rPr>
        <w:color w:val="000000"/>
      </w:rPr>
      <w:instrText>PAGE</w:instrText>
    </w:r>
    <w:r>
      <w:rPr>
        <w:color w:val="000000"/>
      </w:rPr>
      <w:fldChar w:fldCharType="separate"/>
    </w:r>
    <w:r w:rsidR="009008F7">
      <w:rPr>
        <w:noProof/>
        <w:color w:val="000000"/>
      </w:rPr>
      <w:t>3</w:t>
    </w:r>
    <w:r>
      <w:rPr>
        <w:color w:val="00000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A7799" w14:textId="77777777" w:rsidR="00097466" w:rsidRDefault="00097466">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BB5D9" w14:textId="77777777" w:rsidR="00B75D6A" w:rsidRDefault="00B75D6A">
      <w:pPr>
        <w:spacing w:before="0" w:after="0" w:line="240" w:lineRule="auto"/>
      </w:pPr>
      <w:r>
        <w:separator/>
      </w:r>
    </w:p>
  </w:footnote>
  <w:footnote w:type="continuationSeparator" w:id="0">
    <w:p w14:paraId="40FD6B23" w14:textId="77777777" w:rsidR="00B75D6A" w:rsidRDefault="00B75D6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B6B04" w14:textId="77777777" w:rsidR="00097466" w:rsidRDefault="00000000">
    <w:pPr>
      <w:pBdr>
        <w:top w:val="nil"/>
        <w:left w:val="nil"/>
        <w:bottom w:val="nil"/>
        <w:right w:val="nil"/>
        <w:between w:val="nil"/>
      </w:pBdr>
      <w:tabs>
        <w:tab w:val="center" w:pos="4252"/>
        <w:tab w:val="right" w:pos="8504"/>
      </w:tabs>
      <w:ind w:hanging="2"/>
      <w:rPr>
        <w:color w:val="000000"/>
      </w:rPr>
    </w:pPr>
    <w:r>
      <w:rPr>
        <w:noProof/>
      </w:rPr>
      <w:drawing>
        <wp:anchor distT="0" distB="0" distL="0" distR="0" simplePos="0" relativeHeight="251658240" behindDoc="1" locked="0" layoutInCell="1" hidden="0" allowOverlap="1" wp14:anchorId="4B750954" wp14:editId="63F3A731">
          <wp:simplePos x="0" y="0"/>
          <wp:positionH relativeFrom="column">
            <wp:posOffset>-287017</wp:posOffset>
          </wp:positionH>
          <wp:positionV relativeFrom="paragraph">
            <wp:posOffset>-632</wp:posOffset>
          </wp:positionV>
          <wp:extent cx="6123305" cy="422275"/>
          <wp:effectExtent l="0" t="0" r="0" b="0"/>
          <wp:wrapNone/>
          <wp:docPr id="132125739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
                  <a:srcRect r="9877"/>
                  <a:stretch>
                    <a:fillRect/>
                  </a:stretch>
                </pic:blipFill>
                <pic:spPr>
                  <a:xfrm>
                    <a:off x="0" y="0"/>
                    <a:ext cx="6123305" cy="4222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A85"/>
    <w:multiLevelType w:val="hybridMultilevel"/>
    <w:tmpl w:val="9A58C5B4"/>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0F01FDC"/>
    <w:multiLevelType w:val="hybridMultilevel"/>
    <w:tmpl w:val="00EC957A"/>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21C1AC2"/>
    <w:multiLevelType w:val="hybridMultilevel"/>
    <w:tmpl w:val="92704E90"/>
    <w:lvl w:ilvl="0" w:tplc="040A0011">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41E1825"/>
    <w:multiLevelType w:val="hybridMultilevel"/>
    <w:tmpl w:val="EA3EE248"/>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75B5285"/>
    <w:multiLevelType w:val="multilevel"/>
    <w:tmpl w:val="3D344BBC"/>
    <w:lvl w:ilvl="0">
      <w:start w:val="1"/>
      <w:numFmt w:val="bullet"/>
      <w:lvlText w:val="▪"/>
      <w:lvlJc w:val="left"/>
      <w:pPr>
        <w:ind w:left="720" w:hanging="360"/>
      </w:pPr>
      <w:rPr>
        <w:rFonts w:ascii="Calibri" w:eastAsia="Noto Sans Symbols"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7870114"/>
    <w:multiLevelType w:val="hybridMultilevel"/>
    <w:tmpl w:val="0FB6FC2E"/>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07DA5E1E"/>
    <w:multiLevelType w:val="hybridMultilevel"/>
    <w:tmpl w:val="E8FA5278"/>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0C930E9D"/>
    <w:multiLevelType w:val="multilevel"/>
    <w:tmpl w:val="88688C56"/>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14F488C"/>
    <w:multiLevelType w:val="multilevel"/>
    <w:tmpl w:val="5B4AA82E"/>
    <w:lvl w:ilvl="0">
      <w:start w:val="1"/>
      <w:numFmt w:val="bullet"/>
      <w:lvlText w:val="▪"/>
      <w:lvlJc w:val="left"/>
      <w:pPr>
        <w:ind w:left="720" w:hanging="360"/>
      </w:pPr>
      <w:rPr>
        <w:rFonts w:ascii="Calibri" w:eastAsia="Noto Sans Symbols"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23D5D6D"/>
    <w:multiLevelType w:val="hybridMultilevel"/>
    <w:tmpl w:val="EBB2BC5A"/>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135E22A7"/>
    <w:multiLevelType w:val="hybridMultilevel"/>
    <w:tmpl w:val="1F2ADDB8"/>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149B25DA"/>
    <w:multiLevelType w:val="multilevel"/>
    <w:tmpl w:val="98A6C5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2D21E5"/>
    <w:multiLevelType w:val="hybridMultilevel"/>
    <w:tmpl w:val="282A4490"/>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18040E25"/>
    <w:multiLevelType w:val="hybridMultilevel"/>
    <w:tmpl w:val="A6D833D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1ABA1A1F"/>
    <w:multiLevelType w:val="hybridMultilevel"/>
    <w:tmpl w:val="02F028C2"/>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1F6E63A7"/>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07B3527"/>
    <w:multiLevelType w:val="multilevel"/>
    <w:tmpl w:val="8B42DBD4"/>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17" w15:restartNumberingAfterBreak="0">
    <w:nsid w:val="2271050B"/>
    <w:multiLevelType w:val="hybridMultilevel"/>
    <w:tmpl w:val="5778FDAE"/>
    <w:lvl w:ilvl="0" w:tplc="040A000F">
      <w:start w:val="1"/>
      <w:numFmt w:val="decimal"/>
      <w:lvlText w:val="%1."/>
      <w:lvlJc w:val="left"/>
      <w:pPr>
        <w:ind w:left="718" w:hanging="360"/>
      </w:pPr>
    </w:lvl>
    <w:lvl w:ilvl="1" w:tplc="040A0019" w:tentative="1">
      <w:start w:val="1"/>
      <w:numFmt w:val="lowerLetter"/>
      <w:lvlText w:val="%2."/>
      <w:lvlJc w:val="left"/>
      <w:pPr>
        <w:ind w:left="1438" w:hanging="360"/>
      </w:pPr>
    </w:lvl>
    <w:lvl w:ilvl="2" w:tplc="040A001B" w:tentative="1">
      <w:start w:val="1"/>
      <w:numFmt w:val="lowerRoman"/>
      <w:lvlText w:val="%3."/>
      <w:lvlJc w:val="right"/>
      <w:pPr>
        <w:ind w:left="2158" w:hanging="180"/>
      </w:pPr>
    </w:lvl>
    <w:lvl w:ilvl="3" w:tplc="040A000F" w:tentative="1">
      <w:start w:val="1"/>
      <w:numFmt w:val="decimal"/>
      <w:lvlText w:val="%4."/>
      <w:lvlJc w:val="left"/>
      <w:pPr>
        <w:ind w:left="2878" w:hanging="360"/>
      </w:pPr>
    </w:lvl>
    <w:lvl w:ilvl="4" w:tplc="040A0019" w:tentative="1">
      <w:start w:val="1"/>
      <w:numFmt w:val="lowerLetter"/>
      <w:lvlText w:val="%5."/>
      <w:lvlJc w:val="left"/>
      <w:pPr>
        <w:ind w:left="3598" w:hanging="360"/>
      </w:pPr>
    </w:lvl>
    <w:lvl w:ilvl="5" w:tplc="040A001B" w:tentative="1">
      <w:start w:val="1"/>
      <w:numFmt w:val="lowerRoman"/>
      <w:lvlText w:val="%6."/>
      <w:lvlJc w:val="right"/>
      <w:pPr>
        <w:ind w:left="4318" w:hanging="180"/>
      </w:pPr>
    </w:lvl>
    <w:lvl w:ilvl="6" w:tplc="040A000F" w:tentative="1">
      <w:start w:val="1"/>
      <w:numFmt w:val="decimal"/>
      <w:lvlText w:val="%7."/>
      <w:lvlJc w:val="left"/>
      <w:pPr>
        <w:ind w:left="5038" w:hanging="360"/>
      </w:pPr>
    </w:lvl>
    <w:lvl w:ilvl="7" w:tplc="040A0019" w:tentative="1">
      <w:start w:val="1"/>
      <w:numFmt w:val="lowerLetter"/>
      <w:lvlText w:val="%8."/>
      <w:lvlJc w:val="left"/>
      <w:pPr>
        <w:ind w:left="5758" w:hanging="360"/>
      </w:pPr>
    </w:lvl>
    <w:lvl w:ilvl="8" w:tplc="040A001B" w:tentative="1">
      <w:start w:val="1"/>
      <w:numFmt w:val="lowerRoman"/>
      <w:lvlText w:val="%9."/>
      <w:lvlJc w:val="right"/>
      <w:pPr>
        <w:ind w:left="6478" w:hanging="180"/>
      </w:pPr>
    </w:lvl>
  </w:abstractNum>
  <w:abstractNum w:abstractNumId="18" w15:restartNumberingAfterBreak="0">
    <w:nsid w:val="23714CCC"/>
    <w:multiLevelType w:val="multilevel"/>
    <w:tmpl w:val="E13A1D98"/>
    <w:lvl w:ilvl="0">
      <w:start w:val="3"/>
      <w:numFmt w:val="decimal"/>
      <w:lvlText w:val="%1."/>
      <w:lvlJc w:val="left"/>
      <w:pPr>
        <w:ind w:left="360" w:hanging="360"/>
      </w:pPr>
    </w:lvl>
    <w:lvl w:ilvl="1">
      <w:start w:val="1"/>
      <w:numFmt w:val="decimal"/>
      <w:lvlText w:val="%1.%2."/>
      <w:lvlJc w:val="left"/>
      <w:pPr>
        <w:ind w:left="1211" w:hanging="360"/>
      </w:pPr>
    </w:lvl>
    <w:lvl w:ilvl="2">
      <w:start w:val="1"/>
      <w:numFmt w:val="decimal"/>
      <w:lvlText w:val="%1.%2.%3."/>
      <w:lvlJc w:val="left"/>
      <w:pPr>
        <w:ind w:left="3600" w:hanging="720"/>
      </w:pPr>
    </w:lvl>
    <w:lvl w:ilvl="3">
      <w:start w:val="1"/>
      <w:numFmt w:val="decimal"/>
      <w:lvlText w:val="%1.%2.%3.%4."/>
      <w:lvlJc w:val="left"/>
      <w:pPr>
        <w:ind w:left="5040" w:hanging="720"/>
      </w:pPr>
    </w:lvl>
    <w:lvl w:ilvl="4">
      <w:start w:val="1"/>
      <w:numFmt w:val="decimal"/>
      <w:lvlText w:val="%1.%2.%3.%4.%5."/>
      <w:lvlJc w:val="left"/>
      <w:pPr>
        <w:ind w:left="6840" w:hanging="1080"/>
      </w:pPr>
    </w:lvl>
    <w:lvl w:ilvl="5">
      <w:start w:val="1"/>
      <w:numFmt w:val="decimal"/>
      <w:lvlText w:val="%1.%2.%3.%4.%5.%6."/>
      <w:lvlJc w:val="left"/>
      <w:pPr>
        <w:ind w:left="8280" w:hanging="1080"/>
      </w:pPr>
    </w:lvl>
    <w:lvl w:ilvl="6">
      <w:start w:val="1"/>
      <w:numFmt w:val="decimal"/>
      <w:lvlText w:val="%1.%2.%3.%4.%5.%6.%7."/>
      <w:lvlJc w:val="left"/>
      <w:pPr>
        <w:ind w:left="10080" w:hanging="1440"/>
      </w:pPr>
    </w:lvl>
    <w:lvl w:ilvl="7">
      <w:start w:val="1"/>
      <w:numFmt w:val="decimal"/>
      <w:lvlText w:val="%1.%2.%3.%4.%5.%6.%7.%8."/>
      <w:lvlJc w:val="left"/>
      <w:pPr>
        <w:ind w:left="11520" w:hanging="1440"/>
      </w:pPr>
    </w:lvl>
    <w:lvl w:ilvl="8">
      <w:start w:val="1"/>
      <w:numFmt w:val="decimal"/>
      <w:lvlText w:val="%1.%2.%3.%4.%5.%6.%7.%8.%9."/>
      <w:lvlJc w:val="left"/>
      <w:pPr>
        <w:ind w:left="13320" w:hanging="1800"/>
      </w:pPr>
    </w:lvl>
  </w:abstractNum>
  <w:abstractNum w:abstractNumId="19" w15:restartNumberingAfterBreak="0">
    <w:nsid w:val="254344B3"/>
    <w:multiLevelType w:val="multilevel"/>
    <w:tmpl w:val="88688C56"/>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27E64D82"/>
    <w:multiLevelType w:val="hybridMultilevel"/>
    <w:tmpl w:val="4BF8E56A"/>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2AB06F9E"/>
    <w:multiLevelType w:val="multilevel"/>
    <w:tmpl w:val="B492DDC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2" w15:restartNumberingAfterBreak="0">
    <w:nsid w:val="2AC6215D"/>
    <w:multiLevelType w:val="multilevel"/>
    <w:tmpl w:val="32E28D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AFC3102"/>
    <w:multiLevelType w:val="multilevel"/>
    <w:tmpl w:val="F03AAB9E"/>
    <w:lvl w:ilvl="0">
      <w:start w:val="1"/>
      <w:numFmt w:val="bullet"/>
      <w:lvlText w:val="▪"/>
      <w:lvlJc w:val="left"/>
      <w:pPr>
        <w:ind w:left="720" w:hanging="360"/>
      </w:pPr>
      <w:rPr>
        <w:rFonts w:ascii="Calibri" w:eastAsia="Noto Sans Symbols"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B896E34"/>
    <w:multiLevelType w:val="multilevel"/>
    <w:tmpl w:val="0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1A71A32"/>
    <w:multiLevelType w:val="hybridMultilevel"/>
    <w:tmpl w:val="6A6E78BE"/>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33F44335"/>
    <w:multiLevelType w:val="hybridMultilevel"/>
    <w:tmpl w:val="325C70E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35B219B7"/>
    <w:multiLevelType w:val="multilevel"/>
    <w:tmpl w:val="9990D560"/>
    <w:lvl w:ilvl="0">
      <w:start w:val="1"/>
      <w:numFmt w:val="bullet"/>
      <w:lvlText w:val="▪"/>
      <w:lvlJc w:val="left"/>
      <w:pPr>
        <w:ind w:left="720" w:hanging="360"/>
      </w:pPr>
      <w:rPr>
        <w:rFonts w:ascii="Calibri" w:eastAsia="Noto Sans Symbols"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69A6002"/>
    <w:multiLevelType w:val="hybridMultilevel"/>
    <w:tmpl w:val="F2A42AEE"/>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386825AA"/>
    <w:multiLevelType w:val="multilevel"/>
    <w:tmpl w:val="CAB8962C"/>
    <w:lvl w:ilvl="0">
      <w:start w:val="1"/>
      <w:numFmt w:val="bullet"/>
      <w:lvlText w:val="▪"/>
      <w:lvlJc w:val="left"/>
      <w:pPr>
        <w:ind w:left="720" w:hanging="360"/>
      </w:pPr>
      <w:rPr>
        <w:rFonts w:ascii="Calibri" w:eastAsia="Noto Sans Symbols" w:hAnsi="Calibri" w:cs="Calibri" w:hint="default"/>
      </w:rPr>
    </w:lvl>
    <w:lvl w:ilvl="1">
      <w:start w:val="1"/>
      <w:numFmt w:val="bullet"/>
      <w:lvlText w:val="▪"/>
      <w:lvlJc w:val="left"/>
      <w:pPr>
        <w:ind w:left="718"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9A76E94"/>
    <w:multiLevelType w:val="multilevel"/>
    <w:tmpl w:val="07B2B1A4"/>
    <w:lvl w:ilvl="0">
      <w:start w:val="1"/>
      <w:numFmt w:val="bullet"/>
      <w:lvlText w:val="▪"/>
      <w:lvlJc w:val="left"/>
      <w:pPr>
        <w:ind w:left="720" w:hanging="360"/>
      </w:pPr>
      <w:rPr>
        <w:rFonts w:ascii="Calibri" w:eastAsia="Noto Sans Symbols"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CF6606F"/>
    <w:multiLevelType w:val="hybridMultilevel"/>
    <w:tmpl w:val="9CAC2126"/>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3E9B08EA"/>
    <w:multiLevelType w:val="multilevel"/>
    <w:tmpl w:val="6E74E2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3F1007D6"/>
    <w:multiLevelType w:val="hybridMultilevel"/>
    <w:tmpl w:val="8A241344"/>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4" w15:restartNumberingAfterBreak="0">
    <w:nsid w:val="43583EBB"/>
    <w:multiLevelType w:val="hybridMultilevel"/>
    <w:tmpl w:val="A524DF82"/>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4C0E7D62"/>
    <w:multiLevelType w:val="hybridMultilevel"/>
    <w:tmpl w:val="F6FE11D4"/>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4D916A0A"/>
    <w:multiLevelType w:val="multilevel"/>
    <w:tmpl w:val="88688C56"/>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4E085715"/>
    <w:multiLevelType w:val="multilevel"/>
    <w:tmpl w:val="226E36C6"/>
    <w:lvl w:ilvl="0">
      <w:start w:val="1"/>
      <w:numFmt w:val="bullet"/>
      <w:lvlText w:val="▪"/>
      <w:lvlJc w:val="left"/>
      <w:pPr>
        <w:ind w:left="720" w:hanging="360"/>
      </w:pPr>
      <w:rPr>
        <w:rFonts w:ascii="Calibri" w:eastAsia="Noto Sans Symbols"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0A6336F"/>
    <w:multiLevelType w:val="multilevel"/>
    <w:tmpl w:val="5BD0B82E"/>
    <w:lvl w:ilvl="0">
      <w:start w:val="1"/>
      <w:numFmt w:val="bullet"/>
      <w:lvlText w:val="▪"/>
      <w:lvlJc w:val="left"/>
      <w:pPr>
        <w:ind w:left="720" w:hanging="360"/>
      </w:pPr>
      <w:rPr>
        <w:rFonts w:ascii="Calibri" w:eastAsia="Noto Sans Symbols"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599C101A"/>
    <w:multiLevelType w:val="multilevel"/>
    <w:tmpl w:val="EA98807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786" w:hanging="360"/>
      </w:pPr>
      <w:rPr>
        <w:u w:val="none"/>
      </w:rPr>
    </w:lvl>
  </w:abstractNum>
  <w:abstractNum w:abstractNumId="40" w15:restartNumberingAfterBreak="0">
    <w:nsid w:val="5AED0783"/>
    <w:multiLevelType w:val="hybridMultilevel"/>
    <w:tmpl w:val="9B8CE28A"/>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5D164FC0"/>
    <w:multiLevelType w:val="hybridMultilevel"/>
    <w:tmpl w:val="7D0461C8"/>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5E907EE6"/>
    <w:multiLevelType w:val="hybridMultilevel"/>
    <w:tmpl w:val="034A9E26"/>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3" w15:restartNumberingAfterBreak="0">
    <w:nsid w:val="60624DA9"/>
    <w:multiLevelType w:val="hybridMultilevel"/>
    <w:tmpl w:val="08E0F776"/>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64683C17"/>
    <w:multiLevelType w:val="multilevel"/>
    <w:tmpl w:val="88688C56"/>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66187211"/>
    <w:multiLevelType w:val="hybridMultilevel"/>
    <w:tmpl w:val="79AA13B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6" w15:restartNumberingAfterBreak="0">
    <w:nsid w:val="6C357D44"/>
    <w:multiLevelType w:val="multilevel"/>
    <w:tmpl w:val="E20CA1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CD504AF"/>
    <w:multiLevelType w:val="multilevel"/>
    <w:tmpl w:val="E9FC1A6C"/>
    <w:lvl w:ilvl="0">
      <w:start w:val="1"/>
      <w:numFmt w:val="bullet"/>
      <w:lvlText w:val="▪"/>
      <w:lvlJc w:val="left"/>
      <w:pPr>
        <w:ind w:left="720" w:hanging="360"/>
      </w:pPr>
      <w:rPr>
        <w:rFonts w:ascii="Calibri" w:eastAsia="Noto Sans Symbols"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6DEC4D26"/>
    <w:multiLevelType w:val="multilevel"/>
    <w:tmpl w:val="A090306E"/>
    <w:lvl w:ilvl="0">
      <w:start w:val="1"/>
      <w:numFmt w:val="bullet"/>
      <w:lvlText w:val="▪"/>
      <w:lvlJc w:val="left"/>
      <w:pPr>
        <w:ind w:left="720" w:hanging="360"/>
      </w:pPr>
      <w:rPr>
        <w:rFonts w:ascii="Calibri" w:eastAsia="Noto Sans Symbols"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0304144"/>
    <w:multiLevelType w:val="hybridMultilevel"/>
    <w:tmpl w:val="F1142D62"/>
    <w:lvl w:ilvl="0" w:tplc="F0E8A0BC">
      <w:numFmt w:val="bullet"/>
      <w:lvlText w:val="-"/>
      <w:lvlJc w:val="left"/>
      <w:pPr>
        <w:ind w:left="720" w:hanging="360"/>
      </w:pPr>
      <w:rPr>
        <w:rFonts w:ascii="Calibri" w:eastAsia="Times New Roman"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0" w15:restartNumberingAfterBreak="0">
    <w:nsid w:val="70C5113D"/>
    <w:multiLevelType w:val="hybridMultilevel"/>
    <w:tmpl w:val="F356EF9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1" w15:restartNumberingAfterBreak="0">
    <w:nsid w:val="76BF48BD"/>
    <w:multiLevelType w:val="hybridMultilevel"/>
    <w:tmpl w:val="90800D6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2" w15:restartNumberingAfterBreak="0">
    <w:nsid w:val="78761328"/>
    <w:multiLevelType w:val="multilevel"/>
    <w:tmpl w:val="495CD6CA"/>
    <w:lvl w:ilvl="0">
      <w:start w:val="1"/>
      <w:numFmt w:val="bullet"/>
      <w:lvlText w:val="▪"/>
      <w:lvlJc w:val="left"/>
      <w:pPr>
        <w:ind w:left="720" w:hanging="360"/>
      </w:pPr>
      <w:rPr>
        <w:rFonts w:ascii="Calibri" w:eastAsia="Noto Sans Symbols" w:hAnsi="Calibri" w:cs="Calibr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7AED37B2"/>
    <w:multiLevelType w:val="hybridMultilevel"/>
    <w:tmpl w:val="A7ECA74C"/>
    <w:lvl w:ilvl="0" w:tplc="040A0005">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7C3961F0"/>
    <w:multiLevelType w:val="multilevel"/>
    <w:tmpl w:val="FE56B8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7CCE39F5"/>
    <w:multiLevelType w:val="multilevel"/>
    <w:tmpl w:val="2FEAB2DA"/>
    <w:lvl w:ilvl="0">
      <w:start w:val="1"/>
      <w:numFmt w:val="bullet"/>
      <w:lvlText w:val="▪"/>
      <w:lvlJc w:val="left"/>
      <w:pPr>
        <w:ind w:left="718" w:hanging="360"/>
      </w:pPr>
      <w:rPr>
        <w:rFonts w:ascii="Calibri" w:eastAsia="Noto Sans Symbols" w:hAnsi="Calibri" w:cs="Calibri" w:hint="default"/>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num w:numId="1" w16cid:durableId="1460877818">
    <w:abstractNumId w:val="39"/>
  </w:num>
  <w:num w:numId="2" w16cid:durableId="1389837642">
    <w:abstractNumId w:val="29"/>
  </w:num>
  <w:num w:numId="3" w16cid:durableId="79831885">
    <w:abstractNumId w:val="37"/>
  </w:num>
  <w:num w:numId="4" w16cid:durableId="1890409045">
    <w:abstractNumId w:val="18"/>
  </w:num>
  <w:num w:numId="5" w16cid:durableId="220480326">
    <w:abstractNumId w:val="27"/>
  </w:num>
  <w:num w:numId="6" w16cid:durableId="341712617">
    <w:abstractNumId w:val="11"/>
  </w:num>
  <w:num w:numId="7" w16cid:durableId="816803794">
    <w:abstractNumId w:val="30"/>
  </w:num>
  <w:num w:numId="8" w16cid:durableId="1100567013">
    <w:abstractNumId w:val="16"/>
  </w:num>
  <w:num w:numId="9" w16cid:durableId="1856769847">
    <w:abstractNumId w:val="22"/>
  </w:num>
  <w:num w:numId="10" w16cid:durableId="489061900">
    <w:abstractNumId w:val="54"/>
  </w:num>
  <w:num w:numId="11" w16cid:durableId="2000690222">
    <w:abstractNumId w:val="46"/>
  </w:num>
  <w:num w:numId="12" w16cid:durableId="446201538">
    <w:abstractNumId w:val="8"/>
  </w:num>
  <w:num w:numId="13" w16cid:durableId="738214924">
    <w:abstractNumId w:val="4"/>
  </w:num>
  <w:num w:numId="14" w16cid:durableId="190267241">
    <w:abstractNumId w:val="52"/>
  </w:num>
  <w:num w:numId="15" w16cid:durableId="254752874">
    <w:abstractNumId w:val="48"/>
  </w:num>
  <w:num w:numId="16" w16cid:durableId="1786271013">
    <w:abstractNumId w:val="32"/>
  </w:num>
  <w:num w:numId="17" w16cid:durableId="1567645564">
    <w:abstractNumId w:val="19"/>
  </w:num>
  <w:num w:numId="18" w16cid:durableId="1784618947">
    <w:abstractNumId w:val="23"/>
  </w:num>
  <w:num w:numId="19" w16cid:durableId="1658876950">
    <w:abstractNumId w:val="47"/>
  </w:num>
  <w:num w:numId="20" w16cid:durableId="1924073131">
    <w:abstractNumId w:val="38"/>
  </w:num>
  <w:num w:numId="21" w16cid:durableId="1520461834">
    <w:abstractNumId w:val="21"/>
  </w:num>
  <w:num w:numId="22" w16cid:durableId="704521910">
    <w:abstractNumId w:val="55"/>
  </w:num>
  <w:num w:numId="23" w16cid:durableId="739599820">
    <w:abstractNumId w:val="14"/>
  </w:num>
  <w:num w:numId="24" w16cid:durableId="623199660">
    <w:abstractNumId w:val="15"/>
  </w:num>
  <w:num w:numId="25" w16cid:durableId="1239248684">
    <w:abstractNumId w:val="24"/>
  </w:num>
  <w:num w:numId="26" w16cid:durableId="1267079819">
    <w:abstractNumId w:val="2"/>
  </w:num>
  <w:num w:numId="27" w16cid:durableId="1987279648">
    <w:abstractNumId w:val="36"/>
  </w:num>
  <w:num w:numId="28" w16cid:durableId="1001349683">
    <w:abstractNumId w:val="10"/>
  </w:num>
  <w:num w:numId="29" w16cid:durableId="853618194">
    <w:abstractNumId w:val="25"/>
  </w:num>
  <w:num w:numId="30" w16cid:durableId="183791125">
    <w:abstractNumId w:val="53"/>
  </w:num>
  <w:num w:numId="31" w16cid:durableId="1654749438">
    <w:abstractNumId w:val="50"/>
  </w:num>
  <w:num w:numId="32" w16cid:durableId="1786577925">
    <w:abstractNumId w:val="42"/>
  </w:num>
  <w:num w:numId="33" w16cid:durableId="135223198">
    <w:abstractNumId w:val="9"/>
  </w:num>
  <w:num w:numId="34" w16cid:durableId="803427013">
    <w:abstractNumId w:val="12"/>
  </w:num>
  <w:num w:numId="35" w16cid:durableId="229730614">
    <w:abstractNumId w:val="7"/>
  </w:num>
  <w:num w:numId="36" w16cid:durableId="1703674407">
    <w:abstractNumId w:val="28"/>
  </w:num>
  <w:num w:numId="37" w16cid:durableId="288049476">
    <w:abstractNumId w:val="6"/>
  </w:num>
  <w:num w:numId="38" w16cid:durableId="1628388432">
    <w:abstractNumId w:val="49"/>
  </w:num>
  <w:num w:numId="39" w16cid:durableId="1251769838">
    <w:abstractNumId w:val="43"/>
  </w:num>
  <w:num w:numId="40" w16cid:durableId="993069023">
    <w:abstractNumId w:val="26"/>
  </w:num>
  <w:num w:numId="41" w16cid:durableId="1135296064">
    <w:abstractNumId w:val="41"/>
  </w:num>
  <w:num w:numId="42" w16cid:durableId="1968778597">
    <w:abstractNumId w:val="33"/>
  </w:num>
  <w:num w:numId="43" w16cid:durableId="260797955">
    <w:abstractNumId w:val="20"/>
  </w:num>
  <w:num w:numId="44" w16cid:durableId="744181276">
    <w:abstractNumId w:val="35"/>
  </w:num>
  <w:num w:numId="45" w16cid:durableId="1435054092">
    <w:abstractNumId w:val="0"/>
  </w:num>
  <w:num w:numId="46" w16cid:durableId="840045018">
    <w:abstractNumId w:val="5"/>
  </w:num>
  <w:num w:numId="47" w16cid:durableId="1171414941">
    <w:abstractNumId w:val="34"/>
  </w:num>
  <w:num w:numId="48" w16cid:durableId="1270429598">
    <w:abstractNumId w:val="44"/>
  </w:num>
  <w:num w:numId="49" w16cid:durableId="229772924">
    <w:abstractNumId w:val="40"/>
  </w:num>
  <w:num w:numId="50" w16cid:durableId="1144397778">
    <w:abstractNumId w:val="3"/>
  </w:num>
  <w:num w:numId="51" w16cid:durableId="1989045636">
    <w:abstractNumId w:val="31"/>
  </w:num>
  <w:num w:numId="52" w16cid:durableId="1735354094">
    <w:abstractNumId w:val="1"/>
  </w:num>
  <w:num w:numId="53" w16cid:durableId="865606356">
    <w:abstractNumId w:val="45"/>
  </w:num>
  <w:num w:numId="54" w16cid:durableId="1289124565">
    <w:abstractNumId w:val="13"/>
  </w:num>
  <w:num w:numId="55" w16cid:durableId="1463963789">
    <w:abstractNumId w:val="51"/>
  </w:num>
  <w:num w:numId="56" w16cid:durableId="15426673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466"/>
    <w:rsid w:val="00031665"/>
    <w:rsid w:val="000326C6"/>
    <w:rsid w:val="000406FB"/>
    <w:rsid w:val="00046BB8"/>
    <w:rsid w:val="00055A40"/>
    <w:rsid w:val="000757B6"/>
    <w:rsid w:val="00081652"/>
    <w:rsid w:val="00097466"/>
    <w:rsid w:val="000A340B"/>
    <w:rsid w:val="000A731A"/>
    <w:rsid w:val="000B3469"/>
    <w:rsid w:val="000B7517"/>
    <w:rsid w:val="000E2600"/>
    <w:rsid w:val="00104526"/>
    <w:rsid w:val="0014335B"/>
    <w:rsid w:val="001447D3"/>
    <w:rsid w:val="00154C10"/>
    <w:rsid w:val="001763B0"/>
    <w:rsid w:val="001A551A"/>
    <w:rsid w:val="001C554C"/>
    <w:rsid w:val="001D0566"/>
    <w:rsid w:val="001D3435"/>
    <w:rsid w:val="002219D4"/>
    <w:rsid w:val="00222AAC"/>
    <w:rsid w:val="002255E2"/>
    <w:rsid w:val="00254044"/>
    <w:rsid w:val="002547E3"/>
    <w:rsid w:val="002A13A4"/>
    <w:rsid w:val="002A3090"/>
    <w:rsid w:val="002D15F6"/>
    <w:rsid w:val="002F34B9"/>
    <w:rsid w:val="00301035"/>
    <w:rsid w:val="00322E26"/>
    <w:rsid w:val="00335644"/>
    <w:rsid w:val="003357F2"/>
    <w:rsid w:val="003575D6"/>
    <w:rsid w:val="00386202"/>
    <w:rsid w:val="003970CE"/>
    <w:rsid w:val="003B523B"/>
    <w:rsid w:val="003E3FA5"/>
    <w:rsid w:val="003F14FA"/>
    <w:rsid w:val="00402F92"/>
    <w:rsid w:val="00416B51"/>
    <w:rsid w:val="00430E08"/>
    <w:rsid w:val="004367F2"/>
    <w:rsid w:val="00443179"/>
    <w:rsid w:val="0045279C"/>
    <w:rsid w:val="00461C98"/>
    <w:rsid w:val="00473AE7"/>
    <w:rsid w:val="004C5DA9"/>
    <w:rsid w:val="004E55C3"/>
    <w:rsid w:val="004F1E8F"/>
    <w:rsid w:val="00500B5F"/>
    <w:rsid w:val="00512A25"/>
    <w:rsid w:val="005160F4"/>
    <w:rsid w:val="00527FAB"/>
    <w:rsid w:val="0053284D"/>
    <w:rsid w:val="0054400F"/>
    <w:rsid w:val="00544557"/>
    <w:rsid w:val="00551782"/>
    <w:rsid w:val="00552B8A"/>
    <w:rsid w:val="00553362"/>
    <w:rsid w:val="00553999"/>
    <w:rsid w:val="0056683F"/>
    <w:rsid w:val="00567404"/>
    <w:rsid w:val="00572E0F"/>
    <w:rsid w:val="00580802"/>
    <w:rsid w:val="005C1EEA"/>
    <w:rsid w:val="005D23B0"/>
    <w:rsid w:val="005D3858"/>
    <w:rsid w:val="005F6B95"/>
    <w:rsid w:val="006034FB"/>
    <w:rsid w:val="00626DEB"/>
    <w:rsid w:val="00663F4A"/>
    <w:rsid w:val="00667B28"/>
    <w:rsid w:val="006871D1"/>
    <w:rsid w:val="006A36CD"/>
    <w:rsid w:val="006E189A"/>
    <w:rsid w:val="007026DA"/>
    <w:rsid w:val="00716AEA"/>
    <w:rsid w:val="00720356"/>
    <w:rsid w:val="00731B2C"/>
    <w:rsid w:val="007463C5"/>
    <w:rsid w:val="00766351"/>
    <w:rsid w:val="0076679C"/>
    <w:rsid w:val="007733F5"/>
    <w:rsid w:val="007876F2"/>
    <w:rsid w:val="00796537"/>
    <w:rsid w:val="007968BD"/>
    <w:rsid w:val="007A4CAC"/>
    <w:rsid w:val="007B48DC"/>
    <w:rsid w:val="007D2484"/>
    <w:rsid w:val="007D7F29"/>
    <w:rsid w:val="00810700"/>
    <w:rsid w:val="00827880"/>
    <w:rsid w:val="00835611"/>
    <w:rsid w:val="008359AA"/>
    <w:rsid w:val="00841260"/>
    <w:rsid w:val="00842BF7"/>
    <w:rsid w:val="0086135C"/>
    <w:rsid w:val="00864352"/>
    <w:rsid w:val="008846B2"/>
    <w:rsid w:val="008875E6"/>
    <w:rsid w:val="008A139D"/>
    <w:rsid w:val="008D23B6"/>
    <w:rsid w:val="008E107E"/>
    <w:rsid w:val="008E1FEB"/>
    <w:rsid w:val="008F5A8A"/>
    <w:rsid w:val="009008F7"/>
    <w:rsid w:val="00912ED9"/>
    <w:rsid w:val="009271F4"/>
    <w:rsid w:val="009372B0"/>
    <w:rsid w:val="00972B10"/>
    <w:rsid w:val="009C3583"/>
    <w:rsid w:val="009D5273"/>
    <w:rsid w:val="009F286D"/>
    <w:rsid w:val="00A21AEA"/>
    <w:rsid w:val="00A34650"/>
    <w:rsid w:val="00A41886"/>
    <w:rsid w:val="00A41F0D"/>
    <w:rsid w:val="00A65E05"/>
    <w:rsid w:val="00A87141"/>
    <w:rsid w:val="00A92B8D"/>
    <w:rsid w:val="00A97971"/>
    <w:rsid w:val="00AA576A"/>
    <w:rsid w:val="00AB3C8E"/>
    <w:rsid w:val="00AD0272"/>
    <w:rsid w:val="00B059FC"/>
    <w:rsid w:val="00B26A35"/>
    <w:rsid w:val="00B312E0"/>
    <w:rsid w:val="00B5566C"/>
    <w:rsid w:val="00B75D6A"/>
    <w:rsid w:val="00BD1F35"/>
    <w:rsid w:val="00BE2DC0"/>
    <w:rsid w:val="00C02D76"/>
    <w:rsid w:val="00C0709F"/>
    <w:rsid w:val="00C26235"/>
    <w:rsid w:val="00C4318E"/>
    <w:rsid w:val="00C544C6"/>
    <w:rsid w:val="00C57C6A"/>
    <w:rsid w:val="00C65868"/>
    <w:rsid w:val="00C67F76"/>
    <w:rsid w:val="00CB3724"/>
    <w:rsid w:val="00CD43AD"/>
    <w:rsid w:val="00CE3B03"/>
    <w:rsid w:val="00CF1223"/>
    <w:rsid w:val="00CF2B59"/>
    <w:rsid w:val="00D019C5"/>
    <w:rsid w:val="00D01AAF"/>
    <w:rsid w:val="00D01E85"/>
    <w:rsid w:val="00D02985"/>
    <w:rsid w:val="00D06CDD"/>
    <w:rsid w:val="00D536CD"/>
    <w:rsid w:val="00D562D2"/>
    <w:rsid w:val="00D953E8"/>
    <w:rsid w:val="00DA1C00"/>
    <w:rsid w:val="00DA2E05"/>
    <w:rsid w:val="00DA7151"/>
    <w:rsid w:val="00DB4D73"/>
    <w:rsid w:val="00DC19D6"/>
    <w:rsid w:val="00DF1B55"/>
    <w:rsid w:val="00E41202"/>
    <w:rsid w:val="00E4271E"/>
    <w:rsid w:val="00E43E77"/>
    <w:rsid w:val="00E76F9C"/>
    <w:rsid w:val="00EA2171"/>
    <w:rsid w:val="00EB4880"/>
    <w:rsid w:val="00EF0AD8"/>
    <w:rsid w:val="00EF50BF"/>
    <w:rsid w:val="00F1081C"/>
    <w:rsid w:val="00F17B42"/>
    <w:rsid w:val="00F20250"/>
    <w:rsid w:val="00F36522"/>
    <w:rsid w:val="00F4510A"/>
    <w:rsid w:val="00F6675B"/>
    <w:rsid w:val="00F7307B"/>
    <w:rsid w:val="00FA318E"/>
    <w:rsid w:val="00FB745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0A2FE"/>
  <w15:docId w15:val="{C471809B-9BC0-8F48-9065-5AAC1399D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ES_tradnl" w:bidi="ar-SA"/>
      </w:rPr>
    </w:rPrDefault>
    <w:pPrDefault>
      <w:pPr>
        <w:spacing w:before="240" w:after="24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ind w:left="432" w:hanging="432"/>
      <w:outlineLvl w:val="0"/>
    </w:pPr>
    <w:rPr>
      <w:b/>
      <w:bCs/>
      <w:sz w:val="32"/>
      <w:szCs w:val="32"/>
    </w:rPr>
  </w:style>
  <w:style w:type="paragraph" w:styleId="Ttulo2">
    <w:name w:val="heading 2"/>
    <w:basedOn w:val="Normal"/>
    <w:next w:val="Normal"/>
    <w:uiPriority w:val="9"/>
    <w:unhideWhenUsed/>
    <w:qFormat/>
    <w:pPr>
      <w:keepNext/>
      <w:ind w:left="576" w:hanging="576"/>
      <w:outlineLvl w:val="1"/>
    </w:pPr>
    <w:rPr>
      <w:b/>
      <w:bCs/>
      <w:sz w:val="28"/>
      <w:szCs w:val="28"/>
    </w:rPr>
  </w:style>
  <w:style w:type="paragraph" w:styleId="Ttulo3">
    <w:name w:val="heading 3"/>
    <w:basedOn w:val="Normal"/>
    <w:next w:val="Normal"/>
    <w:uiPriority w:val="9"/>
    <w:unhideWhenUsed/>
    <w:qFormat/>
    <w:pPr>
      <w:keepNext/>
      <w:keepLines/>
      <w:spacing w:before="280" w:after="80"/>
      <w:ind w:left="720" w:hanging="720"/>
      <w:outlineLvl w:val="2"/>
    </w:pPr>
    <w:rPr>
      <w:b/>
      <w:bCs/>
      <w:sz w:val="24"/>
      <w:szCs w:val="24"/>
    </w:rPr>
  </w:style>
  <w:style w:type="paragraph" w:styleId="Ttulo4">
    <w:name w:val="heading 4"/>
    <w:basedOn w:val="Normal"/>
    <w:next w:val="Normal"/>
    <w:uiPriority w:val="9"/>
    <w:unhideWhenUsed/>
    <w:qFormat/>
    <w:pPr>
      <w:keepNext/>
      <w:keepLines/>
      <w:spacing w:after="40"/>
      <w:ind w:left="864" w:hanging="864"/>
      <w:outlineLvl w:val="3"/>
    </w:pPr>
    <w:rPr>
      <w:b/>
      <w:bCs/>
    </w:rPr>
  </w:style>
  <w:style w:type="paragraph" w:styleId="Ttulo5">
    <w:name w:val="heading 5"/>
    <w:basedOn w:val="Normal"/>
    <w:next w:val="Normal"/>
    <w:uiPriority w:val="9"/>
    <w:semiHidden/>
    <w:unhideWhenUsed/>
    <w:qFormat/>
    <w:pPr>
      <w:keepNext/>
      <w:keepLines/>
      <w:spacing w:before="220" w:after="40"/>
      <w:ind w:left="1008" w:hanging="1008"/>
      <w:outlineLvl w:val="4"/>
    </w:pPr>
    <w:rPr>
      <w:b/>
      <w:bCs/>
    </w:rPr>
  </w:style>
  <w:style w:type="paragraph" w:styleId="Ttulo6">
    <w:name w:val="heading 6"/>
    <w:basedOn w:val="Normal"/>
    <w:next w:val="Normal"/>
    <w:uiPriority w:val="9"/>
    <w:semiHidden/>
    <w:unhideWhenUsed/>
    <w:qFormat/>
    <w:pPr>
      <w:keepNext/>
      <w:keepLines/>
      <w:spacing w:before="200" w:after="40"/>
      <w:ind w:left="1152" w:hanging="1152"/>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table" w:customStyle="1" w:styleId="aa">
    <w:basedOn w:val="TableNormal"/>
    <w:tblPr>
      <w:tblStyleRowBandSize w:val="1"/>
      <w:tblStyleColBandSize w:val="1"/>
      <w:tblCellMar>
        <w:top w:w="0" w:type="dxa"/>
        <w:left w:w="70" w:type="dxa"/>
        <w:bottom w:w="0" w:type="dxa"/>
        <w:right w:w="70" w:type="dxa"/>
      </w:tblCellMar>
    </w:tblPr>
  </w:style>
  <w:style w:type="table" w:customStyle="1" w:styleId="ab">
    <w:basedOn w:val="TableNormal"/>
    <w:tblPr>
      <w:tblStyleRowBandSize w:val="1"/>
      <w:tblStyleColBandSize w:val="1"/>
      <w:tblCellMar>
        <w:top w:w="0" w:type="dxa"/>
        <w:left w:w="70" w:type="dxa"/>
        <w:bottom w:w="0" w:type="dxa"/>
        <w:right w:w="70" w:type="dxa"/>
      </w:tblCellMar>
    </w:tblPr>
  </w:style>
  <w:style w:type="table" w:customStyle="1" w:styleId="ac">
    <w:basedOn w:val="TableNormal"/>
    <w:tblPr>
      <w:tblStyleRowBandSize w:val="1"/>
      <w:tblStyleColBandSize w:val="1"/>
      <w:tblCellMar>
        <w:top w:w="0" w:type="dxa"/>
        <w:left w:w="70" w:type="dxa"/>
        <w:bottom w:w="0" w:type="dxa"/>
        <w:right w:w="70" w:type="dxa"/>
      </w:tblCellMar>
    </w:tblPr>
  </w:style>
  <w:style w:type="table" w:customStyle="1" w:styleId="ad">
    <w:basedOn w:val="TableNormal"/>
    <w:tblPr>
      <w:tblStyleRowBandSize w:val="1"/>
      <w:tblStyleColBandSize w:val="1"/>
      <w:tblCellMar>
        <w:top w:w="0" w:type="dxa"/>
        <w:left w:w="70" w:type="dxa"/>
        <w:bottom w:w="0" w:type="dxa"/>
        <w:right w:w="70" w:type="dxa"/>
      </w:tblCellMar>
    </w:tblPr>
  </w:style>
  <w:style w:type="table" w:customStyle="1" w:styleId="ae">
    <w:basedOn w:val="TableNormal"/>
    <w:tblPr>
      <w:tblStyleRowBandSize w:val="1"/>
      <w:tblStyleColBandSize w:val="1"/>
      <w:tblCellMar>
        <w:top w:w="0" w:type="dxa"/>
        <w:left w:w="70" w:type="dxa"/>
        <w:bottom w:w="0" w:type="dxa"/>
        <w:right w:w="70" w:type="dxa"/>
      </w:tblCellMar>
    </w:tblPr>
  </w:style>
  <w:style w:type="table" w:customStyle="1" w:styleId="af">
    <w:basedOn w:val="TableNormal"/>
    <w:tblPr>
      <w:tblStyleRowBandSize w:val="1"/>
      <w:tblStyleColBandSize w:val="1"/>
      <w:tblCellMar>
        <w:top w:w="0" w:type="dxa"/>
        <w:left w:w="70" w:type="dxa"/>
        <w:bottom w:w="0" w:type="dxa"/>
        <w:right w:w="70" w:type="dxa"/>
      </w:tblCellMar>
    </w:tblPr>
  </w:style>
  <w:style w:type="table" w:customStyle="1" w:styleId="af0">
    <w:basedOn w:val="TableNormal"/>
    <w:tblPr>
      <w:tblStyleRowBandSize w:val="1"/>
      <w:tblStyleColBandSize w:val="1"/>
      <w:tblCellMar>
        <w:top w:w="0" w:type="dxa"/>
        <w:left w:w="70" w:type="dxa"/>
        <w:bottom w:w="0" w:type="dxa"/>
        <w:right w:w="70" w:type="dxa"/>
      </w:tblCellMar>
    </w:tblPr>
  </w:style>
  <w:style w:type="table" w:customStyle="1" w:styleId="af1">
    <w:basedOn w:val="TableNormal"/>
    <w:tblPr>
      <w:tblStyleRowBandSize w:val="1"/>
      <w:tblStyleColBandSize w:val="1"/>
      <w:tblCellMar>
        <w:top w:w="0" w:type="dxa"/>
        <w:left w:w="70" w:type="dxa"/>
        <w:bottom w:w="0" w:type="dxa"/>
        <w:right w:w="70" w:type="dxa"/>
      </w:tblCellMar>
    </w:tblPr>
  </w:style>
  <w:style w:type="table" w:customStyle="1" w:styleId="af2">
    <w:basedOn w:val="TableNormal"/>
    <w:tblPr>
      <w:tblStyleRowBandSize w:val="1"/>
      <w:tblStyleColBandSize w:val="1"/>
      <w:tblCellMar>
        <w:top w:w="0" w:type="dxa"/>
        <w:left w:w="70" w:type="dxa"/>
        <w:bottom w:w="0" w:type="dxa"/>
        <w:right w:w="70" w:type="dxa"/>
      </w:tblCellMar>
    </w:tblPr>
  </w:style>
  <w:style w:type="table" w:customStyle="1" w:styleId="af3">
    <w:basedOn w:val="TableNormal"/>
    <w:tblPr>
      <w:tblStyleRowBandSize w:val="1"/>
      <w:tblStyleColBandSize w:val="1"/>
      <w:tblCellMar>
        <w:top w:w="0" w:type="dxa"/>
        <w:left w:w="70" w:type="dxa"/>
        <w:bottom w:w="0" w:type="dxa"/>
        <w:right w:w="70" w:type="dxa"/>
      </w:tblCellMar>
    </w:tblPr>
  </w:style>
  <w:style w:type="table" w:customStyle="1" w:styleId="af4">
    <w:basedOn w:val="TableNormal"/>
    <w:tblPr>
      <w:tblStyleRowBandSize w:val="1"/>
      <w:tblStyleColBandSize w:val="1"/>
      <w:tblCellMar>
        <w:top w:w="0" w:type="dxa"/>
        <w:left w:w="70" w:type="dxa"/>
        <w:bottom w:w="0" w:type="dxa"/>
        <w:right w:w="70" w:type="dxa"/>
      </w:tblCellMar>
    </w:tblPr>
  </w:style>
  <w:style w:type="table" w:customStyle="1" w:styleId="af5">
    <w:basedOn w:val="TableNormal"/>
    <w:tblPr>
      <w:tblStyleRowBandSize w:val="1"/>
      <w:tblStyleColBandSize w:val="1"/>
      <w:tblCellMar>
        <w:top w:w="0" w:type="dxa"/>
        <w:left w:w="70" w:type="dxa"/>
        <w:bottom w:w="0" w:type="dxa"/>
        <w:right w:w="70" w:type="dxa"/>
      </w:tblCellMar>
    </w:tblPr>
  </w:style>
  <w:style w:type="table" w:customStyle="1" w:styleId="af6">
    <w:basedOn w:val="TableNormal"/>
    <w:tblPr>
      <w:tblStyleRowBandSize w:val="1"/>
      <w:tblStyleColBandSize w:val="1"/>
      <w:tblCellMar>
        <w:top w:w="0" w:type="dxa"/>
        <w:left w:w="70" w:type="dxa"/>
        <w:bottom w:w="0" w:type="dxa"/>
        <w:right w:w="70" w:type="dxa"/>
      </w:tblCellMar>
    </w:tblPr>
  </w:style>
  <w:style w:type="table" w:customStyle="1" w:styleId="af7">
    <w:basedOn w:val="TableNormal"/>
    <w:tblPr>
      <w:tblStyleRowBandSize w:val="1"/>
      <w:tblStyleColBandSize w:val="1"/>
      <w:tblCellMar>
        <w:top w:w="0" w:type="dxa"/>
        <w:left w:w="70" w:type="dxa"/>
        <w:bottom w:w="0" w:type="dxa"/>
        <w:right w:w="70" w:type="dxa"/>
      </w:tblCellMar>
    </w:tblPr>
  </w:style>
  <w:style w:type="table" w:customStyle="1" w:styleId="af8">
    <w:basedOn w:val="TableNormal"/>
    <w:tblPr>
      <w:tblStyleRowBandSize w:val="1"/>
      <w:tblStyleColBandSize w:val="1"/>
      <w:tblCellMar>
        <w:top w:w="0" w:type="dxa"/>
        <w:left w:w="70" w:type="dxa"/>
        <w:bottom w:w="0" w:type="dxa"/>
        <w:right w:w="70" w:type="dxa"/>
      </w:tblCellMar>
    </w:tblPr>
  </w:style>
  <w:style w:type="table" w:customStyle="1" w:styleId="af9">
    <w:basedOn w:val="TableNormal"/>
    <w:tblPr>
      <w:tblStyleRowBandSize w:val="1"/>
      <w:tblStyleColBandSize w:val="1"/>
      <w:tblCellMar>
        <w:top w:w="0" w:type="dxa"/>
        <w:left w:w="70" w:type="dxa"/>
        <w:bottom w:w="0" w:type="dxa"/>
        <w:right w:w="70" w:type="dxa"/>
      </w:tblCellMar>
    </w:tblPr>
  </w:style>
  <w:style w:type="table" w:customStyle="1" w:styleId="afa">
    <w:basedOn w:val="TableNormal"/>
    <w:tblPr>
      <w:tblStyleRowBandSize w:val="1"/>
      <w:tblStyleColBandSize w:val="1"/>
      <w:tblCellMar>
        <w:top w:w="0" w:type="dxa"/>
        <w:left w:w="70" w:type="dxa"/>
        <w:bottom w:w="0" w:type="dxa"/>
        <w:right w:w="70" w:type="dxa"/>
      </w:tblCellMar>
    </w:tblPr>
  </w:style>
  <w:style w:type="table" w:customStyle="1" w:styleId="afb">
    <w:basedOn w:val="TableNormal"/>
    <w:tblPr>
      <w:tblStyleRowBandSize w:val="1"/>
      <w:tblStyleColBandSize w:val="1"/>
      <w:tblCellMar>
        <w:top w:w="0" w:type="dxa"/>
        <w:left w:w="70" w:type="dxa"/>
        <w:bottom w:w="0" w:type="dxa"/>
        <w:right w:w="70" w:type="dxa"/>
      </w:tblCellMar>
    </w:tblPr>
  </w:style>
  <w:style w:type="table" w:customStyle="1" w:styleId="afc">
    <w:basedOn w:val="TableNormal"/>
    <w:tblPr>
      <w:tblStyleRowBandSize w:val="1"/>
      <w:tblStyleColBandSize w:val="1"/>
      <w:tblCellMar>
        <w:top w:w="0" w:type="dxa"/>
        <w:left w:w="70" w:type="dxa"/>
        <w:bottom w:w="0" w:type="dxa"/>
        <w:right w:w="70" w:type="dxa"/>
      </w:tblCellMar>
    </w:tblPr>
  </w:style>
  <w:style w:type="table" w:customStyle="1" w:styleId="afd">
    <w:basedOn w:val="TableNormal"/>
    <w:tblPr>
      <w:tblStyleRowBandSize w:val="1"/>
      <w:tblStyleColBandSize w:val="1"/>
      <w:tblCellMar>
        <w:top w:w="0" w:type="dxa"/>
        <w:left w:w="70" w:type="dxa"/>
        <w:bottom w:w="0" w:type="dxa"/>
        <w:right w:w="70" w:type="dxa"/>
      </w:tblCellMar>
    </w:tblPr>
  </w:style>
  <w:style w:type="table" w:customStyle="1" w:styleId="afe">
    <w:basedOn w:val="TableNormal"/>
    <w:tblPr>
      <w:tblStyleRowBandSize w:val="1"/>
      <w:tblStyleColBandSize w:val="1"/>
      <w:tblCellMar>
        <w:top w:w="0" w:type="dxa"/>
        <w:left w:w="70" w:type="dxa"/>
        <w:bottom w:w="0" w:type="dxa"/>
        <w:right w:w="70" w:type="dxa"/>
      </w:tblCellMar>
    </w:tblPr>
  </w:style>
  <w:style w:type="table" w:customStyle="1" w:styleId="aff">
    <w:basedOn w:val="TableNormal"/>
    <w:tblPr>
      <w:tblStyleRowBandSize w:val="1"/>
      <w:tblStyleColBandSize w:val="1"/>
      <w:tblCellMar>
        <w:top w:w="0" w:type="dxa"/>
        <w:left w:w="70" w:type="dxa"/>
        <w:bottom w:w="0" w:type="dxa"/>
        <w:right w:w="70" w:type="dxa"/>
      </w:tblCellMar>
    </w:tblPr>
  </w:style>
  <w:style w:type="table" w:customStyle="1" w:styleId="aff0">
    <w:basedOn w:val="TableNormal"/>
    <w:tblPr>
      <w:tblStyleRowBandSize w:val="1"/>
      <w:tblStyleColBandSize w:val="1"/>
      <w:tblCellMar>
        <w:top w:w="0" w:type="dxa"/>
        <w:left w:w="70" w:type="dxa"/>
        <w:bottom w:w="0" w:type="dxa"/>
        <w:right w:w="70" w:type="dxa"/>
      </w:tblCellMar>
    </w:tblPr>
  </w:style>
  <w:style w:type="table" w:customStyle="1" w:styleId="aff1">
    <w:basedOn w:val="TableNormal"/>
    <w:tblPr>
      <w:tblStyleRowBandSize w:val="1"/>
      <w:tblStyleColBandSize w:val="1"/>
      <w:tblCellMar>
        <w:top w:w="0" w:type="dxa"/>
        <w:left w:w="70" w:type="dxa"/>
        <w:bottom w:w="0" w:type="dxa"/>
        <w:right w:w="70" w:type="dxa"/>
      </w:tblCellMar>
    </w:tblPr>
  </w:style>
  <w:style w:type="table" w:customStyle="1" w:styleId="aff2">
    <w:basedOn w:val="TableNormal"/>
    <w:tblPr>
      <w:tblStyleRowBandSize w:val="1"/>
      <w:tblStyleColBandSize w:val="1"/>
      <w:tblCellMar>
        <w:top w:w="0" w:type="dxa"/>
        <w:left w:w="70" w:type="dxa"/>
        <w:bottom w:w="0" w:type="dxa"/>
        <w:right w:w="70" w:type="dxa"/>
      </w:tblCellMar>
    </w:tblPr>
  </w:style>
  <w:style w:type="table" w:customStyle="1" w:styleId="aff3">
    <w:basedOn w:val="TableNormal"/>
    <w:tblPr>
      <w:tblStyleRowBandSize w:val="1"/>
      <w:tblStyleColBandSize w:val="1"/>
      <w:tblCellMar>
        <w:top w:w="0" w:type="dxa"/>
        <w:left w:w="70" w:type="dxa"/>
        <w:bottom w:w="0" w:type="dxa"/>
        <w:right w:w="70" w:type="dxa"/>
      </w:tblCellMar>
    </w:tblPr>
  </w:style>
  <w:style w:type="table" w:customStyle="1" w:styleId="aff4">
    <w:basedOn w:val="TableNormal"/>
    <w:tblPr>
      <w:tblStyleRowBandSize w:val="1"/>
      <w:tblStyleColBandSize w:val="1"/>
      <w:tblCellMar>
        <w:top w:w="0" w:type="dxa"/>
        <w:left w:w="70" w:type="dxa"/>
        <w:bottom w:w="0" w:type="dxa"/>
        <w:right w:w="70" w:type="dxa"/>
      </w:tblCellMar>
    </w:tblPr>
  </w:style>
  <w:style w:type="table" w:customStyle="1" w:styleId="aff5">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C544C6"/>
    <w:pPr>
      <w:ind w:left="720"/>
      <w:contextualSpacing/>
    </w:pPr>
  </w:style>
  <w:style w:type="table" w:styleId="Tablaconcuadrcula">
    <w:name w:val="Table Grid"/>
    <w:basedOn w:val="Tablanormal"/>
    <w:uiPriority w:val="39"/>
    <w:rsid w:val="00500B5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255E2"/>
    <w:rPr>
      <w:color w:val="666666"/>
    </w:rPr>
  </w:style>
  <w:style w:type="character" w:styleId="Textoennegrita">
    <w:name w:val="Strong"/>
    <w:basedOn w:val="Fuentedeprrafopredeter"/>
    <w:uiPriority w:val="22"/>
    <w:qFormat/>
    <w:rsid w:val="00552B8A"/>
    <w:rPr>
      <w:b/>
      <w:bCs/>
    </w:rPr>
  </w:style>
  <w:style w:type="paragraph" w:styleId="Descripcin">
    <w:name w:val="caption"/>
    <w:basedOn w:val="Normal"/>
    <w:next w:val="Normal"/>
    <w:autoRedefine/>
    <w:uiPriority w:val="35"/>
    <w:unhideWhenUsed/>
    <w:qFormat/>
    <w:rsid w:val="00C67F76"/>
    <w:pPr>
      <w:spacing w:before="120" w:line="240" w:lineRule="auto"/>
    </w:pPr>
    <w:rPr>
      <w:iCs/>
      <w:color w:val="000000" w:themeColor="text1"/>
      <w:sz w:val="20"/>
      <w:szCs w:val="18"/>
    </w:rPr>
  </w:style>
  <w:style w:type="paragraph" w:styleId="Sinespaciado">
    <w:name w:val="No Spacing"/>
    <w:uiPriority w:val="1"/>
    <w:qFormat/>
    <w:rsid w:val="00720356"/>
    <w:pPr>
      <w:spacing w:before="120" w:after="120" w:line="240" w:lineRule="auto"/>
    </w:pPr>
    <w:rPr>
      <w:sz w:val="20"/>
    </w:rPr>
  </w:style>
  <w:style w:type="paragraph" w:styleId="Tabladeilustraciones">
    <w:name w:val="table of figures"/>
    <w:basedOn w:val="Normal"/>
    <w:next w:val="Normal"/>
    <w:uiPriority w:val="99"/>
    <w:unhideWhenUsed/>
    <w:rsid w:val="00544557"/>
    <w:pPr>
      <w:spacing w:after="0" w:line="240" w:lineRule="auto"/>
    </w:pPr>
    <w:rPr>
      <w:sz w:val="20"/>
    </w:rPr>
  </w:style>
  <w:style w:type="character" w:styleId="Hipervnculo">
    <w:name w:val="Hyperlink"/>
    <w:basedOn w:val="Fuentedeprrafopredeter"/>
    <w:uiPriority w:val="99"/>
    <w:unhideWhenUsed/>
    <w:rsid w:val="00720356"/>
    <w:rPr>
      <w:color w:val="0000FF" w:themeColor="hyperlink"/>
      <w:u w:val="single"/>
    </w:rPr>
  </w:style>
  <w:style w:type="paragraph" w:styleId="TDC1">
    <w:name w:val="toc 1"/>
    <w:basedOn w:val="Normal"/>
    <w:next w:val="Normal"/>
    <w:autoRedefine/>
    <w:uiPriority w:val="39"/>
    <w:unhideWhenUsed/>
    <w:rsid w:val="00544557"/>
    <w:pPr>
      <w:spacing w:after="100" w:line="240" w:lineRule="auto"/>
    </w:pPr>
    <w:rPr>
      <w:sz w:val="20"/>
    </w:rPr>
  </w:style>
  <w:style w:type="paragraph" w:styleId="TDC2">
    <w:name w:val="toc 2"/>
    <w:basedOn w:val="Normal"/>
    <w:next w:val="Normal"/>
    <w:autoRedefine/>
    <w:uiPriority w:val="39"/>
    <w:unhideWhenUsed/>
    <w:rsid w:val="00E41202"/>
    <w:pPr>
      <w:spacing w:after="100"/>
      <w:ind w:left="220"/>
    </w:pPr>
  </w:style>
  <w:style w:type="character" w:customStyle="1" w:styleId="citation">
    <w:name w:val="citation"/>
    <w:basedOn w:val="Fuentedeprrafopredeter"/>
    <w:rsid w:val="00512A25"/>
  </w:style>
  <w:style w:type="character" w:customStyle="1" w:styleId="inline-block">
    <w:name w:val="inline-block"/>
    <w:basedOn w:val="Fuentedeprrafopredeter"/>
    <w:rsid w:val="00512A25"/>
  </w:style>
  <w:style w:type="paragraph" w:styleId="Encabezado">
    <w:name w:val="header"/>
    <w:basedOn w:val="Normal"/>
    <w:link w:val="EncabezadoCar"/>
    <w:uiPriority w:val="99"/>
    <w:unhideWhenUsed/>
    <w:rsid w:val="00544557"/>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544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86739">
      <w:bodyDiv w:val="1"/>
      <w:marLeft w:val="0"/>
      <w:marRight w:val="0"/>
      <w:marTop w:val="0"/>
      <w:marBottom w:val="0"/>
      <w:divBdr>
        <w:top w:val="none" w:sz="0" w:space="0" w:color="auto"/>
        <w:left w:val="none" w:sz="0" w:space="0" w:color="auto"/>
        <w:bottom w:val="none" w:sz="0" w:space="0" w:color="auto"/>
        <w:right w:val="none" w:sz="0" w:space="0" w:color="auto"/>
      </w:divBdr>
    </w:div>
    <w:div w:id="191235567">
      <w:bodyDiv w:val="1"/>
      <w:marLeft w:val="0"/>
      <w:marRight w:val="0"/>
      <w:marTop w:val="0"/>
      <w:marBottom w:val="0"/>
      <w:divBdr>
        <w:top w:val="none" w:sz="0" w:space="0" w:color="auto"/>
        <w:left w:val="none" w:sz="0" w:space="0" w:color="auto"/>
        <w:bottom w:val="none" w:sz="0" w:space="0" w:color="auto"/>
        <w:right w:val="none" w:sz="0" w:space="0" w:color="auto"/>
      </w:divBdr>
    </w:div>
    <w:div w:id="211617455">
      <w:bodyDiv w:val="1"/>
      <w:marLeft w:val="0"/>
      <w:marRight w:val="0"/>
      <w:marTop w:val="0"/>
      <w:marBottom w:val="0"/>
      <w:divBdr>
        <w:top w:val="none" w:sz="0" w:space="0" w:color="auto"/>
        <w:left w:val="none" w:sz="0" w:space="0" w:color="auto"/>
        <w:bottom w:val="none" w:sz="0" w:space="0" w:color="auto"/>
        <w:right w:val="none" w:sz="0" w:space="0" w:color="auto"/>
      </w:divBdr>
    </w:div>
    <w:div w:id="215161452">
      <w:bodyDiv w:val="1"/>
      <w:marLeft w:val="0"/>
      <w:marRight w:val="0"/>
      <w:marTop w:val="0"/>
      <w:marBottom w:val="0"/>
      <w:divBdr>
        <w:top w:val="none" w:sz="0" w:space="0" w:color="auto"/>
        <w:left w:val="none" w:sz="0" w:space="0" w:color="auto"/>
        <w:bottom w:val="none" w:sz="0" w:space="0" w:color="auto"/>
        <w:right w:val="none" w:sz="0" w:space="0" w:color="auto"/>
      </w:divBdr>
    </w:div>
    <w:div w:id="228344031">
      <w:bodyDiv w:val="1"/>
      <w:marLeft w:val="0"/>
      <w:marRight w:val="0"/>
      <w:marTop w:val="0"/>
      <w:marBottom w:val="0"/>
      <w:divBdr>
        <w:top w:val="none" w:sz="0" w:space="0" w:color="auto"/>
        <w:left w:val="none" w:sz="0" w:space="0" w:color="auto"/>
        <w:bottom w:val="none" w:sz="0" w:space="0" w:color="auto"/>
        <w:right w:val="none" w:sz="0" w:space="0" w:color="auto"/>
      </w:divBdr>
    </w:div>
    <w:div w:id="230114531">
      <w:bodyDiv w:val="1"/>
      <w:marLeft w:val="0"/>
      <w:marRight w:val="0"/>
      <w:marTop w:val="0"/>
      <w:marBottom w:val="0"/>
      <w:divBdr>
        <w:top w:val="none" w:sz="0" w:space="0" w:color="auto"/>
        <w:left w:val="none" w:sz="0" w:space="0" w:color="auto"/>
        <w:bottom w:val="none" w:sz="0" w:space="0" w:color="auto"/>
        <w:right w:val="none" w:sz="0" w:space="0" w:color="auto"/>
      </w:divBdr>
    </w:div>
    <w:div w:id="233317249">
      <w:bodyDiv w:val="1"/>
      <w:marLeft w:val="0"/>
      <w:marRight w:val="0"/>
      <w:marTop w:val="0"/>
      <w:marBottom w:val="0"/>
      <w:divBdr>
        <w:top w:val="none" w:sz="0" w:space="0" w:color="auto"/>
        <w:left w:val="none" w:sz="0" w:space="0" w:color="auto"/>
        <w:bottom w:val="none" w:sz="0" w:space="0" w:color="auto"/>
        <w:right w:val="none" w:sz="0" w:space="0" w:color="auto"/>
      </w:divBdr>
    </w:div>
    <w:div w:id="356584217">
      <w:bodyDiv w:val="1"/>
      <w:marLeft w:val="0"/>
      <w:marRight w:val="0"/>
      <w:marTop w:val="0"/>
      <w:marBottom w:val="0"/>
      <w:divBdr>
        <w:top w:val="none" w:sz="0" w:space="0" w:color="auto"/>
        <w:left w:val="none" w:sz="0" w:space="0" w:color="auto"/>
        <w:bottom w:val="none" w:sz="0" w:space="0" w:color="auto"/>
        <w:right w:val="none" w:sz="0" w:space="0" w:color="auto"/>
      </w:divBdr>
    </w:div>
    <w:div w:id="393627961">
      <w:bodyDiv w:val="1"/>
      <w:marLeft w:val="0"/>
      <w:marRight w:val="0"/>
      <w:marTop w:val="0"/>
      <w:marBottom w:val="0"/>
      <w:divBdr>
        <w:top w:val="none" w:sz="0" w:space="0" w:color="auto"/>
        <w:left w:val="none" w:sz="0" w:space="0" w:color="auto"/>
        <w:bottom w:val="none" w:sz="0" w:space="0" w:color="auto"/>
        <w:right w:val="none" w:sz="0" w:space="0" w:color="auto"/>
      </w:divBdr>
    </w:div>
    <w:div w:id="412774091">
      <w:bodyDiv w:val="1"/>
      <w:marLeft w:val="0"/>
      <w:marRight w:val="0"/>
      <w:marTop w:val="0"/>
      <w:marBottom w:val="0"/>
      <w:divBdr>
        <w:top w:val="none" w:sz="0" w:space="0" w:color="auto"/>
        <w:left w:val="none" w:sz="0" w:space="0" w:color="auto"/>
        <w:bottom w:val="none" w:sz="0" w:space="0" w:color="auto"/>
        <w:right w:val="none" w:sz="0" w:space="0" w:color="auto"/>
      </w:divBdr>
    </w:div>
    <w:div w:id="563377447">
      <w:bodyDiv w:val="1"/>
      <w:marLeft w:val="0"/>
      <w:marRight w:val="0"/>
      <w:marTop w:val="0"/>
      <w:marBottom w:val="0"/>
      <w:divBdr>
        <w:top w:val="none" w:sz="0" w:space="0" w:color="auto"/>
        <w:left w:val="none" w:sz="0" w:space="0" w:color="auto"/>
        <w:bottom w:val="none" w:sz="0" w:space="0" w:color="auto"/>
        <w:right w:val="none" w:sz="0" w:space="0" w:color="auto"/>
      </w:divBdr>
    </w:div>
    <w:div w:id="679888472">
      <w:bodyDiv w:val="1"/>
      <w:marLeft w:val="0"/>
      <w:marRight w:val="0"/>
      <w:marTop w:val="0"/>
      <w:marBottom w:val="0"/>
      <w:divBdr>
        <w:top w:val="none" w:sz="0" w:space="0" w:color="auto"/>
        <w:left w:val="none" w:sz="0" w:space="0" w:color="auto"/>
        <w:bottom w:val="none" w:sz="0" w:space="0" w:color="auto"/>
        <w:right w:val="none" w:sz="0" w:space="0" w:color="auto"/>
      </w:divBdr>
    </w:div>
    <w:div w:id="731201060">
      <w:bodyDiv w:val="1"/>
      <w:marLeft w:val="0"/>
      <w:marRight w:val="0"/>
      <w:marTop w:val="0"/>
      <w:marBottom w:val="0"/>
      <w:divBdr>
        <w:top w:val="none" w:sz="0" w:space="0" w:color="auto"/>
        <w:left w:val="none" w:sz="0" w:space="0" w:color="auto"/>
        <w:bottom w:val="none" w:sz="0" w:space="0" w:color="auto"/>
        <w:right w:val="none" w:sz="0" w:space="0" w:color="auto"/>
      </w:divBdr>
    </w:div>
    <w:div w:id="768820488">
      <w:bodyDiv w:val="1"/>
      <w:marLeft w:val="0"/>
      <w:marRight w:val="0"/>
      <w:marTop w:val="0"/>
      <w:marBottom w:val="0"/>
      <w:divBdr>
        <w:top w:val="none" w:sz="0" w:space="0" w:color="auto"/>
        <w:left w:val="none" w:sz="0" w:space="0" w:color="auto"/>
        <w:bottom w:val="none" w:sz="0" w:space="0" w:color="auto"/>
        <w:right w:val="none" w:sz="0" w:space="0" w:color="auto"/>
      </w:divBdr>
    </w:div>
    <w:div w:id="787815234">
      <w:bodyDiv w:val="1"/>
      <w:marLeft w:val="0"/>
      <w:marRight w:val="0"/>
      <w:marTop w:val="0"/>
      <w:marBottom w:val="0"/>
      <w:divBdr>
        <w:top w:val="none" w:sz="0" w:space="0" w:color="auto"/>
        <w:left w:val="none" w:sz="0" w:space="0" w:color="auto"/>
        <w:bottom w:val="none" w:sz="0" w:space="0" w:color="auto"/>
        <w:right w:val="none" w:sz="0" w:space="0" w:color="auto"/>
      </w:divBdr>
    </w:div>
    <w:div w:id="854072715">
      <w:bodyDiv w:val="1"/>
      <w:marLeft w:val="0"/>
      <w:marRight w:val="0"/>
      <w:marTop w:val="0"/>
      <w:marBottom w:val="0"/>
      <w:divBdr>
        <w:top w:val="none" w:sz="0" w:space="0" w:color="auto"/>
        <w:left w:val="none" w:sz="0" w:space="0" w:color="auto"/>
        <w:bottom w:val="none" w:sz="0" w:space="0" w:color="auto"/>
        <w:right w:val="none" w:sz="0" w:space="0" w:color="auto"/>
      </w:divBdr>
    </w:div>
    <w:div w:id="930702579">
      <w:bodyDiv w:val="1"/>
      <w:marLeft w:val="0"/>
      <w:marRight w:val="0"/>
      <w:marTop w:val="0"/>
      <w:marBottom w:val="0"/>
      <w:divBdr>
        <w:top w:val="none" w:sz="0" w:space="0" w:color="auto"/>
        <w:left w:val="none" w:sz="0" w:space="0" w:color="auto"/>
        <w:bottom w:val="none" w:sz="0" w:space="0" w:color="auto"/>
        <w:right w:val="none" w:sz="0" w:space="0" w:color="auto"/>
      </w:divBdr>
    </w:div>
    <w:div w:id="1004749025">
      <w:bodyDiv w:val="1"/>
      <w:marLeft w:val="0"/>
      <w:marRight w:val="0"/>
      <w:marTop w:val="0"/>
      <w:marBottom w:val="0"/>
      <w:divBdr>
        <w:top w:val="none" w:sz="0" w:space="0" w:color="auto"/>
        <w:left w:val="none" w:sz="0" w:space="0" w:color="auto"/>
        <w:bottom w:val="none" w:sz="0" w:space="0" w:color="auto"/>
        <w:right w:val="none" w:sz="0" w:space="0" w:color="auto"/>
      </w:divBdr>
    </w:div>
    <w:div w:id="1138062372">
      <w:bodyDiv w:val="1"/>
      <w:marLeft w:val="0"/>
      <w:marRight w:val="0"/>
      <w:marTop w:val="0"/>
      <w:marBottom w:val="0"/>
      <w:divBdr>
        <w:top w:val="none" w:sz="0" w:space="0" w:color="auto"/>
        <w:left w:val="none" w:sz="0" w:space="0" w:color="auto"/>
        <w:bottom w:val="none" w:sz="0" w:space="0" w:color="auto"/>
        <w:right w:val="none" w:sz="0" w:space="0" w:color="auto"/>
      </w:divBdr>
    </w:div>
    <w:div w:id="1159032415">
      <w:bodyDiv w:val="1"/>
      <w:marLeft w:val="0"/>
      <w:marRight w:val="0"/>
      <w:marTop w:val="0"/>
      <w:marBottom w:val="0"/>
      <w:divBdr>
        <w:top w:val="none" w:sz="0" w:space="0" w:color="auto"/>
        <w:left w:val="none" w:sz="0" w:space="0" w:color="auto"/>
        <w:bottom w:val="none" w:sz="0" w:space="0" w:color="auto"/>
        <w:right w:val="none" w:sz="0" w:space="0" w:color="auto"/>
      </w:divBdr>
    </w:div>
    <w:div w:id="1491947596">
      <w:bodyDiv w:val="1"/>
      <w:marLeft w:val="0"/>
      <w:marRight w:val="0"/>
      <w:marTop w:val="0"/>
      <w:marBottom w:val="0"/>
      <w:divBdr>
        <w:top w:val="none" w:sz="0" w:space="0" w:color="auto"/>
        <w:left w:val="none" w:sz="0" w:space="0" w:color="auto"/>
        <w:bottom w:val="none" w:sz="0" w:space="0" w:color="auto"/>
        <w:right w:val="none" w:sz="0" w:space="0" w:color="auto"/>
      </w:divBdr>
    </w:div>
    <w:div w:id="1540431714">
      <w:bodyDiv w:val="1"/>
      <w:marLeft w:val="0"/>
      <w:marRight w:val="0"/>
      <w:marTop w:val="0"/>
      <w:marBottom w:val="0"/>
      <w:divBdr>
        <w:top w:val="none" w:sz="0" w:space="0" w:color="auto"/>
        <w:left w:val="none" w:sz="0" w:space="0" w:color="auto"/>
        <w:bottom w:val="none" w:sz="0" w:space="0" w:color="auto"/>
        <w:right w:val="none" w:sz="0" w:space="0" w:color="auto"/>
      </w:divBdr>
    </w:div>
    <w:div w:id="1562786086">
      <w:bodyDiv w:val="1"/>
      <w:marLeft w:val="0"/>
      <w:marRight w:val="0"/>
      <w:marTop w:val="0"/>
      <w:marBottom w:val="0"/>
      <w:divBdr>
        <w:top w:val="none" w:sz="0" w:space="0" w:color="auto"/>
        <w:left w:val="none" w:sz="0" w:space="0" w:color="auto"/>
        <w:bottom w:val="none" w:sz="0" w:space="0" w:color="auto"/>
        <w:right w:val="none" w:sz="0" w:space="0" w:color="auto"/>
      </w:divBdr>
    </w:div>
    <w:div w:id="1657802862">
      <w:bodyDiv w:val="1"/>
      <w:marLeft w:val="0"/>
      <w:marRight w:val="0"/>
      <w:marTop w:val="0"/>
      <w:marBottom w:val="0"/>
      <w:divBdr>
        <w:top w:val="none" w:sz="0" w:space="0" w:color="auto"/>
        <w:left w:val="none" w:sz="0" w:space="0" w:color="auto"/>
        <w:bottom w:val="none" w:sz="0" w:space="0" w:color="auto"/>
        <w:right w:val="none" w:sz="0" w:space="0" w:color="auto"/>
      </w:divBdr>
    </w:div>
    <w:div w:id="1712419599">
      <w:bodyDiv w:val="1"/>
      <w:marLeft w:val="0"/>
      <w:marRight w:val="0"/>
      <w:marTop w:val="0"/>
      <w:marBottom w:val="0"/>
      <w:divBdr>
        <w:top w:val="none" w:sz="0" w:space="0" w:color="auto"/>
        <w:left w:val="none" w:sz="0" w:space="0" w:color="auto"/>
        <w:bottom w:val="none" w:sz="0" w:space="0" w:color="auto"/>
        <w:right w:val="none" w:sz="0" w:space="0" w:color="auto"/>
      </w:divBdr>
    </w:div>
    <w:div w:id="1747723452">
      <w:bodyDiv w:val="1"/>
      <w:marLeft w:val="0"/>
      <w:marRight w:val="0"/>
      <w:marTop w:val="0"/>
      <w:marBottom w:val="0"/>
      <w:divBdr>
        <w:top w:val="none" w:sz="0" w:space="0" w:color="auto"/>
        <w:left w:val="none" w:sz="0" w:space="0" w:color="auto"/>
        <w:bottom w:val="none" w:sz="0" w:space="0" w:color="auto"/>
        <w:right w:val="none" w:sz="0" w:space="0" w:color="auto"/>
      </w:divBdr>
    </w:div>
    <w:div w:id="1809780402">
      <w:bodyDiv w:val="1"/>
      <w:marLeft w:val="0"/>
      <w:marRight w:val="0"/>
      <w:marTop w:val="0"/>
      <w:marBottom w:val="0"/>
      <w:divBdr>
        <w:top w:val="none" w:sz="0" w:space="0" w:color="auto"/>
        <w:left w:val="none" w:sz="0" w:space="0" w:color="auto"/>
        <w:bottom w:val="none" w:sz="0" w:space="0" w:color="auto"/>
        <w:right w:val="none" w:sz="0" w:space="0" w:color="auto"/>
      </w:divBdr>
    </w:div>
    <w:div w:id="1894809163">
      <w:bodyDiv w:val="1"/>
      <w:marLeft w:val="0"/>
      <w:marRight w:val="0"/>
      <w:marTop w:val="0"/>
      <w:marBottom w:val="0"/>
      <w:divBdr>
        <w:top w:val="none" w:sz="0" w:space="0" w:color="auto"/>
        <w:left w:val="none" w:sz="0" w:space="0" w:color="auto"/>
        <w:bottom w:val="none" w:sz="0" w:space="0" w:color="auto"/>
        <w:right w:val="none" w:sz="0" w:space="0" w:color="auto"/>
      </w:divBdr>
    </w:div>
    <w:div w:id="2102215707">
      <w:bodyDiv w:val="1"/>
      <w:marLeft w:val="0"/>
      <w:marRight w:val="0"/>
      <w:marTop w:val="0"/>
      <w:marBottom w:val="0"/>
      <w:divBdr>
        <w:top w:val="none" w:sz="0" w:space="0" w:color="auto"/>
        <w:left w:val="none" w:sz="0" w:space="0" w:color="auto"/>
        <w:bottom w:val="none" w:sz="0" w:space="0" w:color="auto"/>
        <w:right w:val="none" w:sz="0" w:space="0" w:color="auto"/>
      </w:divBdr>
    </w:div>
    <w:div w:id="21104707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footer" Target="footer6.xm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image" Target="media/image12.png"/><Relationship Id="rId11" Type="http://schemas.openxmlformats.org/officeDocument/2006/relationships/image" Target="media/image3.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settings" Target="settings.xml"/><Relationship Id="rId61" Type="http://schemas.openxmlformats.org/officeDocument/2006/relationships/glossaryDocument" Target="glossary/document.xml"/><Relationship Id="rId19" Type="http://schemas.openxmlformats.org/officeDocument/2006/relationships/hyperlink" Target="http://creativecommons.org/licenses/by-nc-nd/3.0/es/" TargetMode="External"/><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8" Type="http://schemas.openxmlformats.org/officeDocument/2006/relationships/endnotes" Target="endnotes.xml"/><Relationship Id="rId51" Type="http://schemas.openxmlformats.org/officeDocument/2006/relationships/image" Target="media/image34.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oter" Target="footer9.xml"/><Relationship Id="rId20" Type="http://schemas.openxmlformats.org/officeDocument/2006/relationships/footer" Target="footer5.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8.xm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9067370-B2DF-C743-A016-F7E21A9A41B3}"/>
      </w:docPartPr>
      <w:docPartBody>
        <w:p w:rsidR="004A3DB6" w:rsidRDefault="000363A2">
          <w:r w:rsidRPr="007B21E9">
            <w:rPr>
              <w:rStyle w:val="Textodelmarcadordeposicin"/>
            </w:rPr>
            <w:t>Haga clic o pulse aquí para escribir texto.</w:t>
          </w:r>
        </w:p>
      </w:docPartBody>
    </w:docPart>
    <w:docPart>
      <w:docPartPr>
        <w:name w:val="C2EF861B1657994E9174790AC9DCC272"/>
        <w:category>
          <w:name w:val="General"/>
          <w:gallery w:val="placeholder"/>
        </w:category>
        <w:types>
          <w:type w:val="bbPlcHdr"/>
        </w:types>
        <w:behaviors>
          <w:behavior w:val="content"/>
        </w:behaviors>
        <w:guid w:val="{4FC314F7-B16E-7743-8F33-334A8D7D622C}"/>
      </w:docPartPr>
      <w:docPartBody>
        <w:p w:rsidR="004A3DB6" w:rsidRDefault="000363A2" w:rsidP="000363A2">
          <w:pPr>
            <w:pStyle w:val="C2EF861B1657994E9174790AC9DCC272"/>
          </w:pPr>
          <w:r w:rsidRPr="007B21E9">
            <w:rPr>
              <w:rStyle w:val="Textodelmarcadordeposicin"/>
            </w:rPr>
            <w:t>Haga clic o pulse aquí para escribir texto.</w:t>
          </w:r>
        </w:p>
      </w:docPartBody>
    </w:docPart>
    <w:docPart>
      <w:docPartPr>
        <w:name w:val="90C4105F9621224A97DCBB39820433B1"/>
        <w:category>
          <w:name w:val="General"/>
          <w:gallery w:val="placeholder"/>
        </w:category>
        <w:types>
          <w:type w:val="bbPlcHdr"/>
        </w:types>
        <w:behaviors>
          <w:behavior w:val="content"/>
        </w:behaviors>
        <w:guid w:val="{C235280D-7960-5046-A12F-CC1F2FCE265E}"/>
      </w:docPartPr>
      <w:docPartBody>
        <w:p w:rsidR="00033D1C" w:rsidRDefault="00764E27" w:rsidP="00764E27">
          <w:pPr>
            <w:pStyle w:val="90C4105F9621224A97DCBB39820433B1"/>
          </w:pPr>
          <w:r w:rsidRPr="007B21E9">
            <w:rPr>
              <w:rStyle w:val="Textodelmarcadordeposicin"/>
            </w:rPr>
            <w:t>Haga clic o pulse aquí para escribir texto.</w:t>
          </w:r>
        </w:p>
      </w:docPartBody>
    </w:docPart>
    <w:docPart>
      <w:docPartPr>
        <w:name w:val="74353F6C53BFE84D84744C457A788FB4"/>
        <w:category>
          <w:name w:val="General"/>
          <w:gallery w:val="placeholder"/>
        </w:category>
        <w:types>
          <w:type w:val="bbPlcHdr"/>
        </w:types>
        <w:behaviors>
          <w:behavior w:val="content"/>
        </w:behaviors>
        <w:guid w:val="{10C9B685-22AD-EF47-AD98-5E05547C6563}"/>
      </w:docPartPr>
      <w:docPartBody>
        <w:p w:rsidR="00033D1C" w:rsidRDefault="00764E27" w:rsidP="00764E27">
          <w:pPr>
            <w:pStyle w:val="74353F6C53BFE84D84744C457A788FB4"/>
          </w:pPr>
          <w:r w:rsidRPr="007B21E9">
            <w:rPr>
              <w:rStyle w:val="Textodelmarcadordeposicin"/>
            </w:rPr>
            <w:t>Haga clic o pulse aquí para escribir texto.</w:t>
          </w:r>
        </w:p>
      </w:docPartBody>
    </w:docPart>
    <w:docPart>
      <w:docPartPr>
        <w:name w:val="F3A872FE9233E84F8ACBF3FBB8F194FA"/>
        <w:category>
          <w:name w:val="General"/>
          <w:gallery w:val="placeholder"/>
        </w:category>
        <w:types>
          <w:type w:val="bbPlcHdr"/>
        </w:types>
        <w:behaviors>
          <w:behavior w:val="content"/>
        </w:behaviors>
        <w:guid w:val="{05553ED4-5491-EB42-B6B5-9D3D9D855AE2}"/>
      </w:docPartPr>
      <w:docPartBody>
        <w:p w:rsidR="00033D1C" w:rsidRDefault="00764E27" w:rsidP="00764E27">
          <w:pPr>
            <w:pStyle w:val="F3A872FE9233E84F8ACBF3FBB8F194FA"/>
          </w:pPr>
          <w:r w:rsidRPr="007B21E9">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Noto Sans Symbol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3A2"/>
    <w:rsid w:val="00033D1C"/>
    <w:rsid w:val="000363A2"/>
    <w:rsid w:val="0026340C"/>
    <w:rsid w:val="002C094A"/>
    <w:rsid w:val="0043274D"/>
    <w:rsid w:val="004A3DB6"/>
    <w:rsid w:val="005058FE"/>
    <w:rsid w:val="005F45A2"/>
    <w:rsid w:val="00647007"/>
    <w:rsid w:val="0066262A"/>
    <w:rsid w:val="006C0F8D"/>
    <w:rsid w:val="00764E27"/>
    <w:rsid w:val="007A2F28"/>
    <w:rsid w:val="008E04A3"/>
    <w:rsid w:val="008E2387"/>
    <w:rsid w:val="008E51B1"/>
    <w:rsid w:val="009A1CAC"/>
    <w:rsid w:val="009B301E"/>
    <w:rsid w:val="00A7649A"/>
    <w:rsid w:val="00A90EAF"/>
    <w:rsid w:val="00C71CB5"/>
    <w:rsid w:val="00D531A7"/>
    <w:rsid w:val="00DD5CE4"/>
    <w:rsid w:val="00E33DF1"/>
    <w:rsid w:val="00E95318"/>
    <w:rsid w:val="00EA072A"/>
    <w:rsid w:val="00FE0A24"/>
    <w:rsid w:val="00FE56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_tradnl"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64E27"/>
    <w:rPr>
      <w:color w:val="666666"/>
    </w:rPr>
  </w:style>
  <w:style w:type="paragraph" w:customStyle="1" w:styleId="C2EF861B1657994E9174790AC9DCC272">
    <w:name w:val="C2EF861B1657994E9174790AC9DCC272"/>
    <w:rsid w:val="000363A2"/>
  </w:style>
  <w:style w:type="paragraph" w:customStyle="1" w:styleId="90C4105F9621224A97DCBB39820433B1">
    <w:name w:val="90C4105F9621224A97DCBB39820433B1"/>
    <w:rsid w:val="00764E27"/>
  </w:style>
  <w:style w:type="paragraph" w:customStyle="1" w:styleId="74353F6C53BFE84D84744C457A788FB4">
    <w:name w:val="74353F6C53BFE84D84744C457A788FB4"/>
    <w:rsid w:val="00764E27"/>
  </w:style>
  <w:style w:type="paragraph" w:customStyle="1" w:styleId="F3A872FE9233E84F8ACBF3FBB8F194FA">
    <w:name w:val="F3A872FE9233E84F8ACBF3FBB8F194FA"/>
    <w:rsid w:val="00764E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389FF2-9797-A145-AC06-BBE8CEAB6E7E}">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8332915406"/>
    <we:property name="MENDELEY_CITATIONS" value="[{&quot;citationID&quot;:&quot;MENDELEY_CITATION_4f48d776-e9f5-4331-bb89-36b0be25118f&quot;,&quot;properties&quot;:{&quot;noteIndex&quot;:0},&quot;isEdited&quot;:false,&quot;manualOverride&quot;:{&quot;isManuallyOverridden&quot;:false,&quot;citeprocText&quot;:&quot;[1,2]&quot;,&quot;manualOverrideText&quot;:&quot;&quot;},&quot;citationTag&quot;:&quot;MENDELEY_CITATION_v3_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&quot;,&quot;citationItems&quot;:[{&quot;id&quot;:&quot;275006b6-dd1e-3d41-9360-731aa52a9013&quot;,&quot;itemData&quot;:{&quot;type&quot;:&quot;article-journal&quot;,&quot;id&quot;:&quot;275006b6-dd1e-3d41-9360-731aa52a9013&quot;,&quot;title&quot;:&quot;Type I Interferon in the Pathogenesis of Lupus&quot;,&quot;author&quot;:[{&quot;family&quot;:&quot;Crow&quot;,&quot;given&quot;:&quot;Mary K&quot;,&quot;parse-names&quot;:false,&quot;dropping-particle&quot;:&quot;&quot;,&quot;non-dropping-particle&quot;:&quot;&quot;}],&quot;container-title&quot;:&quot;The Journal of Immunology&quot;,&quot;DOI&quot;:&quot;10.4049/jimmunol.1002795&quot;,&quot;ISSN&quot;:&quot;0022-1767&quot;,&quot;PMID&quot;:&quot;24907379&quot;,&quot;issued&quot;:{&quot;date-parts&quot;:[[2014,6,15]]},&quot;page&quot;:&quot;5459-5468&quot;,&quot;abstract&quot;:&quot;Investigations of patients with systemic lupus erythematosus have applied insights from studies of the innate immune response to define IFN-I, with IFN-α as the dominant mediator, as central to the pathogenesis of this prototype systemic autoimmune disease. Genetic association data identify regulators of nucleic acid degradation and components of TLR-independent, endosomal TLR-dependent, and IFN-I–signaling pathways as contributors to lupus disease susceptibility. Together with a gene expression signature characterized by IFN-I–induced gene transcripts in lupus blood and tissue, those data support the conclusion that many of the immunologic and pathologic features of this disease are a consequence of a persistent self-directed immune reaction driven by IFN-I and mimicking a sustained antivirus response. This expanding knowledge of the role of IFN-I and the innate immune response suggests candidate therapeutic targets that are being tested in lupus patients.&quot;,&quot;publisher&quot;:&quot;Oxford University Press (OUP)&quot;,&quot;issue&quot;:&quot;12&quot;,&quot;volume&quot;:&quot;192&quot;,&quot;container-title-short&quot;:&quot;&quot;},&quot;isTemporary&quot;:false},{&quot;id&quot;:&quot;7bb5a1a9-46ee-3ffe-a0e8-243b24e2c167&quot;,&quot;itemData&quot;:{&quot;type&quot;:&quot;article&quot;,&quot;id&quot;:&quot;7bb5a1a9-46ee-3ffe-a0e8-243b24e2c167&quot;,&quot;title&quot;:&quot;Targeting type I interferons in systemic lupus erythematous&quot;,&quot;author&quot;:[{&quot;family&quot;:&quot;Bruera&quot;,&quot;given&quot;:&quot;Sebastian&quot;,&quot;parse-names&quot;:false,&quot;dropping-particle&quot;:&quot;&quot;,&quot;non-dropping-particle&quot;:&quot;&quot;},{&quot;family&quot;:&quot;Chavula&quot;,&quot;given&quot;:&quot;Thandiwe&quot;,&quot;parse-names&quot;:false,&quot;dropping-particle&quot;:&quot;&quot;,&quot;non-dropping-particle&quot;:&quot;&quot;},{&quot;family&quot;:&quot;Madan&quot;,&quot;given&quot;:&quot;Riya&quot;,&quot;parse-names&quot;:false,&quot;dropping-particle&quot;:&quot;&quot;,&quot;non-dropping-particle&quot;:&quot;&quot;},{&quot;family&quot;:&quot;Agarwal&quot;,&quot;given&quot;:&quot;Sandeep K.&quot;,&quot;parse-names&quot;:false,&quot;dropping-particle&quot;:&quot;&quot;,&quot;non-dropping-particle&quot;:&quot;&quot;}],&quot;container-title&quot;:&quot;Frontiers in Pharmacology&quot;,&quot;container-title-short&quot;:&quot;Front. Pharmacol.&quot;,&quot;DOI&quot;:&quot;10.3389/fphar.2022.1046687&quot;,&quot;ISSN&quot;:&quot;16639812&quot;,&quot;issued&quot;:{&quot;date-parts&quot;:[[2023,1,16]]},&quot;abstract&quot;:&quot;Systemic lupus erythematosus (SLE) is a complex autoimmune disease with systemic clinical manifestations including, but not limited to, rash, inflammatory arthritis, serositis, glomerulonephritis, and cerebritis. Treatment options for SLE are expanding and the increase in our understanding of the immune pathogenesis is leading to the development of new therapeutics. Autoantibody formation and immune complex formation are important mediators in lupus pathogenesis, but an important role of the type I interferon (IFN) pathway has been identified in SLE patients and mouse models of lupus. These studies have led to the development of therapeutics targeting type I IFN and related pathways for the treatment of certain manifestations of SLE. In the current narrative review, we will discuss the role of type I IFN in SLE pathogenesis and the potential translation of these data into strategies using type I IFN as a biomarker and therapeutic target for patients with SLE.&quot;,&quot;publisher&quot;:&quot;Frontiers Media S.A.&quot;,&quot;volume&quot;:&quot;13&quot;},&quot;isTemporary&quot;:false}]},{&quot;citationID&quot;:&quot;MENDELEY_CITATION_efadf0d0-f023-4798-b5c0-b34a2531e51a&quot;,&quot;properties&quot;:{&quot;noteIndex&quot;:0},&quot;isEdited&quot;:false,&quot;manualOverride&quot;:{&quot;isManuallyOverridden&quot;:false,&quot;citeprocText&quot;:&quot;[2]&quot;,&quot;manualOverrideText&quot;:&quot;&quot;},&quot;citationTag&quot;:&quot;MENDELEY_CITATION_v3_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&quot;,&quot;citationItems&quot;:[{&quot;id&quot;:&quot;7bb5a1a9-46ee-3ffe-a0e8-243b24e2c167&quot;,&quot;itemData&quot;:{&quot;type&quot;:&quot;article&quot;,&quot;id&quot;:&quot;7bb5a1a9-46ee-3ffe-a0e8-243b24e2c167&quot;,&quot;title&quot;:&quot;Targeting type I interferons in systemic lupus erythematous&quot;,&quot;author&quot;:[{&quot;family&quot;:&quot;Bruera&quot;,&quot;given&quot;:&quot;Sebastian&quot;,&quot;parse-names&quot;:false,&quot;dropping-particle&quot;:&quot;&quot;,&quot;non-dropping-particle&quot;:&quot;&quot;},{&quot;family&quot;:&quot;Chavula&quot;,&quot;given&quot;:&quot;Thandiwe&quot;,&quot;parse-names&quot;:false,&quot;dropping-particle&quot;:&quot;&quot;,&quot;non-dropping-particle&quot;:&quot;&quot;},{&quot;family&quot;:&quot;Madan&quot;,&quot;given&quot;:&quot;Riya&quot;,&quot;parse-names&quot;:false,&quot;dropping-particle&quot;:&quot;&quot;,&quot;non-dropping-particle&quot;:&quot;&quot;},{&quot;family&quot;:&quot;Agarwal&quot;,&quot;given&quot;:&quot;Sandeep K.&quot;,&quot;parse-names&quot;:false,&quot;dropping-particle&quot;:&quot;&quot;,&quot;non-dropping-particle&quot;:&quot;&quot;}],&quot;container-title&quot;:&quot;Frontiers in Pharmacology&quot;,&quot;container-title-short&quot;:&quot;Front. Pharmacol.&quot;,&quot;DOI&quot;:&quot;10.3389/fphar.2022.1046687&quot;,&quot;ISSN&quot;:&quot;16639812&quot;,&quot;issued&quot;:{&quot;date-parts&quot;:[[2023,1,16]]},&quot;abstract&quot;:&quot;Systemic lupus erythematosus (SLE) is a complex autoimmune disease with systemic clinical manifestations including, but not limited to, rash, inflammatory arthritis, serositis, glomerulonephritis, and cerebritis. Treatment options for SLE are expanding and the increase in our understanding of the immune pathogenesis is leading to the development of new therapeutics. Autoantibody formation and immune complex formation are important mediators in lupus pathogenesis, but an important role of the type I interferon (IFN) pathway has been identified in SLE patients and mouse models of lupus. These studies have led to the development of therapeutics targeting type I IFN and related pathways for the treatment of certain manifestations of SLE. In the current narrative review, we will discuss the role of type I IFN in SLE pathogenesis and the potential translation of these data into strategies using type I IFN as a biomarker and therapeutic target for patients with SLE.&quot;,&quot;publisher&quot;:&quot;Frontiers Media S.A.&quot;,&quot;volume&quot;:&quot;13&quot;},&quot;isTemporary&quot;:false}]},{&quot;citationID&quot;:&quot;MENDELEY_CITATION_42b18f79-4a39-47eb-92b4-df206dd5d2b9&quot;,&quot;properties&quot;:{&quot;noteIndex&quot;:0},&quot;isEdited&quot;:false,&quot;manualOverride&quot;:{&quot;isManuallyOverridden&quot;:false,&quot;citeprocText&quot;:&quot;[3]&quot;,&quot;manualOverrideText&quot;:&quot;&quot;},&quot;citationTag&quot;:&quot;MENDELEY_CITATION_v3_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&quot;,&quot;citationItems&quot;:[{&quot;id&quot;:&quot;692483ea-92a9-3bfd-93b4-2258125ae959&quot;,&quot;itemData&quot;:{&quot;type&quot;:&quot;article-journal&quot;,&quot;id&quot;:&quot;692483ea-92a9-3bfd-93b4-2258125ae959&quot;,&quot;title&quot;:&quot;Systemic lupus erythematosus disease activity index 2000.&quot;,&quot;author&quot;:[{&quot;family&quot;:&quot;Gladman&quot;,&quot;given&quot;:&quot;Dafna D&quot;,&quot;parse-names&quot;:false,&quot;dropping-particle&quot;:&quot;&quot;,&quot;non-dropping-particle&quot;:&quot;&quot;},{&quot;family&quot;:&quot;Ibañez&quot;,&quot;given&quot;:&quot;Dominique&quot;,&quot;parse-names&quot;:false,&quot;dropping-particle&quot;:&quot;&quot;,&quot;non-dropping-particle&quot;:&quot;&quot;},{&quot;family&quot;:&quot;Urowitz&quot;,&quot;given&quot;:&quot;Murray B&quot;,&quot;parse-names&quot;:false,&quot;dropping-particle&quot;:&quot;&quot;,&quot;non-dropping-particle&quot;:&quot;&quot;}],&quot;container-title&quot;:&quot;The Journal of Rheumatology&quot;,&quot;container-title-short&quot;:&quot;J. Rheumatol.&quot;,&quot;accessed&quot;:{&quot;date-parts&quot;:[[2026,4,3]]},&quot;issued&quot;:{&quot;date-parts&quot;:[[2002]]},&quot;issue&quot;:&quot;2&quot;,&quot;volume&quot;:&quot;29&quot;},&quot;isTemporary&quot;:false}]},{&quot;citationID&quot;:&quot;MENDELEY_CITATION_a9004fae-119e-496f-ad43-273578129d80&quot;,&quot;properties&quot;:{&quot;noteIndex&quot;:0},&quot;isEdited&quot;:false,&quot;manualOverride&quot;:{&quot;isManuallyOverridden&quot;:false,&quot;citeprocText&quot;:&quot;[4–6]&quot;,&quot;manualOverrideText&quot;:&quot;&quot;},&quot;citationTag&quot;:&quot;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&quot;,&quot;citationItems&quot;:[{&quot;id&quot;:&quot;104d32f1-c3ad-35f4-9eee-a13827587262&quot;,&quot;itemData&quot;:{&quot;type&quot;:&quot;article-journal&quot;,&quot;id&quot;:&quot;104d32f1-c3ad-35f4-9eee-a13827587262&quot;,&quot;title&quot;:&quot;Validity of systemic lupus erythematosus disease activity score (SLE-DAS) for definition of lupus low disease activity state (LLDAS)&quot;,&quot;author&quot;:[{&quot;family&quot;:&quot;Abdelhady&quot;,&quot;given&quot;:&quot;Enas I&quot;,&quot;parse-names&quot;:false,&quot;dropping-particle&quot;:&quot;&quot;,&quot;non-dropping-particle&quot;:&quot;&quot;},{&quot;family&quot;:&quot;Rabie&quot;,&quot;given&quot;:&quot;Mona&quot;,&quot;parse-names&quot;:false,&quot;dropping-particle&quot;:&quot;&quot;,&quot;non-dropping-particle&quot;:&quot;&quot;},{&quot;family&quot;:&quot;Hassan&quot;,&quot;given&quot;:&quot;Rofaida A&quot;,&quot;parse-names&quot;:false,&quot;dropping-particle&quot;:&quot;&quot;,&quot;non-dropping-particle&quot;:&quot;&quot;}],&quot;accessed&quot;:{&quot;date-parts&quot;:[[2026,4,1]]},&quot;DOI&quot;:&quot;10.1007/s10067-021-05803-7&quot;,&quot;ISBN&quot;:&quot;0123456789&quot;,&quot;URL&quot;:&quot;https://doi.org/10.1007/s10067-021-05803-7&quot;,&quot;page&quot;:&quot;3&quot;,&quot;abstract&quot;:&quot;Introduction SLE disease activity score (SLE-DAS) is a novel, rapid, continuous and comprehensive score that overcomes the drawbacks of SLEDAI-2 K. Low lupus disease activity state (LLDAS) has been targeted as an endpoint in many clinical trials and as a favourable outcome in clinical practice. Therefore, our objective in the current study is to evaluate the validity of SLE-DAS for defining LLDAS as an objective in the treat-to-target strategy. Methods A cross-sectional study was carried out on 117 SLE patients who were diagnosed according to Systemic Lupus International Collaborating Clinics (SLICC) classification criteria for SLE. Patients were evaluated for disease activity by both SLEDAI-2 K and SLE-DAS. Additionally, patients were divided according to the SLEDAI-2 K-derived LLDAS definition into two groups: low disease activity (LDA) group and high disease activity (HDA) group. The validity of SLE-DAS for the definition of LLDAS was evaluated in comparison to SLEDAI-2 K. Results SLE-DAS shows highly significant positive correlation (r = 0.743, p &lt; 0.001) with SLEDAI-2 K. The ROC curve revealed that SLE-DAS is valid for the assessment of activity with the best detection of LLDAS was at 6.62 with 95.5% sensitivity, 79.3% specificity and 89.6% accuracy. Moreover, it had a good agreement with the SLEDAI-2 K-derived definition of LLDAS (k = 0.765, p &lt; 0.001). Conclusion SLE-DAS is a valid score for the definition of LLDAS which can be used in the clinical practice as a simple and precise standalone criterion. Key Points • Correlation between SLEDAI-2K and SLE-DAS revealed a high significance. • Identify SLE-DAS cutoff 6.62 for the definition of LLDAS. • There is a good agreement between SLEDAI-2K-derived definition of LLDAS and SLE-DAS definition.&quot;,&quot;volume&quot;:&quot;1&quot;,&quot;container-title-short&quot;:&quot;&quot;},&quot;isTemporary&quot;:false},{&quot;id&quot;:&quot;9046d6f7-f98b-3b04-95ff-1b5d9090d1e6&quot;,&quot;itemData&quot;:{&quot;type&quot;:&quot;article-journal&quot;,&quot;id&quot;:&quot;9046d6f7-f98b-3b04-95ff-1b5d9090d1e6&quot;,&quot;title&quot;:&quot;Definition and initial validation of a Lupus Low Disease Activity State (LLDAS)&quot;,&quot;author&quot;:[{&quot;family&quot;:&quot;Franklyn&quot;,&quot;given&quot;:&quot;Kate&quot;,&quot;parse-names&quot;:false,&quot;dropping-particle&quot;:&quot;&quot;,&quot;non-dropping-particle&quot;:&quot;&quot;},{&quot;family&quot;:&quot;Lau&quot;,&quot;given&quot;:&quot;Chak Sing&quot;,&quot;parse-names&quot;:false,&quot;dropping-particle&quot;:&quot;&quot;,&quot;non-dropping-particle&quot;:&quot;&quot;},{&quot;family&quot;:&quot;Navarra&quot;,&quot;given&quot;:&quot;Sandra&quot;,&quot;parse-names&quot;:false,&quot;dropping-particle&quot;:&quot;V.&quot;,&quot;non-dropping-particle&quot;:&quot;&quot;},{&quot;family&quot;:&quot;Louthrenoo&quot;,&quot;given&quot;:&quot;Worawit&quot;,&quot;parse-names&quot;:false,&quot;dropping-particle&quot;:&quot;&quot;,&quot;non-dropping-particle&quot;:&quot;&quot;},{&quot;family&quot;:&quot;Lateef&quot;,&quot;given&quot;:&quot;Aisha&quot;,&quot;parse-names&quot;:false,&quot;dropping-particle&quot;:&quot;&quot;,&quot;non-dropping-particle&quot;:&quot;&quot;},{&quot;family&quot;:&quot;Hamijoyo&quot;,&quot;given&quot;:&quot;Laniyati&quot;,&quot;parse-names&quot;:false,&quot;dropping-particle&quot;:&quot;&quot;,&quot;non-dropping-particle&quot;:&quot;&quot;},{&quot;family&quot;:&quot;Wahono&quot;,&quot;given&quot;:&quot;C. Singgih&quot;,&quot;parse-names&quot;:false,&quot;dropping-particle&quot;:&quot;&quot;,&quot;non-dropping-particle&quot;:&quot;&quot;},{&quot;family&quot;:&quot;Chen&quot;,&quot;given&quot;:&quot;Shun&quot;,&quot;parse-names&quot;:false,&quot;dropping-particle&quot;:&quot;Le&quot;,&quot;non-dropping-particle&quot;:&quot;&quot;},{&quot;family&quot;:&quot;Jin&quot;,&quot;given&quot;:&quot;Ou&quot;,&quot;parse-names&quot;:false,&quot;dropping-particle&quot;:&quot;&quot;,&quot;non-dropping-particle&quot;:&quot;&quot;},{&quot;family&quot;:&quot;Morton&quot;,&quot;given&quot;:&quot;Susan&quot;,&quot;parse-names&quot;:false,&quot;dropping-particle&quot;:&quot;&quot;,&quot;non-dropping-particle&quot;:&quot;&quot;},{&quot;family&quot;:&quot;Hoi&quot;,&quot;given&quot;:&quot;Alberta&quot;,&quot;parse-names&quot;:false,&quot;dropping-particle&quot;:&quot;&quot;,&quot;non-dropping-particle&quot;:&quot;&quot;},{&quot;family&quot;:&quot;Huq&quot;,&quot;given&quot;:&quot;Molla&quot;,&quot;parse-names&quot;:false,&quot;dropping-particle&quot;:&quot;&quot;,&quot;non-dropping-particle&quot;:&quot;&quot;},{&quot;family&quot;:&quot;Nikpour&quot;,&quot;given&quot;:&quot;Mandana&quot;,&quot;parse-names&quot;:false,&quot;dropping-particle&quot;:&quot;&quot;,&quot;non-dropping-particle&quot;:&quot;&quot;},{&quot;family&quot;:&quot;Morand&quot;,&quot;given&quot;:&quot;Eric F.&quot;,&quot;parse-names&quot;:false,&quot;dropping-particle&quot;:&quot;&quot;,&quot;non-dropping-particle&quot;:&quot;&quot;}],&quot;container-title&quot;:&quot;Annals of the Rheumatic Diseases&quot;,&quot;container-title-short&quot;:&quot;Ann. Rheum. Dis.&quot;,&quot;accessed&quot;:{&quot;date-parts&quot;:[[2026,3,29]]},&quot;DOI&quot;:&quot;10.1136/annrheumdis-2015-207726&quot;,&quot;ISSN&quot;:&quot;14682060&quot;,&quot;PMID&quot;:&quot;26458737&quot;,&quot;URL&quot;:&quot;https://pubmed.ncbi.nlm.nih.gov/26458737/&quot;,&quot;issued&quot;:{&quot;date-parts&quot;:[[2016,9,1]]},&quot;page&quot;:&quot;1615-1621&quot;,&quot;abstract&quot;:&quot;Aims Treating to low disease activity is routine in rheumatoid arthritis, but no comparable goal has been defined for systemic lupus erythematosus (SLE). We sought to define and validate a Lupus Low Disease Activity State (LLDAS). Methods A consensus definition of LLDAS was generated using Delphi and nominal group techniques. Criterion validity was determined by measuring the ability of LLDAS attainment, in a single-centre SLE cohort, to predict non-accrual of irreversible organ damage, measured using the Systemic Lupus International Collaborating Clinics Damage Index (SDI). Results Consensus methodology led to the following definition of LLDAS: (1) SLE Disease Activity Index (SLEDAI)-2K ≤4, with no activity in major organ systems (renal, central nervous system (CNS), cardiopulmonary, vasculitis, fever) and no haemolytic anaemia or gastrointestinal activity; (2) no new lupus disease activity compared with the previous assessment; (3) a Safety of Estrogens in Lupus Erythematosus National Assessment (SELENA)-SLEDAI physician global assessment (scale 0-3) ≤1; (4) a current prednisolone (or equivalent) dose ≤7.5 mg daily; and (5) well tolerated standard maintenance doses of immunosuppressive drugs and approved biological agents. Achievement of LLDAS was determined in 191 patients followed for a mean of 3.9 years. Patients who spent greater than 50% of their observed time in LLDAS had significantly reduced organ damage accrual compared with patients who spent less than 50% of their time in LLDAS (p=0.0007) and were significantly less likely to have an increase in SDI of ≥1 (relative risk 0.47, 95% CI 0.28 to 0.79, p=0.005). Conclusions A definition of LLDAS has been generated, and preliminary validation demonstrates its attainment to be associated with improved outcomes in SLE.&quot;,&quot;publisher&quot;:&quot;BMJ Publishing Group&quot;,&quot;issue&quot;:&quot;9&quot;,&quot;volume&quot;:&quot;75&quot;},&quot;isTemporary&quot;:false},{&quot;id&quot;:&quot;9a806830-cacc-35c2-9d77-0b7a54f64a83&quot;,&quot;itemData&quot;:{&quot;type&quot;:&quot;article-journal&quot;,&quot;id&quot;:&quot;9a806830-cacc-35c2-9d77-0b7a54f64a83&quot;,&quot;title&quot;:&quot;Definition and initial validation of a Lupus Low Disease Activity State (LLDAS)&quot;,&quot;author&quot;:[{&quot;family&quot;:&quot;Franklyn&quot;,&quot;given&quot;:&quot;Kate&quot;,&quot;parse-names&quot;:false,&quot;dropping-particle&quot;:&quot;&quot;,&quot;non-dropping-particle&quot;:&quot;&quot;},{&quot;family&quot;:&quot;Lau&quot;,&quot;given&quot;:&quot;Chak Sing&quot;,&quot;parse-names&quot;:false,&quot;dropping-particle&quot;:&quot;&quot;,&quot;non-dropping-particle&quot;:&quot;&quot;},{&quot;family&quot;:&quot;Navarra&quot;,&quot;given&quot;:&quot;Sandra&quot;,&quot;parse-names&quot;:false,&quot;dropping-particle&quot;:&quot;V.&quot;,&quot;non-dropping-particle&quot;:&quot;&quot;},{&quot;family&quot;:&quot;Louthrenoo&quot;,&quot;given&quot;:&quot;Worawit&quot;,&quot;parse-names&quot;:false,&quot;dropping-particle&quot;:&quot;&quot;,&quot;non-dropping-particle&quot;:&quot;&quot;},{&quot;family&quot;:&quot;Lateef&quot;,&quot;given&quot;:&quot;Aisha&quot;,&quot;parse-names&quot;:false,&quot;dropping-particle&quot;:&quot;&quot;,&quot;non-dropping-particle&quot;:&quot;&quot;},{&quot;family&quot;:&quot;Hamijoyo&quot;,&quot;given&quot;:&quot;Laniyati&quot;,&quot;parse-names&quot;:false,&quot;dropping-particle&quot;:&quot;&quot;,&quot;non-dropping-particle&quot;:&quot;&quot;},{&quot;family&quot;:&quot;Wahono&quot;,&quot;given&quot;:&quot;C. Singgih&quot;,&quot;parse-names&quot;:false,&quot;dropping-particle&quot;:&quot;&quot;,&quot;non-dropping-particle&quot;:&quot;&quot;},{&quot;family&quot;:&quot;Chen&quot;,&quot;given&quot;:&quot;Shun&quot;,&quot;parse-names&quot;:false,&quot;dropping-particle&quot;:&quot;Le&quot;,&quot;non-dropping-particle&quot;:&quot;&quot;},{&quot;family&quot;:&quot;Jin&quot;,&quot;given&quot;:&quot;Ou&quot;,&quot;parse-names&quot;:false,&quot;dropping-particle&quot;:&quot;&quot;,&quot;non-dropping-particle&quot;:&quot;&quot;},{&quot;family&quot;:&quot;Morton&quot;,&quot;given&quot;:&quot;Susan&quot;,&quot;parse-names&quot;:false,&quot;dropping-particle&quot;:&quot;&quot;,&quot;non-dropping-particle&quot;:&quot;&quot;},{&quot;family&quot;:&quot;Hoi&quot;,&quot;given&quot;:&quot;Alberta&quot;,&quot;parse-names&quot;:false,&quot;dropping-particle&quot;:&quot;&quot;,&quot;non-dropping-particle&quot;:&quot;&quot;},{&quot;family&quot;:&quot;Huq&quot;,&quot;given&quot;:&quot;Molla&quot;,&quot;parse-names&quot;:false,&quot;dropping-particle&quot;:&quot;&quot;,&quot;non-dropping-particle&quot;:&quot;&quot;},{&quot;family&quot;:&quot;Nikpour&quot;,&quot;given&quot;:&quot;Mandana&quot;,&quot;parse-names&quot;:false,&quot;dropping-particle&quot;:&quot;&quot;,&quot;non-dropping-particle&quot;:&quot;&quot;},{&quot;family&quot;:&quot;Morand&quot;,&quot;given&quot;:&quot;Eric F.&quot;,&quot;parse-names&quot;:false,&quot;dropping-particle&quot;:&quot;&quot;,&quot;non-dropping-particle&quot;:&quot;&quot;}],&quot;container-title&quot;:&quot;Annals of the Rheumatic Diseases&quot;,&quot;container-title-short&quot;:&quot;Ann. Rheum. Dis.&quot;,&quot;accessed&quot;:{&quot;date-parts&quot;:[[2026,4,1]]},&quot;DOI&quot;:&quot;10.1136/ANNRHEUMDIS-2015-207726&quot;,&quot;ISSN&quot;:&quot;14682060&quot;,&quot;PMID&quot;:&quot;26458737&quot;,&quot;issued&quot;:{&quot;date-parts&quot;:[[2016,9,1]]},&quot;page&quot;:&quot;1615-1621&quot;,&quot;abstract&quot;:&quot;Aims Treating to low disease activity is routine in rheumatoid arthritis, but no comparable goal has been defined for systemic lupus erythematosus (SLE). We sought to define and validate a Lupus Low Disease Activity State (LLDAS). Methods A consensus definition of LLDAS was generated using Delphi and nominal group techniques. Criterion validity was determined by measuring the ability of LLDAS attainment, in a single-centre SLE cohort, to predict non-accrual of irreversible organ damage, measured using the Systemic Lupus International Collaborating Clinics Damage Index (SDI). Results Consensus methodology led to the following definition of LLDAS: (1) SLE Disease Activity Index (SLEDAI)-2K ≤4, with no activity in major organ systems (renal, central nervous system (CNS), cardiopulmonary, vasculitis, fever) and no haemolytic anaemia or gastrointestinal activity; (2) no new lupus disease activity compared with the previous assessment; (3) a Safety of Estrogens in Lupus Erythematosus National Assessment (SELENA)-SLEDAI physician global assessment (scale 0-3) ≤1; (4) a current prednisolone (or equivalent) dose ≤7.5 mg daily; and (5) well tolerated standard maintenance doses of immunosuppressive drugs and approved biological agents. Achievement of LLDAS was determined in 191 patients followed for a mean of 3.9 years. Patients who spent greater than 50% of their observed time in LLDAS had significantly reduced organ damage accrual compared with patients who spent less than 50% of their time in LLDAS (p=0.0007) and were significantly less likely to have an increase in SDI of ≥1 (relative risk 0.47, 95% CI 0.28 to 0.79, p=0.005). Conclusions A definition of LLDAS has been generated, and preliminary validation demonstrates its attainment to be associated with improved outcomes in SLE.&quot;,&quot;publisher&quot;:&quot;BMJ Publishing Group&quot;,&quot;issue&quot;:&quot;9&quot;,&quot;volume&quot;:&quot;75&quot;},&quot;isTemporary&quot;:false}]},{&quot;citationID&quot;:&quot;MENDELEY_CITATION_ece7de12-9ae0-4a99-befe-6f97db54bebb&quot;,&quot;properties&quot;:{&quot;noteIndex&quot;:0},&quot;isEdited&quot;:false,&quot;manualOverride&quot;:{&quot;isManuallyOverridden&quot;:false,&quot;citeprocText&quot;:&quot;[7,8]&quot;,&quot;manualOverrideText&quot;:&quot;&quot;},&quot;citationTag&quot;:&quot;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&quot;,&quot;citationItems&quot;:[{&quot;id&quot;:&quot;0578acdd-82b9-3973-bb83-28231a108b0b&quot;,&quot;itemData&quot;:{&quot;type&quot;:&quot;article-journal&quot;,&quot;id&quot;:&quot;0578acdd-82b9-3973-bb83-28231a108b0b&quot;,&quot;title&quot;:&quot;Derivation and validation of the SLE Disease Activity Score (SLE-DAS): A new SLE continuous measure with high sensitivity for changes in disease activity&quot;,&quot;author&quot;:[{&quot;family&quot;:&quot;Jesus&quot;,&quot;given&quot;:&quot;Diogo&quot;,&quot;parse-names&quot;:false,&quot;dropping-particle&quot;:&quot;&quot;,&quot;non-dropping-particle&quot;:&quot;&quot;},{&quot;family&quot;:&quot;Matos&quot;,&quot;given&quot;:&quot;Ana&quot;,&quot;parse-names&quot;:false,&quot;dropping-particle&quot;:&quot;&quot;,&quot;non-dropping-particle&quot;:&quot;&quot;},{&quot;family&quot;:&quot;Henriques&quot;,&quot;given&quot;:&quot;Carla&quot;,&quot;parse-names&quot;:false,&quot;dropping-particle&quot;:&quot;&quot;,&quot;non-dropping-particle&quot;:&quot;&quot;},{&quot;family&quot;:&quot;Zen&quot;,&quot;given&quot;:&quot;Margherita&quot;,&quot;parse-names&quot;:false,&quot;dropping-particle&quot;:&quot;&quot;,&quot;non-dropping-particle&quot;:&quot;&quot;},{&quot;family&quot;:&quot;Larosa&quot;,&quot;given&quot;:&quot;Maddalena&quot;,&quot;parse-names&quot;:false,&quot;dropping-particle&quot;:&quot;&quot;,&quot;non-dropping-particle&quot;:&quot;&quot;},{&quot;family&quot;:&quot;Iaccarino&quot;,&quot;given&quot;:&quot;Luca&quot;,&quot;parse-names&quot;:false,&quot;dropping-particle&quot;:&quot;&quot;,&quot;non-dropping-particle&quot;:&quot;&quot;},{&quot;family&quot;:&quot;Silva&quot;,&quot;given&quot;:&quot;José António Pereira&quot;,&quot;parse-names&quot;:false,&quot;dropping-particle&quot;:&quot;&quot;,&quot;non-dropping-particle&quot;:&quot;da&quot;},{&quot;family&quot;:&quot;Doria&quot;,&quot;given&quot;:&quot;Andrea&quot;,&quot;parse-names&quot;:false,&quot;dropping-particle&quot;:&quot;&quot;,&quot;non-dropping-particle&quot;:&quot;&quot;},{&quot;family&quot;:&quot;Inês&quot;,&quot;given&quot;:&quot;Luís Sousa&quot;,&quot;parse-names&quot;:false,&quot;dropping-particle&quot;:&quot;&quot;,&quot;non-dropping-particle&quot;:&quot;&quot;}],&quot;container-title&quot;:&quot;Annals of the Rheumatic Diseases&quot;,&quot;container-title-short&quot;:&quot;Ann. Rheum. Dis.&quot;,&quot;accessed&quot;:{&quot;date-parts&quot;:[[2026,3,29]]},&quot;DOI&quot;:&quot;10.1136/annrheumdis-2018-214502&quot;,&quot;ISSN&quot;:&quot;14682060&quot;,&quot;PMID&quot;:&quot;30626657&quot;,&quot;URL&quot;:&quot;https://pubmed.ncbi.nlm.nih.gov/30626657/&quot;,&quot;issued&quot;:{&quot;date-parts&quot;:[[2019]]},&quot;page&quot;:&quot;365-371&quot;,&quot;abstract&quot;:&quot;Objectives To derive and validate a new disease activity measure for systemic lupus erythematosus (sle), the sle Disease activity score (sle-Das), with improved sensitivity to change as compared with sle Disease activity index (sleDai), while maintaining high specificity and easiness of use. Methods We studied 520 patients with sle from two tertiary care centres (derivation and validation cohorts). at each visit, disease activity was scored using the Physician Global assessment (PGa) and sleDai 2000 (sleDai-2K). To construct the sle-Das, we applied multivariate linear regression analysis in the derivation cohort, with PGa as dependent variable. The formula was validated in a different cohort through the study of: (1) correlations between sle-Das, PGa and sleDai-2K; (2) performance of sleDai-2K and sle-Das in identifying a clinically meaningful change in disease activity (ΔPGa≥0.3); and (3) accuracy of sleDai-2K and sle-Das time-adjusted means in predicting damage accrual. results The final sle-Das instrument included 17 items. sle-Das was highly correlated with PGa (r=0.875, p&lt;0.0005) and sleDai-2K (r=0.943, p&lt;0.0005) in the validation cohort. The optimal discriminative Δsle-Das cut-off to detect a clinically meaningful change was 1.72. in the validation cohort, sle-Das showed a higher sensitivity than sleDai-2K (change ≥4) to detect a clinically meaningful improvement (89.5% vs 47.4%, p=0.008) or worsening (95.5% vs 59.1%, p=0.008), while maintaining similar specificities. sle-Das performed better in predicting damage accrual than sleDai-2K. Conclusion sle-Das has a good construct validity and has better performance than sleDai-2K in identifying clinically significant changes in disease activity and in predicting damage accrual.&quot;,&quot;publisher&quot;:&quot;BMJ Publishing Group&quot;,&quot;issue&quot;:&quot;3&quot;,&quot;volume&quot;:&quot;78&quot;},&quot;isTemporary&quot;:false},{&quot;id&quot;:&quot;702885d7-c549-3f3d-a75e-ace4244cb138&quot;,&quot;itemData&quot;:{&quot;type&quot;:&quot;article-journal&quot;,&quot;id&quot;:&quot;702885d7-c549-3f3d-a75e-ace4244cb138&quot;,&quot;title&quot;:&quot;New classification criteria for systemic lupus erythematosus correlate with disease activity&quot;,&quot;author&quot;:[{&quot;family&quot;:&quot;Anić&quot;,&quot;given&quot;:&quot;Felina&quot;,&quot;parse-names&quot;:false,&quot;dropping-particle&quot;:&quot;&quot;,&quot;non-dropping-particle&quot;:&quot;&quot;},{&quot;family&quot;:&quot;Žuvić-Butorac&quot;,&quot;given&quot;:&quot;Marta&quot;,&quot;parse-names&quot;:false,&quot;dropping-particle&quot;:&quot;&quot;,&quot;non-dropping-particle&quot;:&quot;&quot;},{&quot;family&quot;:&quot;Štimać&quot;,&quot;given&quot;:&quot;Davor&quot;,&quot;parse-names&quot;:false,&quot;dropping-particle&quot;:&quot;&quot;,&quot;non-dropping-particle&quot;:&quot;&quot;},{&quot;family&quot;:&quot;Novak&quot;,&quot;given&quot;:&quot;Srdan&quot;,&quot;parse-names&quot;:false,&quot;dropping-particle&quot;:&quot;&quot;,&quot;non-dropping-particle&quot;:&quot;&quot;}],&quot;container-title&quot;:&quot;Croatian Medical Journal&quot;,&quot;container-title-short&quot;:&quot;Croat. Med. J.&quot;,&quot;accessed&quot;:{&quot;date-parts&quot;:[[2026,4,1]]},&quot;DOI&quot;:&quot;10.3325/CMJ.2014.55.514&quot;,&quot;ISSN&quot;:&quot;13328166&quot;,&quot;PMID&quot;:&quot;25358884&quot;,&quot;URL&quot;:&quot;https://pmc.ncbi.nlm.nih.gov/articles/PMC4228292/&quot;,&quot;issued&quot;:{&quot;date-parts&quot;:[[2014]]},&quot;page&quot;:&quot;514&quot;,&quot;abstract&quot;:&quot;Aim To determine the prevalence of American College of Rheumatology (ACR) and Systemic Lupus International Collaborating Clinics (SLICC) classification criteria among systemic lupus erythematosus (SLE) patients; to determine disease activity and severity; and to investigate the correlation of classification criteria with disease activity, and of disease activity and damage index with disease duration. Methods We performed a cross-sectional study on 110 SLE patients from the Division of Rheumatology and Clinical Immunology, University Hospital Centre Rijeka, Croatia in the period from September to December 2013 and determined disease duration and the total number of ACR and SLICC classification criteria. Disease activity was assessed by Systemic Lupus Erythematosus Disease Activity Index (SLEDAI) index and organ damage by Systemic Lupus International Collaborating Clinics/American College of Rheumatology (SLICC/ACR) damage index. Results The number of SLICC classification criteria met per patient was significantly higher than the number of ACR criteria (7 [IQR 6-8] vs 5 [IQR 4-6], P &lt; 0.001). Moderate correlations were detected between the number of SLICC classification criteria and disease activity index, both in case of active (r = 0.48, P = 0.003) and inactive disease (r = 0.43, P &lt; 0.001). We neither found a correlation between the number of ACR criteria and disease activity nor between disease activity and disease duration. However, there was a good correlation between SLICC/ACR damage index and disease duration (r = 0.63, P &lt; 0.001). Conclusion New SLICC classification criteria correlate with disease activity because they capture more manifestations also included in the SLEDAI index. Patients with longer disease duration had a larger damage index score.&quot;,&quot;publisher&quot;:&quot;Medicinska Naklada Zagreb&quot;,&quot;issue&quot;:&quot;5&quot;,&quot;volume&quot;:&quot;55&quot;},&quot;isTemporary&quot;:false}]},{&quot;citationID&quot;:&quot;MENDELEY_CITATION_5c5ea64f-5f9d-474e-a903-6eb450092af5&quot;,&quot;properties&quot;:{&quot;noteIndex&quot;:0},&quot;isEdited&quot;:false,&quot;manualOverride&quot;:{&quot;isManuallyOverridden&quot;:false,&quot;citeprocText&quot;:&quot;[7]&quot;,&quot;manualOverrideText&quot;:&quot;&quot;},&quot;citationTag&quot;:&quot;MENDELEY_CITATION_v3_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&quot;,&quot;citationItems&quot;:[{&quot;id&quot;:&quot;0578acdd-82b9-3973-bb83-28231a108b0b&quot;,&quot;itemData&quot;:{&quot;type&quot;:&quot;article-journal&quot;,&quot;id&quot;:&quot;0578acdd-82b9-3973-bb83-28231a108b0b&quot;,&quot;title&quot;:&quot;Derivation and validation of the SLE Disease Activity Score (SLE-DAS): A new SLE continuous measure with high sensitivity for changes in disease activity&quot;,&quot;author&quot;:[{&quot;family&quot;:&quot;Jesus&quot;,&quot;given&quot;:&quot;Diogo&quot;,&quot;parse-names&quot;:false,&quot;dropping-particle&quot;:&quot;&quot;,&quot;non-dropping-particle&quot;:&quot;&quot;},{&quot;family&quot;:&quot;Matos&quot;,&quot;given&quot;:&quot;Ana&quot;,&quot;parse-names&quot;:false,&quot;dropping-particle&quot;:&quot;&quot;,&quot;non-dropping-particle&quot;:&quot;&quot;},{&quot;family&quot;:&quot;Henriques&quot;,&quot;given&quot;:&quot;Carla&quot;,&quot;parse-names&quot;:false,&quot;dropping-particle&quot;:&quot;&quot;,&quot;non-dropping-particle&quot;:&quot;&quot;},{&quot;family&quot;:&quot;Zen&quot;,&quot;given&quot;:&quot;Margherita&quot;,&quot;parse-names&quot;:false,&quot;dropping-particle&quot;:&quot;&quot;,&quot;non-dropping-particle&quot;:&quot;&quot;},{&quot;family&quot;:&quot;Larosa&quot;,&quot;given&quot;:&quot;Maddalena&quot;,&quot;parse-names&quot;:false,&quot;dropping-particle&quot;:&quot;&quot;,&quot;non-dropping-particle&quot;:&quot;&quot;},{&quot;family&quot;:&quot;Iaccarino&quot;,&quot;given&quot;:&quot;Luca&quot;,&quot;parse-names&quot;:false,&quot;dropping-particle&quot;:&quot;&quot;,&quot;non-dropping-particle&quot;:&quot;&quot;},{&quot;family&quot;:&quot;Silva&quot;,&quot;given&quot;:&quot;José António Pereira&quot;,&quot;parse-names&quot;:false,&quot;dropping-particle&quot;:&quot;&quot;,&quot;non-dropping-particle&quot;:&quot;da&quot;},{&quot;family&quot;:&quot;Doria&quot;,&quot;given&quot;:&quot;Andrea&quot;,&quot;parse-names&quot;:false,&quot;dropping-particle&quot;:&quot;&quot;,&quot;non-dropping-particle&quot;:&quot;&quot;},{&quot;family&quot;:&quot;Inês&quot;,&quot;given&quot;:&quot;Luís Sousa&quot;,&quot;parse-names&quot;:false,&quot;dropping-particle&quot;:&quot;&quot;,&quot;non-dropping-particle&quot;:&quot;&quot;}],&quot;container-title&quot;:&quot;Annals of the Rheumatic Diseases&quot;,&quot;container-title-short&quot;:&quot;Ann. Rheum. Dis.&quot;,&quot;accessed&quot;:{&quot;date-parts&quot;:[[2026,3,29]]},&quot;DOI&quot;:&quot;10.1136/annrheumdis-2018-214502&quot;,&quot;ISSN&quot;:&quot;14682060&quot;,&quot;PMID&quot;:&quot;30626657&quot;,&quot;URL&quot;:&quot;https://pubmed.ncbi.nlm.nih.gov/30626657/&quot;,&quot;issued&quot;:{&quot;date-parts&quot;:[[2019]]},&quot;page&quot;:&quot;365-371&quot;,&quot;abstract&quot;:&quot;Objectives To derive and validate a new disease activity measure for systemic lupus erythematosus (sle), the sle Disease activity score (sle-Das), with improved sensitivity to change as compared with sle Disease activity index (sleDai), while maintaining high specificity and easiness of use. Methods We studied 520 patients with sle from two tertiary care centres (derivation and validation cohorts). at each visit, disease activity was scored using the Physician Global assessment (PGa) and sleDai 2000 (sleDai-2K). To construct the sle-Das, we applied multivariate linear regression analysis in the derivation cohort, with PGa as dependent variable. The formula was validated in a different cohort through the study of: (1) correlations between sle-Das, PGa and sleDai-2K; (2) performance of sleDai-2K and sle-Das in identifying a clinically meaningful change in disease activity (ΔPGa≥0.3); and (3) accuracy of sleDai-2K and sle-Das time-adjusted means in predicting damage accrual. results The final sle-Das instrument included 17 items. sle-Das was highly correlated with PGa (r=0.875, p&lt;0.0005) and sleDai-2K (r=0.943, p&lt;0.0005) in the validation cohort. The optimal discriminative Δsle-Das cut-off to detect a clinically meaningful change was 1.72. in the validation cohort, sle-Das showed a higher sensitivity than sleDai-2K (change ≥4) to detect a clinically meaningful improvement (89.5% vs 47.4%, p=0.008) or worsening (95.5% vs 59.1%, p=0.008), while maintaining similar specificities. sle-Das performed better in predicting damage accrual than sleDai-2K. Conclusion sle-Das has a good construct validity and has better performance than sleDai-2K in identifying clinically significant changes in disease activity and in predicting damage accrual.&quot;,&quot;publisher&quot;:&quot;BMJ Publishing Group&quot;,&quot;issue&quot;:&quot;3&quot;,&quot;volume&quot;:&quot;78&quot;},&quot;isTemporary&quot;:false}]},{&quot;citationID&quot;:&quot;MENDELEY_CITATION_10ff9c06-4cbd-419b-89d3-97e3e27eeab8&quot;,&quot;properties&quot;:{&quot;noteIndex&quot;:0},&quot;isEdited&quot;:false,&quot;manualOverride&quot;:{&quot;isManuallyOverridden&quot;:false,&quot;citeprocText&quot;:&quot;[7]&quot;,&quot;manualOverrideText&quot;:&quot;&quot;},&quot;citationTag&quot;:&quot;MENDELEY_CITATION_v3_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&quot;,&quot;citationItems&quot;:[{&quot;id&quot;:&quot;0578acdd-82b9-3973-bb83-28231a108b0b&quot;,&quot;itemData&quot;:{&quot;type&quot;:&quot;article-journal&quot;,&quot;id&quot;:&quot;0578acdd-82b9-3973-bb83-28231a108b0b&quot;,&quot;title&quot;:&quot;Derivation and validation of the SLE Disease Activity Score (SLE-DAS): A new SLE continuous measure with high sensitivity for changes in disease activity&quot;,&quot;author&quot;:[{&quot;family&quot;:&quot;Jesus&quot;,&quot;given&quot;:&quot;Diogo&quot;,&quot;parse-names&quot;:false,&quot;dropping-particle&quot;:&quot;&quot;,&quot;non-dropping-particle&quot;:&quot;&quot;},{&quot;family&quot;:&quot;Matos&quot;,&quot;given&quot;:&quot;Ana&quot;,&quot;parse-names&quot;:false,&quot;dropping-particle&quot;:&quot;&quot;,&quot;non-dropping-particle&quot;:&quot;&quot;},{&quot;family&quot;:&quot;Henriques&quot;,&quot;given&quot;:&quot;Carla&quot;,&quot;parse-names&quot;:false,&quot;dropping-particle&quot;:&quot;&quot;,&quot;non-dropping-particle&quot;:&quot;&quot;},{&quot;family&quot;:&quot;Zen&quot;,&quot;given&quot;:&quot;Margherita&quot;,&quot;parse-names&quot;:false,&quot;dropping-particle&quot;:&quot;&quot;,&quot;non-dropping-particle&quot;:&quot;&quot;},{&quot;family&quot;:&quot;Larosa&quot;,&quot;given&quot;:&quot;Maddalena&quot;,&quot;parse-names&quot;:false,&quot;dropping-particle&quot;:&quot;&quot;,&quot;non-dropping-particle&quot;:&quot;&quot;},{&quot;family&quot;:&quot;Iaccarino&quot;,&quot;given&quot;:&quot;Luca&quot;,&quot;parse-names&quot;:false,&quot;dropping-particle&quot;:&quot;&quot;,&quot;non-dropping-particle&quot;:&quot;&quot;},{&quot;family&quot;:&quot;Silva&quot;,&quot;given&quot;:&quot;José António Pereira&quot;,&quot;parse-names&quot;:false,&quot;dropping-particle&quot;:&quot;&quot;,&quot;non-dropping-particle&quot;:&quot;da&quot;},{&quot;family&quot;:&quot;Doria&quot;,&quot;given&quot;:&quot;Andrea&quot;,&quot;parse-names&quot;:false,&quot;dropping-particle&quot;:&quot;&quot;,&quot;non-dropping-particle&quot;:&quot;&quot;},{&quot;family&quot;:&quot;Inês&quot;,&quot;given&quot;:&quot;Luís Sousa&quot;,&quot;parse-names&quot;:false,&quot;dropping-particle&quot;:&quot;&quot;,&quot;non-dropping-particle&quot;:&quot;&quot;}],&quot;container-title&quot;:&quot;Annals of the Rheumatic Diseases&quot;,&quot;container-title-short&quot;:&quot;Ann. Rheum. Dis.&quot;,&quot;accessed&quot;:{&quot;date-parts&quot;:[[2026,3,29]]},&quot;DOI&quot;:&quot;10.1136/annrheumdis-2018-214502&quot;,&quot;ISSN&quot;:&quot;14682060&quot;,&quot;PMID&quot;:&quot;30626657&quot;,&quot;URL&quot;:&quot;https://pubmed.ncbi.nlm.nih.gov/30626657/&quot;,&quot;issued&quot;:{&quot;date-parts&quot;:[[2019]]},&quot;page&quot;:&quot;365-371&quot;,&quot;abstract&quot;:&quot;Objectives To derive and validate a new disease activity measure for systemic lupus erythematosus (sle), the sle Disease activity score (sle-Das), with improved sensitivity to change as compared with sle Disease activity index (sleDai), while maintaining high specificity and easiness of use. Methods We studied 520 patients with sle from two tertiary care centres (derivation and validation cohorts). at each visit, disease activity was scored using the Physician Global assessment (PGa) and sleDai 2000 (sleDai-2K). To construct the sle-Das, we applied multivariate linear regression analysis in the derivation cohort, with PGa as dependent variable. The formula was validated in a different cohort through the study of: (1) correlations between sle-Das, PGa and sleDai-2K; (2) performance of sleDai-2K and sle-Das in identifying a clinically meaningful change in disease activity (ΔPGa≥0.3); and (3) accuracy of sleDai-2K and sle-Das time-adjusted means in predicting damage accrual. results The final sle-Das instrument included 17 items. sle-Das was highly correlated with PGa (r=0.875, p&lt;0.0005) and sleDai-2K (r=0.943, p&lt;0.0005) in the validation cohort. The optimal discriminative Δsle-Das cut-off to detect a clinically meaningful change was 1.72. in the validation cohort, sle-Das showed a higher sensitivity than sleDai-2K (change ≥4) to detect a clinically meaningful improvement (89.5% vs 47.4%, p=0.008) or worsening (95.5% vs 59.1%, p=0.008), while maintaining similar specificities. sle-Das performed better in predicting damage accrual than sleDai-2K. Conclusion sle-Das has a good construct validity and has better performance than sleDai-2K in identifying clinically significant changes in disease activity and in predicting damage accrual.&quot;,&quot;publisher&quot;:&quot;BMJ Publishing Group&quot;,&quot;issue&quot;:&quot;3&quot;,&quot;volume&quot;:&quot;78&quot;},&quot;isTemporary&quot;:false}]},{&quot;citationID&quot;:&quot;MENDELEY_CITATION_14849427-a0b3-40ea-bd78-d96c69d77eef&quot;,&quot;properties&quot;:{&quot;noteIndex&quot;:0},&quot;isEdited&quot;:false,&quot;manualOverride&quot;:{&quot;isManuallyOverridden&quot;:false,&quot;citeprocText&quot;:&quot;[9]&quot;,&quot;manualOverrideText&quot;:&quot;&quot;},&quot;citationTag&quot;:&quot;MENDELEY_CITATION_v3_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&quot;,&quot;citationItems&quot;:[{&quot;id&quot;:&quot;e2d32a65-f82f-3018-b1fb-872d29d087dc&quot;,&quot;itemData&quot;:{&quot;type&quot;:&quot;article-journal&quot;,&quot;id&quot;:&quot;e2d32a65-f82f-3018-b1fb-872d29d087dc&quot;,&quot;title&quot;:&quot;Systemic Lupus Erythematosus Disease Activity Score (SLE-DAS) enables accurate and user-friendly definitions of clinical remission and categories of disease activity&quot;,&quot;author&quot;:[{&quot;family&quot;:&quot;Jesus&quot;,&quot;given&quot;:&quot;Diogo&quot;,&quot;parse-names&quot;:false,&quot;dropping-particle&quot;:&quot;&quot;,&quot;non-dropping-particle&quot;:&quot;&quot;},{&quot;family&quot;:&quot;Larosa&quot;,&quot;given&quot;:&quot;Maddalena&quot;,&quot;parse-names&quot;:false,&quot;dropping-particle&quot;:&quot;&quot;,&quot;non-dropping-particle&quot;:&quot;&quot;},{&quot;family&quot;:&quot;Henriques&quot;,&quot;given&quot;:&quot;Carla&quot;,&quot;parse-names&quot;:false,&quot;dropping-particle&quot;:&quot;&quot;,&quot;non-dropping-particle&quot;:&quot;&quot;},{&quot;family&quot;:&quot;Matos&quot;,&quot;given&quot;:&quot;Ana&quot;,&quot;parse-names&quot;:false,&quot;dropping-particle&quot;:&quot;&quot;,&quot;non-dropping-particle&quot;:&quot;&quot;},{&quot;family&quot;:&quot;Zen&quot;,&quot;given&quot;:&quot;Margherita&quot;,&quot;parse-names&quot;:false,&quot;dropping-particle&quot;:&quot;&quot;,&quot;non-dropping-particle&quot;:&quot;&quot;},{&quot;family&quot;:&quot;Tomé&quot;,&quot;given&quot;:&quot;Paulo&quot;,&quot;parse-names&quot;:false,&quot;dropping-particle&quot;:&quot;&quot;,&quot;non-dropping-particle&quot;:&quot;&quot;},{&quot;family&quot;:&quot;Alves&quot;,&quot;given&quot;:&quot;Valter&quot;,&quot;parse-names&quot;:false,&quot;dropping-particle&quot;:&quot;&quot;,&quot;non-dropping-particle&quot;:&quot;&quot;},{&quot;family&quot;:&quot;Costa&quot;,&quot;given&quot;:&quot;Nuno&quot;,&quot;parse-names&quot;:false,&quot;dropping-particle&quot;:&quot;&quot;,&quot;non-dropping-particle&quot;:&quot;&quot;},{&quot;family&quot;:&quot;Guern&quot;,&quot;given&quot;:&quot;Véronique&quot;,&quot;parse-names&quot;:false,&quot;dropping-particle&quot;:&quot;&quot;,&quot;non-dropping-particle&quot;:&quot;Le&quot;},{&quot;family&quot;:&quot;Iaccarino&quot;,&quot;given&quot;:&quot;Luca&quot;,&quot;parse-names&quot;:false,&quot;dropping-particle&quot;:&quot;&quot;,&quot;non-dropping-particle&quot;:&quot;&quot;},{&quot;family&quot;:&quot;Costedoat-Chalumeau&quot;,&quot;given&quot;:&quot;Nathalie&quot;,&quot;parse-names&quot;:false,&quot;dropping-particle&quot;:&quot;&quot;,&quot;non-dropping-particle&quot;:&quot;&quot;},{&quot;family&quot;:&quot;Doria&quot;,&quot;given&quot;:&quot;Andrea&quot;,&quot;parse-names&quot;:false,&quot;dropping-particle&quot;:&quot;&quot;,&quot;non-dropping-particle&quot;:&quot;&quot;},{&quot;family&quot;:&quot;Inês&quot;,&quot;given&quot;:&quot;Luís Sousa&quot;,&quot;parse-names&quot;:false,&quot;dropping-particle&quot;:&quot;&quot;,&quot;non-dropping-particle&quot;:&quot;&quot;}],&quot;container-title&quot;:&quot;Annals of the Rheumatic Diseases&quot;,&quot;container-title-short&quot;:&quot;Ann. Rheum. Dis.&quot;,&quot;accessed&quot;:{&quot;date-parts&quot;:[[2026,4,3]]},&quot;DOI&quot;:&quot;10.1136/annrheumdis-2021-220363&quot;,&quot;ISSN&quot;:&quot;14682060&quot;,&quot;PMID&quot;:&quot;34407927&quot;,&quot;URL&quot;:&quot;https://pubmed.ncbi.nlm.nih.gov/34407927/&quot;,&quot;issued&quot;:{&quot;date-parts&quot;:[[2021,12,1]]},&quot;page&quot;:&quot;1568-1574&quot;,&quot;abstract&quot;:&quot;Objectives: There is an unmet need for accurate and user-friendly definitions of systemic lupus erythematosus (SLE) disease activity and remission. We aimed to derive and validate the SLE Disease Activity Score (SLE-DAS) definitions for disease activity categories and clinical remission state. Methods: Derivation was conducted at Padova Lupus Clinic (Italy). Validation was prospectively performed at Cochin Lupus Clinic (France) and by post hoc analysis of BLISS-76 trial. At each clinic, an expert classified patients in three categories: remission, mild or moderate/severe activity. The SLE-DAS cut-offs were derived using the receiver operating characteristic curve analysis in Padova cohort; its performance was assessed against expert classification in Cochin cohort and British Isles Lupus Assessment Group (BILAG) index in BLISS-76. Gold standard for clinical remission state was the fulfilment of Definition Of Remission In SLE. A Boolean and an index-based definitions of remission were sustained by chi-square automatic interaction detection algorithm. An SLE-DAS online calculator was developed and tested. Results: We included 1190 patients with SLE: 221 in the derivation cohort and 969 in the validation cohorts (150 from Cochin; 819 from BLISS-76). Derived cut-offs were: remission, SLE-DAS ≤2.08; mild activity, 2.0&lt;SLE-DAS≤7.64; moderate/severe activity, SLE-DAS &gt;7.64. Regarding validation in Cochin cohort, sensitivity and specificity are above 90%, 82% and 95% for remission, mild and moderate/severe activity, respectively. The SLE-DAS Boolean-based and index-based remission showed sensitivity of 100% and specificity above 97%. Conclusion: The SLE-DAS is an accurate and easy-to- use tool for defining SLE clinical remission state and disease activity categories, validated against expert assessment and BILAG.&quot;,&quot;publisher&quot;:&quot;BMJ Publishing Group&quot;,&quot;issue&quot;:&quot;12&quot;,&quot;volume&quot;:&quot;80&quot;},&quot;isTemporary&quot;:false}]},{&quot;citationID&quot;:&quot;MENDELEY_CITATION_ea1395e8-d6f7-45af-a929-06f647f3f2c1&quot;,&quot;properties&quot;:{&quot;noteIndex&quot;:0},&quot;isEdited&quot;:false,&quot;manualOverride&quot;:{&quot;isManuallyOverridden&quot;:false,&quot;citeprocText&quot;:&quot;[8,10]&quot;,&quot;manualOverrideText&quot;:&quot;&quot;},&quot;citationTag&quot;:&quot;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&quot;,&quot;citationItems&quot;:[{&quot;id&quot;:&quot;702885d7-c549-3f3d-a75e-ace4244cb138&quot;,&quot;itemData&quot;:{&quot;type&quot;:&quot;article-journal&quot;,&quot;id&quot;:&quot;702885d7-c549-3f3d-a75e-ace4244cb138&quot;,&quot;title&quot;:&quot;New classification criteria for systemic lupus erythematosus correlate with disease activity&quot;,&quot;author&quot;:[{&quot;family&quot;:&quot;Anić&quot;,&quot;given&quot;:&quot;Felina&quot;,&quot;parse-names&quot;:false,&quot;dropping-particle&quot;:&quot;&quot;,&quot;non-dropping-particle&quot;:&quot;&quot;},{&quot;family&quot;:&quot;Žuvić-Butorac&quot;,&quot;given&quot;:&quot;Marta&quot;,&quot;parse-names&quot;:false,&quot;dropping-particle&quot;:&quot;&quot;,&quot;non-dropping-particle&quot;:&quot;&quot;},{&quot;family&quot;:&quot;Štimać&quot;,&quot;given&quot;:&quot;Davor&quot;,&quot;parse-names&quot;:false,&quot;dropping-particle&quot;:&quot;&quot;,&quot;non-dropping-particle&quot;:&quot;&quot;},{&quot;family&quot;:&quot;Novak&quot;,&quot;given&quot;:&quot;Srdan&quot;,&quot;parse-names&quot;:false,&quot;dropping-particle&quot;:&quot;&quot;,&quot;non-dropping-particle&quot;:&quot;&quot;}],&quot;container-title&quot;:&quot;Croatian Medical Journal&quot;,&quot;container-title-short&quot;:&quot;Croat. Med. J.&quot;,&quot;accessed&quot;:{&quot;date-parts&quot;:[[2026,4,1]]},&quot;DOI&quot;:&quot;10.3325/CMJ.2014.55.514&quot;,&quot;ISSN&quot;:&quot;13328166&quot;,&quot;PMID&quot;:&quot;25358884&quot;,&quot;URL&quot;:&quot;https://pmc.ncbi.nlm.nih.gov/articles/PMC4228292/&quot;,&quot;issued&quot;:{&quot;date-parts&quot;:[[2014]]},&quot;page&quot;:&quot;514&quot;,&quot;abstract&quot;:&quot;Aim To determine the prevalence of American College of Rheumatology (ACR) and Systemic Lupus International Collaborating Clinics (SLICC) classification criteria among systemic lupus erythematosus (SLE) patients; to determine disease activity and severity; and to investigate the correlation of classification criteria with disease activity, and of disease activity and damage index with disease duration. Methods We performed a cross-sectional study on 110 SLE patients from the Division of Rheumatology and Clinical Immunology, University Hospital Centre Rijeka, Croatia in the period from September to December 2013 and determined disease duration and the total number of ACR and SLICC classification criteria. Disease activity was assessed by Systemic Lupus Erythematosus Disease Activity Index (SLEDAI) index and organ damage by Systemic Lupus International Collaborating Clinics/American College of Rheumatology (SLICC/ACR) damage index. Results The number of SLICC classification criteria met per patient was significantly higher than the number of ACR criteria (7 [IQR 6-8] vs 5 [IQR 4-6], P &lt; 0.001). Moderate correlations were detected between the number of SLICC classification criteria and disease activity index, both in case of active (r = 0.48, P = 0.003) and inactive disease (r = 0.43, P &lt; 0.001). We neither found a correlation between the number of ACR criteria and disease activity nor between disease activity and disease duration. However, there was a good correlation between SLICC/ACR damage index and disease duration (r = 0.63, P &lt; 0.001). Conclusion New SLICC classification criteria correlate with disease activity because they capture more manifestations also included in the SLEDAI index. Patients with longer disease duration had a larger damage index score.&quot;,&quot;publisher&quot;:&quot;Medicinska Naklada Zagreb&quot;,&quot;issue&quot;:&quot;5&quot;,&quot;volume&quot;:&quot;55&quot;},&quot;isTemporary&quot;:false},{&quot;id&quot;:&quot;f635edb9-6bec-342d-9ebd-e5768aca6ae6&quot;,&quot;itemData&quot;:{&quot;type&quot;:&quot;article-journal&quot;,&quot;id&quot;:&quot;f635edb9-6bec-342d-9ebd-e5768aca6ae6&quot;,&quot;title&quot;:&quot;The reliability of the Systemic Lupus International Collaborating Clinics/American College of Rheumatology Damage Index in patients with systemic lupus erythematosus&quot;,&quot;author&quot;:[{&quot;family&quot;:&quot;Gladman&quot;,&quot;given&quot;:&quot;Dafna D.&quot;,&quot;parse-names&quot;:false,&quot;dropping-particle&quot;:&quot;&quot;,&quot;non-dropping-particle&quot;:&quot;&quot;},{&quot;family&quot;:&quot;Urowitz&quot;,&quot;given&quot;:&quot;Murray B.&quot;,&quot;parse-names&quot;:false,&quot;dropping-particle&quot;:&quot;&quot;,&quot;non-dropping-particle&quot;:&quot;&quot;},{&quot;family&quot;:&quot;Goldsmith&quot;,&quot;given&quot;:&quot;Charles H.&quot;,&quot;parse-names&quot;:false,&quot;dropping-particle&quot;:&quot;&quot;,&quot;non-dropping-particle&quot;:&quot;&quot;},{&quot;family&quot;:&quot;Fortin&quot;,&quot;given&quot;:&quot;Paul&quot;,&quot;parse-names&quot;:false,&quot;dropping-particle&quot;:&quot;&quot;,&quot;non-dropping-particle&quot;:&quot;&quot;},{&quot;family&quot;:&quot;Ginzler&quot;,&quot;given&quot;:&quot;Ellen&quot;,&quot;parse-names&quot;:false,&quot;dropping-particle&quot;:&quot;&quot;,&quot;non-dropping-particle&quot;:&quot;&quot;},{&quot;family&quot;:&quot;Gordon&quot;,&quot;given&quot;:&quot;Caroline&quot;,&quot;parse-names&quot;:false,&quot;dropping-particle&quot;:&quot;&quot;,&quot;non-dropping-particle&quot;:&quot;&quot;},{&quot;family&quot;:&quot;Hanly&quot;,&quot;given&quot;:&quot;John G.&quot;,&quot;parse-names&quot;:false,&quot;dropping-particle&quot;:&quot;&quot;,&quot;non-dropping-particle&quot;:&quot;&quot;},{&quot;family&quot;:&quot;Isenberg&quot;,&quot;given&quot;:&quot;David A.&quot;,&quot;parse-names&quot;:false,&quot;dropping-particle&quot;:&quot;&quot;,&quot;non-dropping-particle&quot;:&quot;&quot;},{&quot;family&quot;:&quot;Kalunian&quot;,&quot;given&quot;:&quot;Kenneth&quot;,&quot;parse-names&quot;:false,&quot;dropping-particle&quot;:&quot;&quot;,&quot;non-dropping-particle&quot;:&quot;&quot;},{&quot;family&quot;:&quot;Nived&quot;,&quot;given&quot;:&quot;Ola&quot;,&quot;parse-names&quot;:false,&quot;dropping-particle&quot;:&quot;&quot;,&quot;non-dropping-particle&quot;:&quot;&quot;},{&quot;family&quot;:&quot;Petri&quot;,&quot;given&quot;:&quot;Michelle&quot;,&quot;parse-names&quot;:false,&quot;dropping-particle&quot;:&quot;&quot;,&quot;non-dropping-particle&quot;:&quot;&quot;},{&quot;family&quot;:&quot;Sanchez-Guerrero&quot;,&quot;given&quot;:&quot;Jorge&quot;,&quot;parse-names&quot;:false,&quot;dropping-particle&quot;:&quot;&quot;,&quot;non-dropping-particle&quot;:&quot;&quot;},{&quot;family&quot;:&quot;Snaith&quot;,&quot;given&quot;:&quot;Michael&quot;,&quot;parse-names&quot;:false,&quot;dropping-particle&quot;:&quot;&quot;,&quot;non-dropping-particle&quot;:&quot;&quot;},{&quot;family&quot;:&quot;Sturfelt&quot;,&quot;given&quot;:&quot;Gunnar&quot;,&quot;parse-names&quot;:false,&quot;dropping-particle&quot;:&quot;&quot;,&quot;non-dropping-particle&quot;:&quot;&quot;}],&quot;container-title&quot;:&quot;Arthritis and rheumatism&quot;,&quot;container-title-short&quot;:&quot;Arthritis Rheum.&quot;,&quot;accessed&quot;:{&quot;date-parts&quot;:[[2026,4,3]]},&quot;DOI&quot;:&quot;10.1002/ART.1780400506&quot;,&quot;ISSN&quot;:&quot;0004-3591&quot;,&quot;PMID&quot;:&quot;9153540&quot;,&quot;URL&quot;:&quot;https://pubmed.ncbi.nlm.nih.gov/9153540/&quot;,&quot;issued&quot;:{&quot;date-parts&quot;:[[1997]]},&quot;page&quot;:&quot;809-813&quot;,&quot;abstract&quot;:&quot;Objective. To test the reliability of the Systemic Lupus International Collaborating Clinics/American College of Rheumatology (SLICC/ACR) Damage Index and the Systemic Lupus Erythematosus Disease Activity Index (SLEDAI) in the assessment of patients with SLE. Methods. Ten patients with SLE, representing a spectrum of damage and activity, were included. Each patient was examined by 6 of 10 physicians from 5 countries, representing 10 lupus clinics. The SLICC/ACR Damage Index was used to assess accumulated damage, and the SLEDAI was used to assess disease activity. The order of the patients and physicians was randomized according to a Youden square design. Results. The SLICC/ACR Damage Index detected differences among patients (P &lt; 0.001). There was no detectable observer difference (P = 0.933), and there was no order effect (P = 0.261). Similar results were obtained with the SLEDAI. There was concordance in the SLICC/ACR Damage Index among observers, despite a wide spectrum of disease activity detected by the SLEDAI. Conclusion. Physicians from different centers are able to assess patients with SLE in a reproducible way, using the SLEDAI to assess disease activity and the SLICC/ACR Damage Index to assess accumulated damage.&quot;,&quot;publisher&quot;:&quot;Arthritis Rheum&quot;,&quot;issue&quot;:&quot;5&quot;,&quot;volume&quot;:&quot;40&quot;},&quot;isTemporary&quot;:false}]},{&quot;citationID&quot;:&quot;MENDELEY_CITATION_69a4d161-e6d3-4ce2-9057-ffff5715b3c6&quot;,&quot;properties&quot;:{&quot;noteIndex&quot;:0},&quot;isEdited&quot;:false,&quot;manualOverride&quot;:{&quot;isManuallyOverridden&quot;:false,&quot;citeprocText&quot;:&quot;[10]&quot;,&quot;manualOverrideText&quot;:&quot;&quot;},&quot;citationTag&quot;:&quot;MENDELEY_CITATION_v3_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&quot;,&quot;citationItems&quot;:[{&quot;id&quot;:&quot;f635edb9-6bec-342d-9ebd-e5768aca6ae6&quot;,&quot;itemData&quot;:{&quot;type&quot;:&quot;article-journal&quot;,&quot;id&quot;:&quot;f635edb9-6bec-342d-9ebd-e5768aca6ae6&quot;,&quot;title&quot;:&quot;The reliability of the Systemic Lupus International Collaborating Clinics/American College of Rheumatology Damage Index in patients with systemic lupus erythematosus&quot;,&quot;author&quot;:[{&quot;family&quot;:&quot;Gladman&quot;,&quot;given&quot;:&quot;Dafna D.&quot;,&quot;parse-names&quot;:false,&quot;dropping-particle&quot;:&quot;&quot;,&quot;non-dropping-particle&quot;:&quot;&quot;},{&quot;family&quot;:&quot;Urowitz&quot;,&quot;given&quot;:&quot;Murray B.&quot;,&quot;parse-names&quot;:false,&quot;dropping-particle&quot;:&quot;&quot;,&quot;non-dropping-particle&quot;:&quot;&quot;},{&quot;family&quot;:&quot;Goldsmith&quot;,&quot;given&quot;:&quot;Charles H.&quot;,&quot;parse-names&quot;:false,&quot;dropping-particle&quot;:&quot;&quot;,&quot;non-dropping-particle&quot;:&quot;&quot;},{&quot;family&quot;:&quot;Fortin&quot;,&quot;given&quot;:&quot;Paul&quot;,&quot;parse-names&quot;:false,&quot;dropping-particle&quot;:&quot;&quot;,&quot;non-dropping-particle&quot;:&quot;&quot;},{&quot;family&quot;:&quot;Ginzler&quot;,&quot;given&quot;:&quot;Ellen&quot;,&quot;parse-names&quot;:false,&quot;dropping-particle&quot;:&quot;&quot;,&quot;non-dropping-particle&quot;:&quot;&quot;},{&quot;family&quot;:&quot;Gordon&quot;,&quot;given&quot;:&quot;Caroline&quot;,&quot;parse-names&quot;:false,&quot;dropping-particle&quot;:&quot;&quot;,&quot;non-dropping-particle&quot;:&quot;&quot;},{&quot;family&quot;:&quot;Hanly&quot;,&quot;given&quot;:&quot;John G.&quot;,&quot;parse-names&quot;:false,&quot;dropping-particle&quot;:&quot;&quot;,&quot;non-dropping-particle&quot;:&quot;&quot;},{&quot;family&quot;:&quot;Isenberg&quot;,&quot;given&quot;:&quot;David A.&quot;,&quot;parse-names&quot;:false,&quot;dropping-particle&quot;:&quot;&quot;,&quot;non-dropping-particle&quot;:&quot;&quot;},{&quot;family&quot;:&quot;Kalunian&quot;,&quot;given&quot;:&quot;Kenneth&quot;,&quot;parse-names&quot;:false,&quot;dropping-particle&quot;:&quot;&quot;,&quot;non-dropping-particle&quot;:&quot;&quot;},{&quot;family&quot;:&quot;Nived&quot;,&quot;given&quot;:&quot;Ola&quot;,&quot;parse-names&quot;:false,&quot;dropping-particle&quot;:&quot;&quot;,&quot;non-dropping-particle&quot;:&quot;&quot;},{&quot;family&quot;:&quot;Petri&quot;,&quot;given&quot;:&quot;Michelle&quot;,&quot;parse-names&quot;:false,&quot;dropping-particle&quot;:&quot;&quot;,&quot;non-dropping-particle&quot;:&quot;&quot;},{&quot;family&quot;:&quot;Sanchez-Guerrero&quot;,&quot;given&quot;:&quot;Jorge&quot;,&quot;parse-names&quot;:false,&quot;dropping-particle&quot;:&quot;&quot;,&quot;non-dropping-particle&quot;:&quot;&quot;},{&quot;family&quot;:&quot;Snaith&quot;,&quot;given&quot;:&quot;Michael&quot;,&quot;parse-names&quot;:false,&quot;dropping-particle&quot;:&quot;&quot;,&quot;non-dropping-particle&quot;:&quot;&quot;},{&quot;family&quot;:&quot;Sturfelt&quot;,&quot;given&quot;:&quot;Gunnar&quot;,&quot;parse-names&quot;:false,&quot;dropping-particle&quot;:&quot;&quot;,&quot;non-dropping-particle&quot;:&quot;&quot;}],&quot;container-title&quot;:&quot;Arthritis and rheumatism&quot;,&quot;container-title-short&quot;:&quot;Arthritis Rheum.&quot;,&quot;accessed&quot;:{&quot;date-parts&quot;:[[2026,4,3]]},&quot;DOI&quot;:&quot;10.1002/ART.1780400506&quot;,&quot;ISSN&quot;:&quot;0004-3591&quot;,&quot;PMID&quot;:&quot;9153540&quot;,&quot;URL&quot;:&quot;https://pubmed.ncbi.nlm.nih.gov/9153540/&quot;,&quot;issued&quot;:{&quot;date-parts&quot;:[[1997]]},&quot;page&quot;:&quot;809-813&quot;,&quot;abstract&quot;:&quot;Objective. To test the reliability of the Systemic Lupus International Collaborating Clinics/American College of Rheumatology (SLICC/ACR) Damage Index and the Systemic Lupus Erythematosus Disease Activity Index (SLEDAI) in the assessment of patients with SLE. Methods. Ten patients with SLE, representing a spectrum of damage and activity, were included. Each patient was examined by 6 of 10 physicians from 5 countries, representing 10 lupus clinics. The SLICC/ACR Damage Index was used to assess accumulated damage, and the SLEDAI was used to assess disease activity. The order of the patients and physicians was randomized according to a Youden square design. Results. The SLICC/ACR Damage Index detected differences among patients (P &lt; 0.001). There was no detectable observer difference (P = 0.933), and there was no order effect (P = 0.261). Similar results were obtained with the SLEDAI. There was concordance in the SLICC/ACR Damage Index among observers, despite a wide spectrum of disease activity detected by the SLEDAI. Conclusion. Physicians from different centers are able to assess patients with SLE in a reproducible way, using the SLEDAI to assess disease activity and the SLICC/ACR Damage Index to assess accumulated damage.&quot;,&quot;publisher&quot;:&quot;Arthritis Rheum&quot;,&quot;issue&quot;:&quot;5&quot;,&quot;volume&quot;:&quot;40&quot;},&quot;isTemporary&quot;:false}]},{&quot;citationID&quot;:&quot;MENDELEY_CITATION_5d3fa11f-9f52-447d-8ba7-aae0c2e33ed4&quot;,&quot;properties&quot;:{&quot;noteIndex&quot;:0},&quot;isEdited&quot;:false,&quot;manualOverride&quot;:{&quot;isManuallyOverridden&quot;:false,&quot;citeprocText&quot;:&quot;[11]&quot;,&quot;manualOverrideText&quot;:&quot;&quot;},&quot;citationTag&quot;:&quot;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&quot;,&quot;citationItems&quot;:[{&quot;id&quot;:&quot;319668ea-8e8d-3e32-85f6-504eefe975f1&quot;,&quot;itemData&quot;:{&quot;type&quot;:&quot;article-journal&quot;,&quot;id&quot;:&quot;319668ea-8e8d-3e32-85f6-504eefe975f1&quot;,&quot;title&quot;:&quot;OP0296 THE 2021 DORIS DEFINITION OF REMISSION IN SLE – FINAL RECOMMENDATIONS FROM AN INTERNATIONAL TASK FORCE&quot;,&quot;author&quot;:[{&quot;family&quot;:&quot;Vollenhoven&quot;,&quot;given&quot;:&quot;R.&quot;,&quot;parse-names&quot;:false,&quot;dropping-particle&quot;:&quot;&quot;,&quot;non-dropping-particle&quot;:&quot;van&quot;},{&quot;family&quot;:&quot;Bertsias&quot;,&quot;given&quot;:&quot;G.&quot;,&quot;parse-names&quot;:false,&quot;dropping-particle&quot;:&quot;&quot;,&quot;non-dropping-particle&quot;:&quot;&quot;},{&quot;family&quot;:&quot;Doria&quot;,&quot;given&quot;:&quot;A.&quot;,&quot;parse-names&quot;:false,&quot;dropping-particle&quot;:&quot;&quot;,&quot;non-dropping-particle&quot;:&quot;&quot;},{&quot;family&quot;:&quot;Isenberg&quot;,&quot;given&quot;:&quot;D.&quot;,&quot;parse-names&quot;:false,&quot;dropping-particle&quot;:&quot;&quot;,&quot;non-dropping-particle&quot;:&quot;&quot;},{&quot;family&quot;:&quot;Morand&quot;,&quot;given&quot;:&quot;E.F.&quot;,&quot;parse-names&quot;:false,&quot;dropping-particle&quot;:&quot;&quot;,&quot;non-dropping-particle&quot;:&quot;&quot;},{&quot;family&quot;:&quot;Petri&quot;,&quot;given&quot;:&quot;M.A.&quot;,&quot;parse-names&quot;:false,&quot;dropping-particle&quot;:&quot;&quot;,&quot;non-dropping-particle&quot;:&quot;&quot;},{&quot;family&quot;:&quot;Pons-Estel&quot;,&quot;given&quot;:&quot;B.&quot;,&quot;parse-names&quot;:false,&quot;dropping-particle&quot;:&quot;&quot;,&quot;non-dropping-particle&quot;:&quot;&quot;},{&quot;family&quot;:&quot;Rahman&quot;,&quot;given&quot;:&quot;A.&quot;,&quot;parse-names&quot;:false,&quot;dropping-particle&quot;:&quot;&quot;,&quot;non-dropping-particle&quot;:&quot;&quot;},{&quot;family&quot;:&quot;Ugarte-Gil&quot;,&quot;given&quot;:&quot;M.&quot;,&quot;parse-names&quot;:false,&quot;dropping-particle&quot;:&quot;&quot;,&quot;non-dropping-particle&quot;:&quot;&quot;},{&quot;family&quot;:&quot;Voskuyl&quot;,&quot;given&quot;:&quot;A.&quot;,&quot;parse-names&quot;:false,&quot;dropping-particle&quot;:&quot;&quot;,&quot;non-dropping-particle&quot;:&quot;&quot;},{&quot;family&quot;:&quot;Arnaud&quot;,&quot;given&quot;:&quot;L.&quot;,&quot;parse-names&quot;:false,&quot;dropping-particle&quot;:&quot;&quot;,&quot;non-dropping-particle&quot;:&quot;&quot;},{&quot;family&quot;:&quot;Bruce&quot;,&quot;given&quot;:&quot;I.N.&quot;,&quot;parse-names&quot;:false,&quot;dropping-particle&quot;:&quot;&quot;,&quot;non-dropping-particle&quot;:&quot;&quot;},{&quot;family&quot;:&quot;Cervera&quot;,&quot;given&quot;:&quot;R.&quot;,&quot;parse-names&quot;:false,&quot;dropping-particle&quot;:&quot;&quot;,&quot;non-dropping-particle&quot;:&quot;&quot;},{&quot;family&quot;:&quot;Costedoat-Chalumeau&quot;,&quot;given&quot;:&quot;N.&quot;,&quot;parse-names&quot;:false,&quot;dropping-particle&quot;:&quot;&quot;,&quot;non-dropping-particle&quot;:&quot;&quot;},{&quot;family&quot;:&quot;Gordon&quot;,&quot;given&quot;:&quot;C.&quot;,&quot;parse-names&quot;:false,&quot;dropping-particle&quot;:&quot;&quot;,&quot;non-dropping-particle&quot;:&quot;&quot;},{&quot;family&quot;:&quot;Houssiau&quot;,&quot;given&quot;:&quot;F.&quot;,&quot;parse-names&quot;:false,&quot;dropping-particle&quot;:&quot;&quot;,&quot;non-dropping-particle&quot;:&quot;&quot;},{&quot;family&quot;:&quot;Mosca&quot;,&quot;given&quot;:&quot;M.&quot;,&quot;parse-names&quot;:false,&quot;dropping-particle&quot;:&quot;&quot;,&quot;non-dropping-particle&quot;:&quot;&quot;},{&quot;family&quot;:&quot;Schneider&quot;,&quot;given&quot;:&quot;M.&quot;,&quot;parse-names&quot;:false,&quot;dropping-particle&quot;:&quot;&quot;,&quot;non-dropping-particle&quot;:&quot;&quot;},{&quot;family&quot;:&quot;Ward&quot;,&quot;given&quot;:&quot;M.&quot;,&quot;parse-names&quot;:false,&quot;dropping-particle&quot;:&quot;&quot;,&quot;non-dropping-particle&quot;:&quot;&quot;},{&quot;family&quot;:&quot;Aranow&quot;,&quot;given&quot;:&quot;C.&quot;,&quot;parse-names&quot;:false,&quot;dropping-particle&quot;:&quot;&quot;,&quot;non-dropping-particle&quot;:&quot;&quot;}],&quot;container-title&quot;:&quot;Annals of the Rheumatic Diseases&quot;,&quot;container-title-short&quot;:&quot;Ann. Rheum. Dis.&quot;,&quot;DOI&quot;:&quot;10.1136/annrheumdis-2021-eular.1192&quot;,&quot;ISSN&quot;:&quot;00034967&quot;,&quot;issued&quot;:{&quot;date-parts&quot;:[[2021,6]]},&quot;page&quot;:&quot;181-182&quot;,&quot;abstract&quot;:&quot;Background: Remission is the stated goal for both patient and care-giver (1), but consensus on a definition of remission has been lacking. Previously, an international task force consisting of patient representatives and medical specialists published a frame-work for such a definition (2), but without making a final recommendation.\n\nObjectives: To achieve consensus around a definition of remission in SLE (DORIS).\n\nMethods: The DORIS task force met annually from 2015 to 2020 and consisted of patient representatives and specialists in rheumatology, nephrology, dermatology, and clinical immunology. Systemic literature reviews of several key topics were done and specific research questions were examined in suitably chosen datasets. The findings were discussed, reformulated as recommendations, and voted upon. Level of evidence (LoE), strength of recommendation (SoR), and agreement were determined in standard fashion. The final recommendation for the DORIS definition of remission was established by electronic vote after finalization of the minutes of the most recent task force meeting.\n\nResults: Based on data from the literature and from several SLE-specific data sets, five key recommendations were endorsed ([Table 1][1]) that should be seen as additions to those published previously (2). Literature reviews identified strong support for the face-, content-, construct- and criterion validity of the definition based on the clinical SLEDAI (not including anti-DNA and complement) equal to zero plus low physician global assessment and allowing stable medical treatment. Thus, the DORIS Task Force recommended a single definition of remission in SLE, based on clinical SLEDAI = 0, evaluator’s global assessment &lt;0.5 (0-3), prednisone 5 mg/day or less, and stable antimalarials, immunosuppressives and biologics.\n\nView this table:\n\nTable 1. \n\nConclusion: The 2021 DORIS definition of remission in SLE was established. It is recommended for use as an aspirational treatment target in clinical care, a clear concept in education, and a key outcome in research including clinical trials and observational studies.\n\nReferences: [1]van Vollenhoven RF, Mosca M, Bertsias G, et al. Treat-to-target in systemic lupus erythematosus: recommendations from an international task force. Ann Rheum Dis 2014;73:958-67.\n\n[2]van Vollenhoven R, Voskuyl A, Bertsias G, et al. A framework for remission in SLE: consensus findings from a large international task force on definitions of remission in SLE (DORIS). Ann Rheum Dis 2016.\n\nDisclosure of Interests: Ronald van Vollenhoven Speakers bureau: AbbVie, Galapagos, GSK, Janssen, Pfizer, UCB, Consultant of: AbbVie, AstraZeneca, Biogen, Biotest, Celgene, Galapagos, Gilead, Janssen, Pfizer, Sanofi, Servier, UCB, Vielabo, Grant/research support from: BMS, GSK, Lilly, UCB, George Bertsias: None declared, Andrea Doria: None declared, David Isenberg: None declared, Eric F. Morand: None declared, Michelle A Petri: None declared, Bernardo Pons-Estel Consultant of: GSK, Janssen, Anisur Rahman: None declared, Manuel Ugarte-Gil Grant/research support from: Janssen, Pfizer, Alexandre Voskuyl: None declared, Laurent Arnaud Consultant of: Alexion, Amgen, Astra-Zeneca, BMS, GSK, Janssen-Cilag, LFB, Lilly, Menarini France, Medac, Novartis, Pfizer, Roche-Chugaï, UCB., Ian N. Bruce: None declared, Ricard Cervera Consultant of: GSK, Alexion, Eli Lilly, Astra Zeneca, Termo-Fisher, Rubió, Nathalie Costedoat-Chalumeau: None declared, Caroline Gordon Speakers bureau: UCB, Consultant of: Center for Disease Control, Astra-Zeneca, MGP, Sanofi, UCB, Frederic Houssiau: None declared, Marta Mosca: None declared, Matthias Schneider: None declared, Michael Ward: None declared, Cynthia Aranow: None declared.\n\n![Figure][2]&lt;/img&gt;\n\n [1]: #T1\n [2]: pending:yes&quot;,&quot;publisher&quot;:&quot;Elsevier BV&quot;,&quot;volume&quot;:&quot;80&quot;},&quot;isTemporary&quot;:false}]},{&quot;citationID&quot;:&quot;MENDELEY_CITATION_d89d0f85-9403-403b-95b5-0816028e6102&quot;,&quot;properties&quot;:{&quot;noteIndex&quot;:0},&quot;isEdited&quot;:false,&quot;manualOverride&quot;:{&quot;isManuallyOverridden&quot;:false,&quot;citeprocText&quot;:&quot;[1,12]&quot;,&quot;manualOverrideText&quot;:&quot;&quot;},&quot;citationTag&quot;:&quot;MENDELEY_CITATION_v3_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&quot;,&quot;citationItems&quot;:[{&quot;id&quot;:&quot;275006b6-dd1e-3d41-9360-731aa52a9013&quot;,&quot;itemData&quot;:{&quot;type&quot;:&quot;article-journal&quot;,&quot;id&quot;:&quot;275006b6-dd1e-3d41-9360-731aa52a9013&quot;,&quot;title&quot;:&quot;Type I Interferon in the Pathogenesis of Lupus&quot;,&quot;author&quot;:[{&quot;family&quot;:&quot;Crow&quot;,&quot;given&quot;:&quot;Mary K&quot;,&quot;parse-names&quot;:false,&quot;dropping-particle&quot;:&quot;&quot;,&quot;non-dropping-particle&quot;:&quot;&quot;}],&quot;container-title&quot;:&quot;The Journal of Immunology&quot;,&quot;DOI&quot;:&quot;10.4049/jimmunol.1002795&quot;,&quot;ISSN&quot;:&quot;0022-1767&quot;,&quot;PMID&quot;:&quot;24907379&quot;,&quot;issued&quot;:{&quot;date-parts&quot;:[[2014,6,15]]},&quot;page&quot;:&quot;5459-5468&quot;,&quot;abstract&quot;:&quot;Investigations of patients with systemic lupus erythematosus have applied insights from studies of the innate immune response to define IFN-I, with IFN-α as the dominant mediator, as central to the pathogenesis of this prototype systemic autoimmune disease. Genetic association data identify regulators of nucleic acid degradation and components of TLR-independent, endosomal TLR-dependent, and IFN-I–signaling pathways as contributors to lupus disease susceptibility. Together with a gene expression signature characterized by IFN-I–induced gene transcripts in lupus blood and tissue, those data support the conclusion that many of the immunologic and pathologic features of this disease are a consequence of a persistent self-directed immune reaction driven by IFN-I and mimicking a sustained antivirus response. This expanding knowledge of the role of IFN-I and the innate immune response suggests candidate therapeutic targets that are being tested in lupus patients.&quot;,&quot;publisher&quot;:&quot;Oxford University Press (OUP)&quot;,&quot;issue&quot;:&quot;12&quot;,&quot;volume&quot;:&quot;192&quot;,&quot;container-title-short&quot;:&quot;&quot;},&quot;isTemporary&quot;:false},{&quot;id&quot;:&quot;59ff79b1-ec96-337b-97ba-9a8318ea2576&quot;,&quot;itemData&quot;:{&quot;type&quot;:&quot;article&quot;,&quot;id&quot;:&quot;59ff79b1-ec96-337b-97ba-9a8318ea2576&quot;,&quot;title&quot;:&quot;Optimal Selection of IFN-α-Inducible Genes to Determine Type I Interferon Signature Improves the Diagnosis of Systemic Lupus Erythematosus&quot;,&quot;author&quot;:[{&quot;family&quot;:&quot;Demers-Mathieu&quot;,&quot;given&quot;:&quot;Veronique&quot;,&quot;parse-names&quot;:false,&quot;dropping-particle&quot;:&quot;&quot;,&quot;non-dropping-particle&quot;:&quot;&quot;}],&quot;container-title&quot;:&quot;Biomedicines&quot;,&quot;container-title-short&quot;:&quot;Biomedicines&quot;,&quot;DOI&quot;:&quot;10.3390/biomedicines11030864&quot;,&quot;ISSN&quot;:&quot;22279059&quot;,&quot;issued&quot;:{&quot;date-parts&quot;:[[2023,3,1]]},&quot;abstract&quot;:&quot;Systemic lupus erythematosus (SLE) is a chronic autoimmune disease characterized by the production of autoantibodies specific to self-molecules in the nucleus, cytoplasm, and cell surface. The diversity of serologic and clinical manifestations observed in SLE patients challenges the development of diagnostics and tools for monitoring disease activity. Elevated type I interferon signature (IFN- I) in SLE leads to dysregulation of innate and adaptive immune function, resulting in autoantibodies production. The most common method to determine IFN-I signature is measuring the gene expression of several IFN-α-inducible genes (IFIGs) in blood samples and calculating a score. Optimal selection of IFIGs improves the sensitivity, specificity, and accuracy of the diagnosis of SLE. We describe the mechanisms of the immunopathogenesis of IFN-I signature (IFNα production) and its clinical consequences in SLE. In addition, we explore the association between IFN-I signature, the presence of autoantibodies, disease activity, medical therapy, and ethnicity. We discuss the presence of IFN-I signature in some patients with other autoimmune diseases, including rheumatoid arthritis, systemic and multiple sclerosis, Sjogren’s syndrome, and dermatomyositis. Prospective studies are required to assess the role of IFIG and the best combination of IFIGs to monitor SLE disease activity and drug treatments.&quot;,&quot;publisher&quot;:&quot;MDPI&quot;,&quot;issue&quot;:&quot;3&quot;,&quot;volume&quot;:&quot;11&quot;},&quot;isTemporary&quot;:false}]},{&quot;citationID&quot;:&quot;MENDELEY_CITATION_8bd6e517-10ce-4809-a12e-87ccd187a481&quot;,&quot;properties&quot;:{&quot;noteIndex&quot;:0},&quot;isEdited&quot;:false,&quot;manualOverride&quot;:{&quot;isManuallyOverridden&quot;:false,&quot;citeprocText&quot;:&quot;[1]&quot;,&quot;manualOverrideText&quot;:&quot;&quot;},&quot;citationTag&quot;:&quot;MENDELEY_CITATION_v3_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&quot;,&quot;citationItems&quot;:[{&quot;id&quot;:&quot;275006b6-dd1e-3d41-9360-731aa52a9013&quot;,&quot;itemData&quot;:{&quot;type&quot;:&quot;article-journal&quot;,&quot;id&quot;:&quot;275006b6-dd1e-3d41-9360-731aa52a9013&quot;,&quot;title&quot;:&quot;Type I Interferon in the Pathogenesis of Lupus&quot;,&quot;author&quot;:[{&quot;family&quot;:&quot;Crow&quot;,&quot;given&quot;:&quot;Mary K&quot;,&quot;parse-names&quot;:false,&quot;dropping-particle&quot;:&quot;&quot;,&quot;non-dropping-particle&quot;:&quot;&quot;}],&quot;container-title&quot;:&quot;The Journal of Immunology&quot;,&quot;DOI&quot;:&quot;10.4049/jimmunol.1002795&quot;,&quot;ISSN&quot;:&quot;0022-1767&quot;,&quot;PMID&quot;:&quot;24907379&quot;,&quot;issued&quot;:{&quot;date-parts&quot;:[[2014,6,15]]},&quot;page&quot;:&quot;5459-5468&quot;,&quot;abstract&quot;:&quot;Investigations of patients with systemic lupus erythematosus have applied insights from studies of the innate immune response to define IFN-I, with IFN-α as the dominant mediator, as central to the pathogenesis of this prototype systemic autoimmune disease. Genetic association data identify regulators of nucleic acid degradation and components of TLR-independent, endosomal TLR-dependent, and IFN-I–signaling pathways as contributors to lupus disease susceptibility. Together with a gene expression signature characterized by IFN-I–induced gene transcripts in lupus blood and tissue, those data support the conclusion that many of the immunologic and pathologic features of this disease are a consequence of a persistent self-directed immune reaction driven by IFN-I and mimicking a sustained antivirus response. This expanding knowledge of the role of IFN-I and the innate immune response suggests candidate therapeutic targets that are being tested in lupus patients.&quot;,&quot;publisher&quot;:&quot;Oxford University Press (OUP)&quot;,&quot;issue&quot;:&quot;12&quot;,&quot;volume&quot;:&quot;192&quot;,&quot;container-title-short&quot;:&quot;&quot;},&quot;isTemporary&quot;:false}]},{&quot;citationID&quot;:&quot;MENDELEY_CITATION_8115ebef-b697-4126-b99f-f85c0c599ea0&quot;,&quot;properties&quot;:{&quot;noteIndex&quot;:0},&quot;isEdited&quot;:false,&quot;manualOverride&quot;:{&quot;isManuallyOverridden&quot;:false,&quot;citeprocText&quot;:&quot;[13]&quot;,&quot;manualOverrideText&quot;:&quot;&quot;},&quot;citationTag&quot;:&quot;MENDELEY_CITATION_v3_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&quot;,&quot;citationItems&quot;:[{&quot;id&quot;:&quot;912a7ff3-1ff2-370f-8c8d-6534e61f55a5&quot;,&quot;itemData&quot;:{&quot;type&quot;:&quot;article&quot;,&quot;id&quot;:&quot;912a7ff3-1ff2-370f-8c8d-6534e61f55a5&quot;,&quot;title&quot;:&quot;Type I Interferons in Systemic Lupus Erythematosus: A Journey from Bench to Bedside&quot;,&quot;author&quot;:[{&quot;family&quot;:&quot;Sim&quot;,&quot;given&quot;:&quot;Tao Ming&quot;,&quot;parse-names&quot;:false,&quot;dropping-particle&quot;:&quot;&quot;,&quot;non-dropping-particle&quot;:&quot;&quot;},{&quot;family&quot;:&quot;Ong&quot;,&quot;given&quot;:&quot;Siying Jane&quot;,&quot;parse-names&quot;:false,&quot;dropping-particle&quot;:&quot;&quot;,&quot;non-dropping-particle&quot;:&quot;&quot;},{&quot;family&quot;:&quot;Mak&quot;,&quot;given&quot;:&quot;Anselm&quot;,&quot;parse-names&quot;:false,&quot;dropping-particle&quot;:&quot;&quot;,&quot;non-dropping-particle&quot;:&quot;&quot;},{&quot;family&quot;:&quot;Tay&quot;,&quot;given&quot;:&quot;Sen Hee&quot;,&quot;parse-names&quot;:false,&quot;dropping-particle&quot;:&quot;&quot;,&quot;non-dropping-particle&quot;:&quot;&quot;}],&quot;container-title&quot;:&quot;International Journal of Molecular Sciences&quot;,&quot;container-title-short&quot;:&quot;Int. J. Mol. Sci.&quot;,&quot;DOI&quot;:&quot;10.3390/ijms23052505&quot;,&quot;ISSN&quot;:&quot;14220067&quot;,&quot;PMID&quot;:&quot;35269647&quot;,&quot;issued&quot;:{&quot;date-parts&quot;:[[2022,3,1]]},&quot;abstract&quot;:&quot;Dysregulation of type I interferons (IFNs) has been implicated in the pathogenesis of systemic lupus erythematosus (SLE) since the late 1970s. The majority of SLE patients demonstrate evidence of type I IFN pathway activation; however, studies attempting to address the relationship between type I IFN signature and SLE disease activity have yielded conflicting results. In addition to type I IFNs, type II and III IFNs may overlap and also contribute to the IFN signature. Different genetic backgrounds lead to overproduction of type I IFNs in SLE and contribute to the breakdown of peripheral tolerance by activation of antigen-presenting myeloid dendritic cells, thus triggering the expansion and differentiation of autoreactive lymphocytes. The consequence of the continuous stimulation of the immune system is manifested in different organ systems typical of SLE (e.g., mucocutaneous and cardiovascular involvement). After the discovery of the type I IFN signature, a number of different strategies have been developed to downregulate the IFN system in SLE patients, finally leading to the successful trial of anifrolumab, the second biologic to be approved for the treatment of SLE in 10 years. In this review, we will discuss the bench to bedside translation of the type I IFN pathway and put forward some issues that remain unresolved when selecting SLE patients for treatment with biologics targeting type I IFNs.&quot;,&quot;publisher&quot;:&quot;MDPI&quot;,&quot;issue&quot;:&quot;5&quot;,&quot;volume&quot;:&quot;23&quot;},&quot;isTemporary&quot;:false}]},{&quot;citationID&quot;:&quot;MENDELEY_CITATION_5707a06b-f152-4b0c-8327-9006e1e94416&quot;,&quot;properties&quot;:{&quot;noteIndex&quot;:0},&quot;isEdited&quot;:false,&quot;manualOverride&quot;:{&quot;isManuallyOverridden&quot;:false,&quot;citeprocText&quot;:&quot;[14]&quot;,&quot;manualOverrideText&quot;:&quot;&quot;},&quot;citationTag&quot;:&quot;MENDELEY_CITATION_v3_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&quot;,&quot;citationItems&quot;:[{&quot;id&quot;:&quot;ba8d64ca-964c-3835-90d9-2d787215c04a&quot;,&quot;itemData&quot;:{&quot;type&quot;:&quot;article-journal&quot;,&quot;id&quot;:&quot;ba8d64ca-964c-3835-90d9-2d787215c04a&quot;,&quot;title&quot;:&quot;Ultrasensitive Test Systems Are Required to Quantify Interferon Alpha Protein in Serum Samples&quot;,&quot;author&quot;:[{&quot;family&quot;:&quot;Haljasmägi&quot;,&quot;given&quot;:&quot;Liis&quot;,&quot;parse-names&quot;:false,&quot;dropping-particle&quot;:&quot;&quot;,&quot;non-dropping-particle&quot;:&quot;&quot;},{&quot;family&quot;:&quot;Meisalu&quot;,&quot;given&quot;:&quot;Sandra&quot;,&quot;parse-names&quot;:false,&quot;dropping-particle&quot;:&quot;&quot;,&quot;non-dropping-particle&quot;:&quot;&quot;},{&quot;family&quot;:&quot;Bondet&quot;,&quot;given&quot;:&quot;Vincent&quot;,&quot;parse-names&quot;:false,&quot;dropping-particle&quot;:&quot;&quot;,&quot;non-dropping-particle&quot;:&quot;&quot;},{&quot;family&quot;:&quot;Peterson&quot;,&quot;given&quot;:&quot;Pärt&quot;,&quot;parse-names&quot;:false,&quot;dropping-particle&quot;:&quot;&quot;,&quot;non-dropping-particle&quot;:&quot;&quot;},{&quot;family&quot;:&quot;Duffy&quot;,&quot;given&quot;:&quot;Darragh&quot;,&quot;parse-names&quot;:false,&quot;dropping-particle&quot;:&quot;&quot;,&quot;non-dropping-particle&quot;:&quot;&quot;},{&quot;family&quot;:&quot;Kisand&quot;,&quot;given&quot;:&quot;Kai&quot;,&quot;parse-names&quot;:false,&quot;dropping-particle&quot;:&quot;&quot;,&quot;non-dropping-particle&quot;:&quot;&quot;}],&quot;container-title&quot;:&quot;European Journal of Immunology&quot;,&quot;container-title-short&quot;:&quot;Eur. J. Immunol.&quot;,&quot;DOI&quot;:&quot;10.1002/eji.70100&quot;,&quot;ISSN&quot;:&quot;15214141&quot;,&quot;PMID&quot;:&quot;41410169&quot;,&quot;issued&quot;:{&quot;date-parts&quot;:[[2025,12,1]]},&quot;publisher&quot;:&quot;John Wiley and Sons Inc&quot;,&quot;issue&quot;:&quot;12&quot;,&quot;volume&quot;:&quot;55&quot;},&quot;isTemporary&quot;:false}]},{&quot;citationID&quot;:&quot;MENDELEY_CITATION_b09bc117-41eb-40b9-9452-fd206f701615&quot;,&quot;properties&quot;:{&quot;noteIndex&quot;:0},&quot;isEdited&quot;:false,&quot;manualOverride&quot;:{&quot;isManuallyOverridden&quot;:false,&quot;citeprocText&quot;:&quot;[15]&quot;,&quot;manualOverrideText&quot;:&quot;&quot;},&quot;citationTag&quot;:&quot;MENDELEY_CITATION_v3_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&quot;,&quot;citationItems&quot;:[{&quot;id&quot;:&quot;03fe8631-d329-3e00-afef-443c09f445a0&quot;,&quot;itemData&quot;:{&quot;type&quot;:&quot;article-journal&quot;,&quot;id&quot;:&quot;03fe8631-d329-3e00-afef-443c09f445a0&quot;,&quot;title&quot;:&quot;Detection of interferon alpha protein reveals differential levels and cellular sources in disease&quot;,&quot;author&quot;:[{&quot;family&quot;:&quot;Rodero&quot;,&quot;given&quot;:&quot;Mathieu P.&quot;,&quot;parse-names&quot;:false,&quot;dropping-particle&quot;:&quot;&quot;,&quot;non-dropping-particle&quot;:&quot;&quot;},{&quot;family&quot;:&quot;Decalf&quot;,&quot;given&quot;:&quot;Jérémie&quot;,&quot;parse-names&quot;:false,&quot;dropping-particle&quot;:&quot;&quot;,&quot;non-dropping-particle&quot;:&quot;&quot;},{&quot;family&quot;:&quot;Bondet&quot;,&quot;given&quot;:&quot;Vincent&quot;,&quot;parse-names&quot;:false,&quot;dropping-particle&quot;:&quot;&quot;,&quot;non-dropping-particle&quot;:&quot;&quot;},{&quot;family&quot;:&quot;Hunt&quot;,&quot;given&quot;:&quot;David&quot;,&quot;parse-names&quot;:false,&quot;dropping-particle&quot;:&quot;&quot;,&quot;non-dropping-particle&quot;:&quot;&quot;},{&quot;family&quot;:&quot;Rice&quot;,&quot;given&quot;:&quot;Gillian I.&quot;,&quot;parse-names&quot;:false,&quot;dropping-particle&quot;:&quot;&quot;,&quot;non-dropping-particle&quot;:&quot;&quot;},{&quot;family&quot;:&quot;Werneke&quot;,&quot;given&quot;:&quot;Scott&quot;,&quot;parse-names&quot;:false,&quot;dropping-particle&quot;:&quot;&quot;,&quot;non-dropping-particle&quot;:&quot;&quot;},{&quot;family&quot;:&quot;McGlasson&quot;,&quot;given&quot;:&quot;Sarah L.&quot;,&quot;parse-names&quot;:false,&quot;dropping-particle&quot;:&quot;&quot;,&quot;non-dropping-particle&quot;:&quot;&quot;},{&quot;family&quot;:&quot;Alyanakian&quot;,&quot;given&quot;:&quot;Marie Alexandra&quot;,&quot;parse-names&quot;:false,&quot;dropping-particle&quot;:&quot;&quot;,&quot;non-dropping-particle&quot;:&quot;&quot;},{&quot;family&quot;:&quot;Bader-Meunier&quot;,&quot;given&quot;:&quot;Brigitte&quot;,&quot;parse-names&quot;:false,&quot;dropping-particle&quot;:&quot;&quot;,&quot;non-dropping-particle&quot;:&quot;&quot;},{&quot;family&quot;:&quot;Barnerias&quot;,&quot;given&quot;:&quot;Christine&quot;,&quot;parse-names&quot;:false,&quot;dropping-particle&quot;:&quot;&quot;,&quot;non-dropping-particle&quot;:&quot;&quot;},{&quot;family&quot;:&quot;Bellon&quot;,&quot;given&quot;:&quot;Nathalia&quot;,&quot;parse-names&quot;:false,&quot;dropping-particle&quot;:&quot;&quot;,&quot;non-dropping-particle&quot;:&quot;&quot;},{&quot;family&quot;:&quot;Belot&quot;,&quot;given&quot;:&quot;Alexandre&quot;,&quot;parse-names&quot;:false,&quot;dropping-particle&quot;:&quot;&quot;,&quot;non-dropping-particle&quot;:&quot;&quot;},{&quot;family&quot;:&quot;Bodemer&quot;,&quot;given&quot;:&quot;Christine&quot;,&quot;parse-names&quot;:false,&quot;dropping-particle&quot;:&quot;&quot;,&quot;non-dropping-particle&quot;:&quot;&quot;},{&quot;family&quot;:&quot;Briggs&quot;,&quot;given&quot;:&quot;Tracy A.&quot;,&quot;parse-names&quot;:false,&quot;dropping-particle&quot;:&quot;&quot;,&quot;non-dropping-particle&quot;:&quot;&quot;},{&quot;family&quot;:&quot;Desguerre&quot;,&quot;given&quot;:&quot;Isabelle&quot;,&quot;parse-names&quot;:false,&quot;dropping-particle&quot;:&quot;&quot;,&quot;non-dropping-particle&quot;:&quot;&quot;},{&quot;family&quot;:&quot;Frémond&quot;,&quot;given&quot;:&quot;Marie Louise&quot;,&quot;parse-names&quot;:false,&quot;dropping-particle&quot;:&quot;&quot;,&quot;non-dropping-particle&quot;:&quot;&quot;},{&quot;family&quot;:&quot;Hully&quot;,&quot;given&quot;:&quot;Marie&quot;,&quot;parse-names&quot;:false,&quot;dropping-particle&quot;:&quot;&quot;,&quot;non-dropping-particle&quot;:&quot;&quot;},{&quot;family&quot;:&quot;Maagdenberg&quot;,&quot;given&quot;:&quot;Arn M.J.M.&quot;,&quot;parse-names&quot;:false,&quot;dropping-particle&quot;:&quot;&quot;,&quot;non-dropping-particle&quot;:&quot;van den&quot;},{&quot;family&quot;:&quot;Melki&quot;,&quot;given&quot;:&quot;Isabelle&quot;,&quot;parse-names&quot;:false,&quot;dropping-particle&quot;:&quot;&quot;,&quot;non-dropping-particle&quot;:&quot;&quot;},{&quot;family&quot;:&quot;Meyts&quot;,&quot;given&quot;:&quot;Isabelle&quot;,&quot;parse-names&quot;:false,&quot;dropping-particle&quot;:&quot;&quot;,&quot;non-dropping-particle&quot;:&quot;&quot;},{&quot;family&quot;:&quot;Musset&quot;,&quot;given&quot;:&quot;Lucile&quot;,&quot;parse-names&quot;:false,&quot;dropping-particle&quot;:&quot;&quot;,&quot;non-dropping-particle&quot;:&quot;&quot;},{&quot;family&quot;:&quot;Pelzer&quot;,&quot;given&quot;:&quot;Nadine&quot;,&quot;parse-names&quot;:false,&quot;dropping-particle&quot;:&quot;&quot;,&quot;non-dropping-particle&quot;:&quot;&quot;},{&quot;family&quot;:&quot;Quartier&quot;,&quot;given&quot;:&quot;Pierre&quot;,&quot;parse-names&quot;:false,&quot;dropping-particle&quot;:&quot;&quot;,&quot;non-dropping-particle&quot;:&quot;&quot;},{&quot;family&quot;:&quot;Terwindt&quot;,&quot;given&quot;:&quot;Gisela M.&quot;,&quot;parse-names&quot;:false,&quot;dropping-particle&quot;:&quot;&quot;,&quot;non-dropping-particle&quot;:&quot;&quot;},{&quot;family&quot;:&quot;Wardlaw&quot;,&quot;given&quot;:&quot;Joanna&quot;,&quot;parse-names&quot;:false,&quot;dropping-particle&quot;:&quot;&quot;,&quot;non-dropping-particle&quot;:&quot;&quot;},{&quot;family&quot;:&quot;Wiseman&quot;,&quot;given&quot;:&quot;Stewart&quot;,&quot;parse-names&quot;:false,&quot;dropping-particle&quot;:&quot;&quot;,&quot;non-dropping-particle&quot;:&quot;&quot;},{&quot;family&quot;:&quot;Rieux-Laucat&quot;,&quot;given&quot;:&quot;Frédéric&quot;,&quot;parse-names&quot;:false,&quot;dropping-particle&quot;:&quot;&quot;,&quot;non-dropping-particle&quot;:&quot;&quot;},{&quot;family&quot;:&quot;Rose&quot;,&quot;given&quot;:&quot;Yoann&quot;,&quot;parse-names&quot;:false,&quot;dropping-particle&quot;:&quot;&quot;,&quot;non-dropping-particle&quot;:&quot;&quot;},{&quot;family&quot;:&quot;Neven&quot;,&quot;given&quot;:&quot;Bénédicte&quot;,&quot;parse-names&quot;:false,&quot;dropping-particle&quot;:&quot;&quot;,&quot;non-dropping-particle&quot;:&quot;&quot;},{&quot;family&quot;:&quot;Hertel&quot;,&quot;given&quot;:&quot;Christina&quot;,&quot;parse-names&quot;:false,&quot;dropping-particle&quot;:&quot;&quot;,&quot;non-dropping-particle&quot;:&quot;&quot;},{&quot;family&quot;:&quot;Hayday&quot;,&quot;given&quot;:&quot;Adrian&quot;,&quot;parse-names&quot;:false,&quot;dropping-particle&quot;:&quot;&quot;,&quot;non-dropping-particle&quot;:&quot;&quot;},{&quot;family&quot;:&quot;Albert&quot;,&quot;given&quot;:&quot;Matthew L.&quot;,&quot;parse-names&quot;:false,&quot;dropping-particle&quot;:&quot;&quot;,&quot;non-dropping-particle&quot;:&quot;&quot;},{&quot;family&quot;:&quot;Rozenberg&quot;,&quot;given&quot;:&quot;Flore&quot;,&quot;parse-names&quot;:false,&quot;dropping-particle&quot;:&quot;&quot;,&quot;non-dropping-particle&quot;:&quot;&quot;},{&quot;family&quot;:&quot;Crow&quot;,&quot;given&quot;:&quot;Yanick J.&quot;,&quot;parse-names&quot;:false,&quot;dropping-particle&quot;:&quot;&quot;,&quot;non-dropping-particle&quot;:&quot;&quot;},{&quot;family&quot;:&quot;Duffy&quot;,&quot;given&quot;:&quot;Darragh&quot;,&quot;parse-names&quot;:false,&quot;dropping-particle&quot;:&quot;&quot;,&quot;non-dropping-particle&quot;:&quot;&quot;}],&quot;container-title&quot;:&quot;Journal of Experimental Medicine&quot;,&quot;DOI&quot;:&quot;10.1084/jem.20161451&quot;,&quot;ISSN&quot;:&quot;15409538&quot;,&quot;PMID&quot;:&quot;28420733&quot;,&quot;issued&quot;:{&quot;date-parts&quot;:[[2017,5,1]]},&quot;page&quot;:&quot;1547-1555&quot;,&quot;abstract&quot;:&quot;Type I interferons (IFNs) are essential mediators of antiviral responses. These cytokines have been implicated in the pathogenesis of autoimmunity, most notably systemic lupus erythematosus (SLE), diabetes mellitus, and dermatomyositis, as well as monogenic type I interferonopathies. Despite a fundamental role in health and disease, the direct quantification of type I IFNs has been challenging. Using single-molecule array (Simoa) digital ELI SA technology, we recorded attomolar concentrations of IFNα in healthy donors, viral infection, and complex and monogenic interferonopathies. IFNα protein correlated well with functional activity and IFN-stimulated gene expression. High circulating IFNα levels were associated with increased clinical severity in SLE patients, and a study of the cellular source of IFNα protein indicated disease-specific mechanisms. Measurement of IFNα attomolar concentrations by digital ELI SA will enhance our understanding of IFN biology and potentially improve the diagnosis and stratification of pathologies associated with IFN dysregulation.&quot;,&quot;publisher&quot;:&quot;Rockefeller University Press&quot;,&quot;issue&quot;:&quot;5&quot;,&quot;volume&quot;:&quot;214&quot;,&quot;container-title-short&quot;:&quot;&quot;},&quot;isTemporary&quot;:false}]},{&quot;citationID&quot;:&quot;MENDELEY_CITATION_5e5d4543-8ed4-4846-b689-3e3fa4b9b066&quot;,&quot;properties&quot;:{&quot;noteIndex&quot;:0},&quot;isEdited&quot;:false,&quot;manualOverride&quot;:{&quot;isManuallyOverridden&quot;:false,&quot;citeprocText&quot;:&quot;[16–18]&quot;,&quot;manualOverrideText&quot;:&quot;&quot;},&quot;citationTag&quot;:&quot;MENDELEY_CITATION_v3_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&quot;,&quot;citationItems&quot;:[{&quot;id&quot;:&quot;34490376-1056-3597-a85a-9b4fff7ce836&quot;,&quot;itemData&quot;:{&quot;type&quot;:&quot;article&quot;,&quot;id&quot;:&quot;34490376-1056-3597-a85a-9b4fff7ce836&quot;,&quot;title&quot;:&quot;Interferons in Systemic Lupus Erythematosus&quot;,&quot;author&quot;:[{&quot;family&quot;:&quot;Sirobhushanam&quot;,&quot;given&quot;:&quot;Sirisha&quot;,&quot;parse-names&quot;:false,&quot;dropping-particle&quot;:&quot;&quot;,&quot;non-dropping-particle&quot;:&quot;&quot;},{&quot;family&quot;:&quot;Lazar&quot;,&quot;given&quot;:&quot;Stephanie&quot;,&quot;parse-names&quot;:false,&quot;dropping-particle&quot;:&quot;&quot;,&quot;non-dropping-particle&quot;:&quot;&quot;},{&quot;family&quot;:&quot;Kahlenberg&quot;,&quot;given&quot;:&quot;J. Michelle&quot;,&quot;parse-names&quot;:false,&quot;dropping-particle&quot;:&quot;&quot;,&quot;non-dropping-particle&quot;:&quot;&quot;}],&quot;container-title&quot;:&quot;Rheumatic Disease Clinics of North America&quot;,&quot;DOI&quot;:&quot;10.1016/j.rdc.2021.04.001&quot;,&quot;ISSN&quot;:&quot;15583163&quot;,&quot;PMID&quot;:&quot;34215365&quot;,&quot;issued&quot;:{&quot;date-parts&quot;:[[2021,8,1]]},&quot;page&quot;:&quot;297-315&quot;,&quot;publisher&quot;:&quot;W.B. Saunders&quot;,&quot;issue&quot;:&quot;3&quot;,&quot;volume&quot;:&quot;47&quot;,&quot;container-title-short&quot;:&quot;&quot;},&quot;isTemporary&quot;:false},{&quot;id&quot;:&quot;b5ea5806-f73f-3de9-9ad0-e1deb061c090&quot;,&quot;itemData&quot;:{&quot;type&quot;:&quot;article-journal&quot;,&quot;id&quot;:&quot;b5ea5806-f73f-3de9-9ad0-e1deb061c090&quot;,&quot;title&quot;:&quot;Type 1 interferon status in systemic lupus erythematosus: A longitudinal analysis&quot;,&quot;author&quot;:[{&quot;family&quot;:&quot;Northcott&quot;,&quot;given&quot;:&quot;Melissa&quot;,&quot;parse-names&quot;:false,&quot;dropping-particle&quot;:&quot;&quot;,&quot;non-dropping-particle&quot;:&quot;&quot;},{&quot;family&quot;:&quot;Jones&quot;,&quot;given&quot;:&quot;Sarah&quot;,&quot;parse-names&quot;:false,&quot;dropping-particle&quot;:&quot;&quot;,&quot;non-dropping-particle&quot;:&quot;&quot;},{&quot;family&quot;:&quot;Koelmeyer&quot;,&quot;given&quot;:&quot;Rachel&quot;,&quot;parse-names&quot;:false,&quot;dropping-particle&quot;:&quot;&quot;,&quot;non-dropping-particle&quot;:&quot;&quot;},{&quot;family&quot;:&quot;Bonin&quot;,&quot;given&quot;:&quot;Julie&quot;,&quot;parse-names&quot;:false,&quot;dropping-particle&quot;:&quot;&quot;,&quot;non-dropping-particle&quot;:&quot;&quot;},{&quot;family&quot;:&quot;Vincent&quot;,&quot;given&quot;:&quot;Fabien&quot;,&quot;parse-names&quot;:false,&quot;dropping-particle&quot;:&quot;&quot;,&quot;non-dropping-particle&quot;:&quot;&quot;},{&quot;family&quot;:&quot;Kandane-Rathnayake&quot;,&quot;given&quot;:&quot;Rangi&quot;,&quot;parse-names&quot;:false,&quot;dropping-particle&quot;:&quot;&quot;,&quot;non-dropping-particle&quot;:&quot;&quot;},{&quot;family&quot;:&quot;Hoi&quot;,&quot;given&quot;:&quot;Alberta&quot;,&quot;parse-names&quot;:false,&quot;dropping-particle&quot;:&quot;&quot;,&quot;non-dropping-particle&quot;:&quot;&quot;},{&quot;family&quot;:&quot;Morand&quot;,&quot;given&quot;:&quot;Eric&quot;,&quot;parse-names&quot;:false,&quot;dropping-particle&quot;:&quot;&quot;,&quot;non-dropping-particle&quot;:&quot;&quot;}],&quot;container-title&quot;:&quot;Lupus Science and Medicine&quot;,&quot;container-title-short&quot;:&quot;Lupus Sci. Med.&quot;,&quot;DOI&quot;:&quot;10.1136/lupus-2021-000625&quot;,&quot;ISSN&quot;:&quot;20538790&quot;,&quot;issued&quot;:{&quot;date-parts&quot;:[[2022,2,23]]},&quot;abstract&quot;:&quot;Objectives Type 1 interferon (IFN) is key to the pathogenesis of SLE, evidenced by the expression of IFN-stimulated genes (ISGs) in most patients, but the clinical utility of serial ISG assessment remains unknown. With the emergence of IFN-blocking drugs, we aimed to examine IFN status in relation to clinical findings longitudinally to provide insights into the value of testing ISG levels over time. Methods Clinical data and whole blood were collected prospectively on adult patients with SLE from a single tertiary lupus centre. IFN status was measured using a panel of ISGs. Findings 729 samples were analysed from 205 patients. At baseline, 62.9% of patients were IFN high, 30.2% IFN low and 6.8% borderline. 142 patients had multiple samples collected, and 87.3% of these demonstrated stable ISG status over time. In longitudinal follow-up, IFN high patients had higher activity in multiple organ domains and spent less time in Lupus Low Disease Activity State, but IFN score did not correlate with SLE Disease Activity Index in individual patients. In the small subset of patients who had large fluctuations in ISG across the observation period, most had high-dose glucocorticoids that correlated with ISG suppression. However, low-moderate-dose glucocorticoids did not suppress ISG expression. Conclusion Although IFN high status is associated with indicators of more severe SLE, in the majority of patients, ISGs are stable across time and do not correlate with disease activity. Changes in ISG expression may be seen with high-dose, but not routine dose, glucocorticoid exposure. These findings suggest baseline but not serial ISG measurement may be of value in the management of SLE.&quot;,&quot;publisher&quot;:&quot;BMJ Publishing Group&quot;,&quot;issue&quot;:&quot;1&quot;,&quot;volume&quot;:&quot;9&quot;},&quot;isTemporary&quot;:false},{&quot;id&quot;:&quot;596503af-0141-3372-9842-b37675708fdd&quot;,&quot;itemData&quot;:{&quot;type&quot;:&quot;article-journal&quot;,&quot;id&quot;:&quot;596503af-0141-3372-9842-b37675708fdd&quot;,&quot;title&quot;:&quot;Interferons and systemic lupus erythematosus: Pathogenesis, clinical features, and treatments in interferon-driven disease&quot;,&quot;author&quot;:[{&quot;family&quot;:&quot;Tanaka&quot;,&quot;given&quot;:&quot;Yoshiya&quot;,&quot;parse-names&quot;:false,&quot;dropping-particle&quot;:&quot;&quot;,&quot;non-dropping-particle&quot;:&quot;&quot;},{&quot;family&quot;:&quot;Kusuda&quot;,&quot;given&quot;:&quot;Masaki&quot;,&quot;parse-names&quot;:false,&quot;dropping-particle&quot;:&quot;&quot;,&quot;non-dropping-particle&quot;:&quot;&quot;},{&quot;family&quot;:&quot;Yamaguchi&quot;,&quot;given&quot;:&quot;Yoshiyuki&quot;,&quot;parse-names&quot;:false,&quot;dropping-particle&quot;:&quot;&quot;,&quot;non-dropping-particle&quot;:&quot;&quot;}],&quot;container-title&quot;:&quot;Modern Rheumatology&quot;,&quot;container-title-short&quot;:&quot;Mod. Rheumatol.&quot;,&quot;DOI&quot;:&quot;10.1093/mr/roac140&quot;,&quot;ISSN&quot;:&quot;14397609&quot;,&quot;PMID&quot;:&quot;36440704&quot;,&quot;issued&quot;:{&quot;date-parts&quot;:[[2023,9,1]]},&quot;page&quot;:&quot;857-867&quot;,&quot;abstract&quot;:&quot;Type I interferons (IFNs) have recently received a lot of attention with the elucidation of the pathogenesis of systemic lupus erythematosus (SLE). Type I IFNs are associated with many SLE symptoms and play a role in the pathogenesis of autoimmune diseases that may occur concurrently with SLE, such as Sjögren's syndrome, antiphospholipid syndrome, myositis, scleroderma, and interferonopathy. Type I IFNs could be the link between these diseases. However, direct measurement of type I IFN levels and the IFN gene signature is currently unavailable in clinical practice. This review discusses type I IFN signalling in SLE, investigates the role of type I IFN in the clinical manifestations and symptoms associated with SLE and other IFN-related diseases, and discusses the clinical tests that can be used to diagnose SLE and measure disease activity. In addition, the role of type I IFN-blocking therapies as potential treatments for SLE is discussed.&quot;,&quot;publisher&quot;:&quot;Oxford University Press&quot;,&quot;issue&quot;:&quot;5&quot;,&quot;volume&quot;:&quot;33&quot;},&quot;isTemporary&quot;:false}]},{&quot;citationID&quot;:&quot;MENDELEY_CITATION_61424efe-6371-4fff-b444-108c76ccbadb&quot;,&quot;properties&quot;:{&quot;noteIndex&quot;:0},&quot;isEdited&quot;:false,&quot;manualOverride&quot;:{&quot;isManuallyOverridden&quot;:false,&quot;citeprocText&quot;:&quot;[19–21]&quot;,&quot;manualOverrideText&quot;:&quot;&quot;},&quot;citationTag&quot;:&quot;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&quot;,&quot;citationItems&quot;:[{&quot;id&quot;:&quot;8dfcfd34-adef-3170-98df-cb84025b1d31&quot;,&quot;itemData&quot;:{&quot;type&quot;:&quot;article-journal&quot;,&quot;id&quot;:&quot;8dfcfd34-adef-3170-98df-cb84025b1d31&quot;,&quot;title&quot;:&quot;Personalized Immunomonitoring Uncovers Molecular Networks that Stratify Lupus Patients&quot;,&quot;author&quot;:[{&quot;family&quot;:&quot;Banchereau&quot;,&quot;given&quot;:&quot;Romain&quot;,&quot;parse-names&quot;:false,&quot;dropping-particle&quot;:&quot;&quot;,&quot;non-dropping-particle&quot;:&quot;&quot;},{&quot;family&quot;:&quot;Hong&quot;,&quot;given&quot;:&quot;Seunghee&quot;,&quot;parse-names&quot;:false,&quot;dropping-particle&quot;:&quot;&quot;,&quot;non-dropping-particle&quot;:&quot;&quot;},{&quot;family&quot;:&quot;Cantarel&quot;,&quot;given&quot;:&quot;Brandi&quot;,&quot;parse-names&quot;:false,&quot;dropping-particle&quot;:&quot;&quot;,&quot;non-dropping-particle&quot;:&quot;&quot;},{&quot;family&quot;:&quot;Baldwin&quot;,&quot;given&quot;:&quot;Nicole&quot;,&quot;parse-names&quot;:false,&quot;dropping-particle&quot;:&quot;&quot;,&quot;non-dropping-particle&quot;:&quot;&quot;},{&quot;family&quot;:&quot;Baisch&quot;,&quot;given&quot;:&quot;Jeanine&quot;,&quot;parse-names&quot;:false,&quot;dropping-particle&quot;:&quot;&quot;,&quot;non-dropping-particle&quot;:&quot;&quot;},{&quot;family&quot;:&quot;Edens&quot;,&quot;given&quot;:&quot;Michelle&quot;,&quot;parse-names&quot;:false,&quot;dropping-particle&quot;:&quot;&quot;,&quot;non-dropping-particle&quot;:&quot;&quot;},{&quot;family&quot;:&quot;Cepika&quot;,&quot;given&quot;:&quot;Alma Martina&quot;,&quot;parse-names&quot;:false,&quot;dropping-particle&quot;:&quot;&quot;,&quot;non-dropping-particle&quot;:&quot;&quot;},{&quot;family&quot;:&quot;Acs&quot;,&quot;given&quot;:&quot;Peter&quot;,&quot;parse-names&quot;:false,&quot;dropping-particle&quot;:&quot;&quot;,&quot;non-dropping-particle&quot;:&quot;&quot;},{&quot;family&quot;:&quot;Turner&quot;,&quot;given&quot;:&quot;Jacob&quot;,&quot;parse-names&quot;:false,&quot;dropping-particle&quot;:&quot;&quot;,&quot;non-dropping-particle&quot;:&quot;&quot;},{&quot;family&quot;:&quot;Anguiano&quot;,&quot;given&quot;:&quot;Esperanza&quot;,&quot;parse-names&quot;:false,&quot;dropping-particle&quot;:&quot;&quot;,&quot;non-dropping-particle&quot;:&quot;&quot;},{&quot;family&quot;:&quot;Vinod&quot;,&quot;given&quot;:&quot;Parvathi&quot;,&quot;parse-names&quot;:false,&quot;dropping-particle&quot;:&quot;&quot;,&quot;non-dropping-particle&quot;:&quot;&quot;},{&quot;family&quot;:&quot;Kahn&quot;,&quot;given&quot;:&quot;Shaheen&quot;,&quot;parse-names&quot;:false,&quot;dropping-particle&quot;:&quot;&quot;,&quot;non-dropping-particle&quot;:&quot;&quot;},{&quot;family&quot;:&quot;Obermoser&quot;,&quot;given&quot;:&quot;Gerlinde&quot;,&quot;parse-names&quot;:false,&quot;dropping-particle&quot;:&quot;&quot;,&quot;non-dropping-particle&quot;:&quot;&quot;},{&quot;family&quot;:&quot;Blankenship&quot;,&quot;given&quot;:&quot;Derek&quot;,&quot;parse-names&quot;:false,&quot;dropping-particle&quot;:&quot;&quot;,&quot;non-dropping-particle&quot;:&quot;&quot;},{&quot;family&quot;:&quot;Wakeland&quot;,&quot;given&quot;:&quot;Edward&quot;,&quot;parse-names&quot;:false,&quot;dropping-particle&quot;:&quot;&quot;,&quot;non-dropping-particle&quot;:&quot;&quot;},{&quot;family&quot;:&quot;Nassi&quot;,&quot;given&quot;:&quot;Lorien&quot;,&quot;parse-names&quot;:false,&quot;dropping-particle&quot;:&quot;&quot;,&quot;non-dropping-particle&quot;:&quot;&quot;},{&quot;family&quot;:&quot;Gotte&quot;,&quot;given&quot;:&quot;Alisa&quot;,&quot;parse-names&quot;:false,&quot;dropping-particle&quot;:&quot;&quot;,&quot;non-dropping-particle&quot;:&quot;&quot;},{&quot;family&quot;:&quot;Punaro&quot;,&quot;given&quot;:&quot;Marilynn&quot;,&quot;parse-names&quot;:false,&quot;dropping-particle&quot;:&quot;&quot;,&quot;non-dropping-particle&quot;:&quot;&quot;},{&quot;family&quot;:&quot;Liu&quot;,&quot;given&quot;:&quot;Yong Jun&quot;,&quot;parse-names&quot;:false,&quot;dropping-particle&quot;:&quot;&quot;,&quot;non-dropping-particle&quot;:&quot;&quot;},{&quot;family&quot;:&quot;Banchereau&quot;,&quot;given&quot;:&quot;Jacques&quot;,&quot;parse-names&quot;:false,&quot;dropping-particle&quot;:&quot;&quot;,&quot;non-dropping-particle&quot;:&quot;&quot;},{&quot;family&quot;:&quot;Rossello-Urgell&quot;,&quot;given&quot;:&quot;Jose&quot;,&quot;parse-names&quot;:false,&quot;dropping-particle&quot;:&quot;&quot;,&quot;non-dropping-particle&quot;:&quot;&quot;},{&quot;family&quot;:&quot;Wright&quot;,&quot;given&quot;:&quot;Tracey&quot;,&quot;parse-names&quot;:false,&quot;dropping-particle&quot;:&quot;&quot;,&quot;non-dropping-particle&quot;:&quot;&quot;},{&quot;family&quot;:&quot;Pascual&quot;,&quot;given&quot;:&quot;Virginia&quot;,&quot;parse-names&quot;:false,&quot;dropping-particle&quot;:&quot;&quot;,&quot;non-dropping-particle&quot;:&quot;&quot;}],&quot;container-title&quot;:&quot;Cell&quot;,&quot;container-title-short&quot;:&quot;Cell&quot;,&quot;accessed&quot;:{&quot;date-parts&quot;:[[2026,3,29]]},&quot;DOI&quot;:&quot;10.1016/j.cell.2016.03.008&quot;,&quot;ISSN&quot;:&quot;10974172&quot;,&quot;PMID&quot;:&quot;27040498&quot;,&quot;URL&quot;:&quot;https://pubmed.ncbi.nlm.nih.gov/27040498/&quot;,&quot;issued&quot;:{&quot;date-parts&quot;:[[2016,4,21]]},&quot;page&quot;:&quot;551-565&quot;,&quot;abstract&quot;:&quot;Summary Systemic lupus erythematosus (SLE) is an autoimmune disease characterized by loss of tolerance to nucleic acids and highly diverse clinical manifestations. To assess its molecular heterogeneity, we longitudinally profiled the blood transcriptome of 158 pediatric patients. Using mixed models accounting for repeated measurements, demographics, treatment, disease activity (DA), and nephritis class, we confirmed a prevalent IFN signature and identified a plasmablast signature as the most robust biomarker of DA. We detected gradual enrichment of neutrophil transcripts during progression to active nephritis and distinct signatures in response to treatment in different nephritis subclasses. Importantly, personalized immunomonitoring uncovered individual correlates of disease activity that enabled patient stratification into seven groups, supported by patient genotypes. Our study uncovers the molecular heterogeneity of SLE and provides an explanation for the failure of clinical trials. This approach may improve trial design and implementation of tailored therapies in genetically and clinically complex autoimmune diseases.&quot;,&quot;publisher&quot;:&quot;Cell Press&quot;,&quot;issue&quot;:&quot;3&quot;,&quot;volume&quot;:&quot;165&quot;},&quot;isTemporary&quot;:false},{&quot;id&quot;:&quot;9e6ac230-9e83-38de-b055-05b2a91117a6&quot;,&quot;itemData&quot;:{&quot;type&quot;:&quot;article-journal&quot;,&quot;id&quot;:&quot;9e6ac230-9e83-38de-b055-05b2a91117a6&quot;,&quot;title&quot;:&quot;Type I interferon-mediated monogenic autoinflammation: The type I interferonopathies, a conceptual overview&quot;,&quot;author&quot;:[{&quot;family&quot;:&quot;Rodero&quot;,&quot;given&quot;:&quot;Mathieu P.&quot;,&quot;parse-names&quot;:false,&quot;dropping-particle&quot;:&quot;&quot;,&quot;non-dropping-particle&quot;:&quot;&quot;},{&quot;family&quot;:&quot;Crow&quot;,&quot;given&quot;:&quot;Yanick J.&quot;,&quot;parse-names&quot;:false,&quot;dropping-particle&quot;:&quot;&quot;,&quot;non-dropping-particle&quot;:&quot;&quot;}],&quot;container-title&quot;:&quot;The Journal of experimental medicine&quot;,&quot;container-title-short&quot;:&quot;J. Exp. Med.&quot;,&quot;accessed&quot;:{&quot;date-parts&quot;:[[2026,3,29]]},&quot;DOI&quot;:&quot;10.1084/jem.20161596&quot;,&quot;ISSN&quot;:&quot;15409538&quot;,&quot;PMID&quot;:&quot;27821552&quot;,&quot;URL&quot;:&quot;https://pubmed.ncbi.nlm.nih.gov/27821552/&quot;,&quot;issued&quot;:{&quot;date-parts&quot;:[[2016,11,14]]},&quot;page&quot;:&quot;2527-2538&quot;,&quot;abstract&quot;:&quot;Type I interferon is a potent substance. As such, the induction, transmission, and resolution of the type I interferonâ-mediated immune response are tightly regulated. As defined, the type I interferonopathies represent discrete examples of a disturbance of the homeostatic control of this system caused by Mendelian mutations. Considering the complexity of the interferon response, the identification of further monogenic diseases belonging to this disease grouping seems likely, with the recognition of type I interferonopathies becoming of increasing clinical importance as treatment options are developed based on an understanding of disease pathology and innate immune signaling. Definition of the type I interferonopathies indicates that autoinflammation can be both interferon and noninterferon related, and that a primary disturbance of the innate immune system can spill over into autoimmunity in some cases. Indeed, that several non-Mendelian disorders, most particularly systemic lupus erythematosus and dermatomyositis, are also characterized by an up-regulation of type I interferon signaling suggests the possibility that insights derived from this work will have relevance to a broader field of clinical medicine.&quot;,&quot;publisher&quot;:&quot;J Exp Med&quot;,&quot;issue&quot;:&quot;12&quot;,&quot;volume&quot;:&quot;213&quot;},&quot;isTemporary&quot;:false},{&quot;id&quot;:&quot;aed3a1a0-3049-3a27-8573-1e1168a3a20a&quot;,&quot;itemData&quot;:{&quot;type&quot;:&quot;article-journal&quot;,&quot;id&quot;:&quot;aed3a1a0-3049-3a27-8573-1e1168a3a20a&quot;,&quot;title&quot;:&quot;Type I interferon pathway assays in studies of rheumatic and musculoskeletal diseases: a systematic literature review informing EULAR points to consider&quot;,&quot;author&quot;:[{&quot;family&quot;:&quot;Burska&quot;,&quot;given&quot;:&quot;Agata&quot;,&quot;parse-names&quot;:false,&quot;dropping-particle&quot;:&quot;&quot;,&quot;non-dropping-particle&quot;:&quot;&quot;},{&quot;family&quot;:&quot;Rodríguez-Carrio&quot;,&quot;given&quot;:&quot;Javier&quot;,&quot;parse-names&quot;:false,&quot;dropping-particle&quot;:&quot;&quot;,&quot;non-dropping-particle&quot;:&quot;&quot;},{&quot;family&quot;:&quot;Biesen&quot;,&quot;given&quot;:&quot;Robert&quot;,&quot;parse-names&quot;:false,&quot;dropping-particle&quot;:&quot;&quot;,&quot;non-dropping-particle&quot;:&quot;&quot;},{&quot;family&quot;:&quot;Dik&quot;,&quot;given&quot;:&quot;Willem A.&quot;,&quot;parse-names&quot;:false,&quot;dropping-particle&quot;:&quot;&quot;,&quot;non-dropping-particle&quot;:&quot;&quot;},{&quot;family&quot;:&quot;Eloranta&quot;,&quot;given&quot;:&quot;Maija Leena&quot;,&quot;parse-names&quot;:false,&quot;dropping-particle&quot;:&quot;&quot;,&quot;non-dropping-particle&quot;:&quot;&quot;},{&quot;family&quot;:&quot;Cavalli&quot;,&quot;given&quot;:&quot;Giulio&quot;,&quot;parse-names&quot;:false,&quot;dropping-particle&quot;:&quot;&quot;,&quot;non-dropping-particle&quot;:&quot;&quot;},{&quot;family&quot;:&quot;Visser&quot;,&quot;given&quot;:&quot;Marianne&quot;,&quot;parse-names&quot;:false,&quot;dropping-particle&quot;:&quot;&quot;,&quot;non-dropping-particle&quot;:&quot;&quot;},{&quot;family&quot;:&quot;Boumpas&quot;,&quot;given&quot;:&quot;Dimitrios T.&quot;,&quot;parse-names&quot;:false,&quot;dropping-particle&quot;:&quot;&quot;,&quot;non-dropping-particle&quot;:&quot;&quot;},{&quot;family&quot;:&quot;Bertsias&quot;,&quot;given&quot;:&quot;George&quot;,&quot;parse-names&quot;:false,&quot;dropping-particle&quot;:&quot;&quot;,&quot;non-dropping-particle&quot;:&quot;&quot;},{&quot;family&quot;:&quot;Wahren-Herlenius&quot;,&quot;given&quot;:&quot;Marie&quot;,&quot;parse-names&quot;:false,&quot;dropping-particle&quot;:&quot;&quot;,&quot;non-dropping-particle&quot;:&quot;&quot;},{&quot;family&quot;:&quot;Rehwinkel&quot;,&quot;given&quot;:&quot;Jan&quot;,&quot;parse-names&quot;:false,&quot;dropping-particle&quot;:&quot;&quot;,&quot;non-dropping-particle&quot;:&quot;&quot;},{&quot;family&quot;:&quot;Frémond&quot;,&quot;given&quot;:&quot;Marie Louise&quot;,&quot;parse-names&quot;:false,&quot;dropping-particle&quot;:&quot;&quot;,&quot;non-dropping-particle&quot;:&quot;&quot;},{&quot;family&quot;:&quot;Crow&quot;,&quot;given&quot;:&quot;Mary K.&quot;,&quot;parse-names&quot;:false,&quot;dropping-particle&quot;:&quot;&quot;,&quot;non-dropping-particle&quot;:&quot;&quot;},{&quot;family&quot;:&quot;Ronnblom&quot;,&quot;given&quot;:&quot;Lars&quot;,&quot;parse-names&quot;:false,&quot;dropping-particle&quot;:&quot;&quot;,&quot;non-dropping-particle&quot;:&quot;&quot;},{&quot;family&quot;:&quot;Conaghan&quot;,&quot;given&quot;:&quot;P. G.&quot;,&quot;parse-names&quot;:false,&quot;dropping-particle&quot;:&quot;&quot;,&quot;non-dropping-particle&quot;:&quot;&quot;},{&quot;family&quot;:&quot;Versnel&quot;,&quot;given&quot;:&quot;Marjan&quot;,&quot;parse-names&quot;:false,&quot;dropping-particle&quot;:&quot;&quot;,&quot;non-dropping-particle&quot;:&quot;&quot;},{&quot;family&quot;:&quot;Vital&quot;,&quot;given&quot;:&quot;Ed&quot;,&quot;parse-names&quot;:false,&quot;dropping-particle&quot;:&quot;&quot;,&quot;non-dropping-particle&quot;:&quot;&quot;}],&quot;container-title&quot;:&quot;RMD Open&quot;,&quot;container-title-short&quot;:&quot;RMD Open&quot;,&quot;DOI&quot;:&quot;10.1136/rmdopen-2022-002876&quot;,&quot;ISSN&quot;:&quot;20565933&quot;,&quot;PMID&quot;:&quot;36863752&quot;,&quot;issued&quot;:{&quot;date-parts&quot;:[[2023,3,2]]},&quot;abstract&quot;:&quot;Objectives To systematically review the literature for assay methods that aim to evaluate type I interferon (IFN-I) pathway activation and to harmonise-related terminology. Methods Three databases were searched for reports of IFN-I and rheumatic musculoskeletal diseases. Information about the performance metrics of assays measuring IFN-I and measures of truth were extracted and summarised. A EULAR task force panel assessed feasibility and developed consensus terminology. Results Of 10 037 abstracts, 276 fulfilled eligibility criteria for data extraction. Some reported more than one technique to measure IFN-I pathway activation. Hence, 276 papers generated data on 412 methods. IFN-I pathway activation was measured using: qPCR (n=121), immunoassays (n=101), microarray (n=69), reporter cell assay (n=38), DNA methylation (n=14), flow cytometry (n=14), cytopathic effect assay (n=11), RNA sequencing (n=9), plaque reduction assay (n=8), Nanostring (n=5), bisulphite sequencing (n=3). Principles of each assay are summarised for content validity. Concurrent validity (correlation with other IFN assays) was presented for n=150/412 assays. Reliability data were variable and provided for 13 assays. Gene expression and immunoassays were considered most feasible. Consensus terminology to define different aspects of IFN-I research and practice was produced. Conclusions Diverse methods have been reported as IFN-I assays and these differ in what elements or aspects of IFN-I pathway activation they measure and how. No â € gold standard' represents the entirety of the IFN pathway, some may not be specific for IFN-I. Data on reliability or comparing assays were limited, and feasibility is a challenge for many assays. Consensus terminology should improve consistency of reporting.&quot;,&quot;publisher&quot;:&quot;BMJ Publishing Group&quot;,&quot;issue&quot;:&quot;1&quot;,&quot;volume&quot;:&quot;9&quot;},&quot;isTemporary&quot;:false}]},{&quot;citationID&quot;:&quot;MENDELEY_CITATION_46d86bf5-41e9-4b6f-a35a-7e58bb9b68f3&quot;,&quot;properties&quot;:{&quot;noteIndex&quot;:0},&quot;isEdited&quot;:false,&quot;manualOverride&quot;:{&quot;isManuallyOverridden&quot;:false,&quot;citeprocText&quot;:&quot;[22]&quot;,&quot;manualOverrideText&quot;:&quot;&quot;},&quot;citationTag&quot;:&quot;MENDELEY_CITATION_v3_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&quot;,&quot;citationItems&quot;:[{&quot;id&quot;:&quot;07093a47-8075-3b4e-b3cf-5bfc4dc70589&quot;,&quot;itemData&quot;:{&quot;type&quot;:&quot;article-journal&quot;,&quot;id&quot;:&quot;07093a47-8075-3b4e-b3cf-5bfc4dc70589&quot;,&quot;title&quot;:&quot;The baseline interferon signature predicts disease severity over the subsequent 5 years in systemic lupus erythematosus&quot;,&quot;author&quot;:[{&quot;family&quot;:&quot;Mai&quot;,&quot;given&quot;:&quot;Lloyd&quot;,&quot;parse-names&quot;:false,&quot;dropping-particle&quot;:&quot;&quot;,&quot;non-dropping-particle&quot;:&quot;&quot;},{&quot;family&quot;:&quot;Asaduzzaman&quot;,&quot;given&quot;:&quot;Arundip&quot;,&quot;parse-names&quot;:false,&quot;dropping-particle&quot;:&quot;&quot;,&quot;non-dropping-particle&quot;:&quot;&quot;},{&quot;family&quot;:&quot;Noamani&quot;,&quot;given&quot;:&quot;Babak&quot;,&quot;parse-names&quot;:false,&quot;dropping-particle&quot;:&quot;&quot;,&quot;non-dropping-particle&quot;:&quot;&quot;},{&quot;family&quot;:&quot;Fortin&quot;,&quot;given&quot;:&quot;Paul R.&quot;,&quot;parse-names&quot;:false,&quot;dropping-particle&quot;:&quot;&quot;,&quot;non-dropping-particle&quot;:&quot;&quot;},{&quot;family&quot;:&quot;Gladman&quot;,&quot;given&quot;:&quot;Dafna D.&quot;,&quot;parse-names&quot;:false,&quot;dropping-particle&quot;:&quot;&quot;,&quot;non-dropping-particle&quot;:&quot;&quot;},{&quot;family&quot;:&quot;Touma&quot;,&quot;given&quot;:&quot;Zahi&quot;,&quot;parse-names&quot;:false,&quot;dropping-particle&quot;:&quot;&quot;,&quot;non-dropping-particle&quot;:&quot;&quot;},{&quot;family&quot;:&quot;Urowitz&quot;,&quot;given&quot;:&quot;Murray B.&quot;,&quot;parse-names&quot;:false,&quot;dropping-particle&quot;:&quot;&quot;,&quot;non-dropping-particle&quot;:&quot;&quot;},{&quot;family&quot;:&quot;Wither&quot;,&quot;given&quot;:&quot;Joan&quot;,&quot;parse-names&quot;:false,&quot;dropping-particle&quot;:&quot;&quot;,&quot;non-dropping-particle&quot;:&quot;&quot;}],&quot;container-title&quot;:&quot;Arthritis Research and Therapy&quot;,&quot;container-title-short&quot;:&quot;Arthritis Res. Ther.&quot;,&quot;DOI&quot;:&quot;10.1186/s13075-021-02414-0&quot;,&quot;ISSN&quot;:&quot;14786362&quot;,&quot;PMID&quot;:&quot;33451338&quot;,&quot;issued&quot;:{&quot;date-parts&quot;:[[2021,12,1]]},&quot;abstract&quot;:&quot;Objectives: Type I interferons (IFNs) play an important role in the pathophysiology of systemic lupus erythematosus (SLE). While cross-sectional data suggest an association between IFN-induced gene expression and SLE disease activity, interest in this as a biomarker of flare has been tempered by a lack of fluctuation with disease activity in the majority of patients. This led us to question whether IFN-induced gene expression might instead be a biomarker of overall disease severity, with patients with high levels spending more time in an active disease state. Methods: Levels of five interferon-responsive genes were measured in the whole peripheral blood at baseline visit for 137 SLE patients subsequently followed for 5 years. Log transformed values were summed to yield a composite IFN5 score, and the correlation with various disease outcomes examined. Receiver operator characteristic analyses were performed for outcomes of interest. Kaplan-Meier curves were generated to compare the proportion of flare-free patients with high and low IFN5 scores over time. Results: The baseline IFN5 score was positively correlated with the adjusted mean SLE disease activity index-2000, number of flares, adjusted mean prednisone dose, and number of new immunosuppressive medications over the subsequent 5 years. Optimal cut-offs for the IFN5 score were determined using Youden’s index and predicted more severe outcomes with 57–67% accuracy. A high baseline IFN5 level was associated with a significantly increased risk of subsequent flare. Conclusions: Measurement of the type I IFN signature is a useful tool for predicting the subsequent disease activity course.&quot;,&quot;publisher&quot;:&quot;BioMed Central Ltd&quot;,&quot;issue&quot;:&quot;1&quot;,&quot;volume&quot;:&quot;23&quot;},&quot;isTemporary&quot;:false}]},{&quot;citationID&quot;:&quot;MENDELEY_CITATION_a1385f25-e2d9-4b61-b787-06a4bf484e37&quot;,&quot;properties&quot;:{&quot;noteIndex&quot;:0},&quot;isEdited&quot;:false,&quot;manualOverride&quot;:{&quot;isManuallyOverridden&quot;:false,&quot;citeprocText&quot;:&quot;[23]&quot;,&quot;manualOverrideText&quot;:&quot;&quot;},&quot;citationTag&quot;:&quot;MENDELEY_CITATION_v3_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&quot;,&quot;citationItems&quot;:[{&quot;id&quot;:&quot;e90ba4c1-82ed-3504-8e36-1fa24f863f67&quot;,&quot;itemData&quot;:{&quot;type&quot;:&quot;article-journal&quot;,&quot;id&quot;:&quot;e90ba4c1-82ed-3504-8e36-1fa24f863f67&quot;,&quot;title&quot;:&quot;Uncoupling interferons and the interferon signature explains clinical and transcriptional subsets in SLE&quot;,&quot;author&quot;:[{&quot;family&quot;:&quot;Gómez-Bañuelos&quot;,&quot;given&quot;:&quot;Eduardo&quot;,&quot;parse-names&quot;:false,&quot;dropping-particle&quot;:&quot;&quot;,&quot;non-dropping-particle&quot;:&quot;&quot;},{&quot;family&quot;:&quot;Goldman&quot;,&quot;given&quot;:&quot;Daniel W.&quot;,&quot;parse-names&quot;:false,&quot;dropping-particle&quot;:&quot;&quot;,&quot;non-dropping-particle&quot;:&quot;&quot;},{&quot;family&quot;:&quot;Andrade&quot;,&quot;given&quot;:&quot;Victoria&quot;,&quot;parse-names&quot;:false,&quot;dropping-particle&quot;:&quot;&quot;,&quot;non-dropping-particle&quot;:&quot;&quot;},{&quot;family&quot;:&quot;Darrah&quot;,&quot;given&quot;:&quot;Erika&quot;,&quot;parse-names&quot;:false,&quot;dropping-particle&quot;:&quot;&quot;,&quot;non-dropping-particle&quot;:&quot;&quot;},{&quot;family&quot;:&quot;Petri&quot;,&quot;given&quot;:&quot;Michelle&quot;,&quot;parse-names&quot;:false,&quot;dropping-particle&quot;:&quot;&quot;,&quot;non-dropping-particle&quot;:&quot;&quot;},{&quot;family&quot;:&quot;Andrade&quot;,&quot;given&quot;:&quot;Felipe&quot;,&quot;parse-names&quot;:false,&quot;dropping-particle&quot;:&quot;&quot;,&quot;non-dropping-particle&quot;:&quot;&quot;}],&quot;container-title&quot;:&quot;Cell Reports Medicine&quot;,&quot;container-title-short&quot;:&quot;Cell Rep. Med.&quot;,&quot;DOI&quot;:&quot;10.1016/j.xcrm.2024.101569&quot;,&quot;ISSN&quot;:&quot;26663791&quot;,&quot;PMID&quot;:&quot;38744279&quot;,&quot;issued&quot;:{&quot;date-parts&quot;:[[2024,5,21]]},&quot;abstract&quot;:&quot;Systemic lupus erythematosus (SLE) displays a hallmark interferon (IFN) signature. Yet, clinical trials targeting type I IFN (IFN-I) have shown variable efficacy, and blocking IFN-II failed to treat SLE. Here, we show that IFN type levels in SLE vary significantly across clinical and transcriptional endotypes. Whereas skin involvement correlated with IFN-I alone, systemic features like nephritis associated with co-elevation of IFN-I, IFN-II, and IFN-III, indicating additive IFN effects in severe SLE. Notably, while high IFN-II/-III levels without IFN-I had a limited effect on disease activity, IFN-II was linked to IFN-I-independent transcriptional profiles (e.g., OXPHOS and CD8+GZMH+ cells), and IFN-III enhanced IFN-induced gene expression when co-elevated with IFN-I. Moreover, dysregulated IFNs do not explain the IFN signature in 64% of patients or clinical manifestations including cytopenia, serositis, and anti-phospholipid syndrome, implying IFN-independent endotypes in SLE. This study sheds light on mechanisms underlying SLE heterogeneity and the variable response to IFN-targeted therapies in clinical trials.&quot;,&quot;publisher&quot;:&quot;Cell Press&quot;,&quot;issue&quot;:&quot;5&quot;,&quot;volume&quot;:&quot;5&quot;},&quot;isTemporary&quot;:false}]},{&quot;citationID&quot;:&quot;MENDELEY_CITATION_30347f4a-133c-4a53-8599-b50faeed98cf&quot;,&quot;properties&quot;:{&quot;noteIndex&quot;:0},&quot;isEdited&quot;:false,&quot;manualOverride&quot;:{&quot;isManuallyOverridden&quot;:false,&quot;citeprocText&quot;:&quot;[24]&quot;,&quot;manualOverrideText&quot;:&quot;&quot;},&quot;citationTag&quot;:&quot;MENDELEY_CITATION_v3_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&quot;,&quot;citationItems&quot;:[{&quot;id&quot;:&quot;53edf436-8ca5-3071-bbb0-da7a597c7447&quot;,&quot;itemData&quot;:{&quot;type&quot;:&quot;article-journal&quot;,&quot;id&quot;:&quot;53edf436-8ca5-3071-bbb0-da7a597c7447&quot;,&quot;title&quot;:&quot;Higher activation of the interferon-gamma signaling pathway in systemic lupus erythematosus patients with a high type I IFN score: relation to disease activity&quot;,&quot;author&quot;:[{&quot;family&quot;:&quot;Liu&quot;,&quot;given&quot;:&quot;Manman&quot;,&quot;parse-names&quot;:false,&quot;dropping-particle&quot;:&quot;&quot;,&quot;non-dropping-particle&quot;:&quot;&quot;},{&quot;family&quot;:&quot;Liu&quot;,&quot;given&quot;:&quot;Junli&quot;,&quot;parse-names&quot;:false,&quot;dropping-particle&quot;:&quot;&quot;,&quot;non-dropping-particle&quot;:&quot;&quot;},{&quot;family&quot;:&quot;Hao&quot;,&quot;given&quot;:&quot;Shumeng&quot;,&quot;parse-names&quot;:false,&quot;dropping-particle&quot;:&quot;&quot;,&quot;non-dropping-particle&quot;:&quot;&quot;},{&quot;family&quot;:&quot;Wu&quot;,&quot;given&quot;:&quot;Ping&quot;,&quot;parse-names&quot;:false,&quot;dropping-particle&quot;:&quot;&quot;,&quot;non-dropping-particle&quot;:&quot;&quot;},{&quot;family&quot;:&quot;Zhang&quot;,&quot;given&quot;:&quot;Xiaoyan&quot;,&quot;parse-names&quot;:false,&quot;dropping-particle&quot;:&quot;&quot;,&quot;non-dropping-particle&quot;:&quot;&quot;},{&quot;family&quot;:&quot;Xiao&quot;,&quot;given&quot;:&quot;Yichuan&quot;,&quot;parse-names&quot;:false,&quot;dropping-particle&quot;:&quot;&quot;,&quot;non-dropping-particle&quot;:&quot;&quot;},{&quot;family&quot;:&quot;Jiang&quot;,&quot;given&quot;:&quot;Gengru&quot;,&quot;parse-names&quot;:false,&quot;dropping-particle&quot;:&quot;&quot;,&quot;non-dropping-particle&quot;:&quot;&quot;},{&quot;family&quot;:&quot;Huang&quot;,&quot;given&quot;:&quot;Xinfang&quot;,&quot;parse-names&quot;:false,&quot;dropping-particle&quot;:&quot;&quot;,&quot;non-dropping-particle&quot;:&quot;&quot;}],&quot;container-title&quot;:&quot;Clinical Rheumatology&quot;,&quot;container-title-short&quot;:&quot;Clin. Rheumatol.&quot;,&quot;DOI&quot;:&quot;10.1007/s10067-018-4138-7&quot;,&quot;ISSN&quot;:&quot;14349949&quot;,&quot;PMID&quot;:&quot;29774490&quot;,&quot;issued&quot;:{&quot;date-parts&quot;:[[2018,10,1]]},&quot;page&quot;:&quot;2675-2684&quot;,&quot;abstract&quot;:&quot;Increased IFN-γ levels have been associated with systemic lupus erythematosus (SLE). However, the relationships among IFN-γ, type I interferons (IFNs) and clinical features have not been extensively studied. Peripheral blood samples from 44 SLE patients and 36 healthy donors (HDs) were collected. Quantitative real-time PCR was used to assess the mRNA expression of IFNG, type II IFN-inducible genes (IRF1, GBP1, CXCL9, CXCL10, and SERPING1, which are used for the type II IFN score), type I IFN-inducible genes (IRF7, MX1, ISG15, and ISG20, which are used for the type I IFN score), TBX21, and EOMES in peripheral blood mononuclear cells. Flow cytometry was used to measure the IFN-γ levels in lymphocytes. The mRNA levels of type II IFN-inducible genes, IFNG, TBX21, and EOMES were significantly higher in SLE patients than those in HDs. Similarly, the percentages of IFN-γ-producing cells in lymphocytes and their subsets in SLE patients were significantly increased. Linear regression indicated that IFNG expression levels and type II IFN scores were positively correlated with anti-double-stranded DNA autoantibody levels and Systemic Lupus Erythematosus Disease Activity Index (SLEDAI) scores. Compared with patients with low type I IFN scores, patients with high type I IFN scores showed increased type II IFN scores and SLEDAI scores. Type II IFN scores were positively associated with type I IFN scores. The IFN-γ signaling pathway is activated in SLE patients and may be considered an index of disease activity. IFN-γ, together with type I IFNs, promotes the pathogenesis of SLE.&quot;,&quot;publisher&quot;:&quot;Springer London&quot;,&quot;issue&quot;:&quot;10&quot;,&quot;volume&quot;:&quot;37&quot;},&quot;isTemporary&quot;:false}]},{&quot;citationID&quot;:&quot;MENDELEY_CITATION_5b54b206-e3e2-482b-8410-162a102b1f80&quot;,&quot;properties&quot;:{&quot;noteIndex&quot;:0},&quot;isEdited&quot;:false,&quot;manualOverride&quot;:{&quot;isManuallyOverridden&quot;:false,&quot;citeprocText&quot;:&quot;[18]&quot;,&quot;manualOverrideText&quot;:&quot;&quot;},&quot;citationTag&quot;:&quot;MENDELEY_CITATION_v3_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&quot;,&quot;citationItems&quot;:[{&quot;id&quot;:&quot;596503af-0141-3372-9842-b37675708fdd&quot;,&quot;itemData&quot;:{&quot;type&quot;:&quot;article-journal&quot;,&quot;id&quot;:&quot;596503af-0141-3372-9842-b37675708fdd&quot;,&quot;title&quot;:&quot;Interferons and systemic lupus erythematosus: Pathogenesis, clinical features, and treatments in interferon-driven disease&quot;,&quot;author&quot;:[{&quot;family&quot;:&quot;Tanaka&quot;,&quot;given&quot;:&quot;Yoshiya&quot;,&quot;parse-names&quot;:false,&quot;dropping-particle&quot;:&quot;&quot;,&quot;non-dropping-particle&quot;:&quot;&quot;},{&quot;family&quot;:&quot;Kusuda&quot;,&quot;given&quot;:&quot;Masaki&quot;,&quot;parse-names&quot;:false,&quot;dropping-particle&quot;:&quot;&quot;,&quot;non-dropping-particle&quot;:&quot;&quot;},{&quot;family&quot;:&quot;Yamaguchi&quot;,&quot;given&quot;:&quot;Yoshiyuki&quot;,&quot;parse-names&quot;:false,&quot;dropping-particle&quot;:&quot;&quot;,&quot;non-dropping-particle&quot;:&quot;&quot;}],&quot;container-title&quot;:&quot;Modern Rheumatology&quot;,&quot;container-title-short&quot;:&quot;Mod. Rheumatol.&quot;,&quot;DOI&quot;:&quot;10.1093/mr/roac140&quot;,&quot;ISSN&quot;:&quot;14397609&quot;,&quot;PMID&quot;:&quot;36440704&quot;,&quot;issued&quot;:{&quot;date-parts&quot;:[[2023,9,1]]},&quot;page&quot;:&quot;857-867&quot;,&quot;abstract&quot;:&quot;Type I interferons (IFNs) have recently received a lot of attention with the elucidation of the pathogenesis of systemic lupus erythematosus (SLE). Type I IFNs are associated with many SLE symptoms and play a role in the pathogenesis of autoimmune diseases that may occur concurrently with SLE, such as Sjögren's syndrome, antiphospholipid syndrome, myositis, scleroderma, and interferonopathy. Type I IFNs could be the link between these diseases. However, direct measurement of type I IFN levels and the IFN gene signature is currently unavailable in clinical practice. This review discusses type I IFN signalling in SLE, investigates the role of type I IFN in the clinical manifestations and symptoms associated with SLE and other IFN-related diseases, and discusses the clinical tests that can be used to diagnose SLE and measure disease activity. In addition, the role of type I IFN-blocking therapies as potential treatments for SLE is discussed.&quot;,&quot;publisher&quot;:&quot;Oxford University Press&quot;,&quot;issue&quot;:&quot;5&quot;,&quot;volume&quot;:&quot;33&quot;},&quot;isTemporary&quot;:false}]},{&quot;citationID&quot;:&quot;MENDELEY_CITATION_0b76d0d1-2f15-4a03-a8fa-646b2c454772&quot;,&quot;properties&quot;:{&quot;noteIndex&quot;:0},&quot;isEdited&quot;:false,&quot;manualOverride&quot;:{&quot;isManuallyOverridden&quot;:false,&quot;citeprocText&quot;:&quot;[25]&quot;,&quot;manualOverrideText&quot;:&quot;&quot;},&quot;citationTag&quot;:&quot;MENDELEY_CITATION_v3_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&quot;,&quot;citationItems&quot;:[{&quot;id&quot;:&quot;6ca1f8ce-c85e-3d5c-addb-5a0c176aaf56&quot;,&quot;itemData&quot;:{&quot;type&quot;:&quot;article-journal&quot;,&quot;id&quot;:&quot;6ca1f8ce-c85e-3d5c-addb-5a0c176aaf56&quot;,&quot;title&quot;:&quot;Serum interferon-α levels and IFN type I-stimulated genes score perform equally to assess systemic lupus erythematosus disease activity&quot;,&quot;author&quot;:[{&quot;family&quot;:&quot;Chasset&quot;,&quot;given&quot;:&quot;François&quot;,&quot;parse-names&quot;:false,&quot;dropping-particle&quot;:&quot;&quot;,&quot;non-dropping-particle&quot;:&quot;&quot;},{&quot;family&quot;:&quot;Mathian&quot;,&quot;given&quot;:&quot;Alexis&quot;,&quot;parse-names&quot;:false,&quot;dropping-particle&quot;:&quot;&quot;,&quot;non-dropping-particle&quot;:&quot;&quot;},{&quot;family&quot;:&quot;Dorgham&quot;,&quot;given&quot;:&quot;Karim&quot;,&quot;parse-names&quot;:false,&quot;dropping-particle&quot;:&quot;&quot;,&quot;non-dropping-particle&quot;:&quot;&quot;},{&quot;family&quot;:&quot;Ribi&quot;,&quot;given&quot;:&quot;Camillo&quot;,&quot;parse-names&quot;:false,&quot;dropping-particle&quot;:&quot;&quot;,&quot;non-dropping-particle&quot;:&quot;&quot;},{&quot;family&quot;:&quot;Trendelenburg&quot;,&quot;given&quot;:&quot;Marten&quot;,&quot;parse-names&quot;:false,&quot;dropping-particle&quot;:&quot;&quot;,&quot;non-dropping-particle&quot;:&quot;&quot;},{&quot;family&quot;:&quot;Huynh-Do&quot;,&quot;given&quot;:&quot;Uyen&quot;,&quot;parse-names&quot;:false,&quot;dropping-particle&quot;:&quot;&quot;,&quot;non-dropping-particle&quot;:&quot;&quot;},{&quot;family&quot;:&quot;Roux-Lombard&quot;,&quot;given&quot;:&quot;Pascale&quot;,&quot;parse-names&quot;:false,&quot;dropping-particle&quot;:&quot;&quot;,&quot;non-dropping-particle&quot;:&quot;&quot;},{&quot;family&quot;:&quot;Courvoisier&quot;,&quot;given&quot;:&quot;Delphine Sophie&quot;,&quot;parse-names&quot;:false,&quot;dropping-particle&quot;:&quot;&quot;,&quot;non-dropping-particle&quot;:&quot;&quot;},{&quot;family&quot;:&quot;Amoura&quot;,&quot;given&quot;:&quot;Zahir&quot;,&quot;parse-names&quot;:false,&quot;dropping-particle&quot;:&quot;&quot;,&quot;non-dropping-particle&quot;:&quot;&quot;},{&quot;family&quot;:&quot;Gorochov&quot;,&quot;given&quot;:&quot;Guy&quot;,&quot;parse-names&quot;:false,&quot;dropping-particle&quot;:&quot;&quot;,&quot;non-dropping-particle&quot;:&quot;&quot;}],&quot;container-title&quot;:&quot;Annals of the Rheumatic Diseases&quot;,&quot;container-title-short&quot;:&quot;Ann. Rheum. Dis.&quot;,&quot;DOI&quot;:&quot;10.1136/annrheumdis-2021-221835ï&quot;,&quot;URL&quot;:&quot;https://hal.science/hal-03553438v1&quot;,&quot;abstract&quot;:&quot;Serum interferon-α levels and IFN type I-stimulated genes score perform equally to assess systemic lupus erythematosus disease activity.&quot;},&quot;isTemporary&quot;:false}]},{&quot;citationID&quot;:&quot;MENDELEY_CITATION_cfdc2c3b-ba2f-4b25-af61-3c3aee3346a1&quot;,&quot;properties&quot;:{&quot;noteIndex&quot;:0},&quot;isEdited&quot;:false,&quot;manualOverride&quot;:{&quot;isManuallyOverridden&quot;:false,&quot;citeprocText&quot;:&quot;[15,25,26]&quot;,&quot;manualOverrideText&quot;:&quot;&quot;},&quot;citationTag&quot;:&quot;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&quot;,&quot;citationItems&quot;:[{&quot;id&quot;:&quot;03fe8631-d329-3e00-afef-443c09f445a0&quot;,&quot;itemData&quot;:{&quot;type&quot;:&quot;article-journal&quot;,&quot;id&quot;:&quot;03fe8631-d329-3e00-afef-443c09f445a0&quot;,&quot;title&quot;:&quot;Detection of interferon alpha protein reveals differential levels and cellular sources in disease&quot;,&quot;author&quot;:[{&quot;family&quot;:&quot;Rodero&quot;,&quot;given&quot;:&quot;Mathieu P.&quot;,&quot;parse-names&quot;:false,&quot;dropping-particle&quot;:&quot;&quot;,&quot;non-dropping-particle&quot;:&quot;&quot;},{&quot;family&quot;:&quot;Decalf&quot;,&quot;given&quot;:&quot;Jérémie&quot;,&quot;parse-names&quot;:false,&quot;dropping-particle&quot;:&quot;&quot;,&quot;non-dropping-particle&quot;:&quot;&quot;},{&quot;family&quot;:&quot;Bondet&quot;,&quot;given&quot;:&quot;Vincent&quot;,&quot;parse-names&quot;:false,&quot;dropping-particle&quot;:&quot;&quot;,&quot;non-dropping-particle&quot;:&quot;&quot;},{&quot;family&quot;:&quot;Hunt&quot;,&quot;given&quot;:&quot;David&quot;,&quot;parse-names&quot;:false,&quot;dropping-particle&quot;:&quot;&quot;,&quot;non-dropping-particle&quot;:&quot;&quot;},{&quot;family&quot;:&quot;Rice&quot;,&quot;given&quot;:&quot;Gillian I.&quot;,&quot;parse-names&quot;:false,&quot;dropping-particle&quot;:&quot;&quot;,&quot;non-dropping-particle&quot;:&quot;&quot;},{&quot;family&quot;:&quot;Werneke&quot;,&quot;given&quot;:&quot;Scott&quot;,&quot;parse-names&quot;:false,&quot;dropping-particle&quot;:&quot;&quot;,&quot;non-dropping-particle&quot;:&quot;&quot;},{&quot;family&quot;:&quot;McGlasson&quot;,&quot;given&quot;:&quot;Sarah L.&quot;,&quot;parse-names&quot;:false,&quot;dropping-particle&quot;:&quot;&quot;,&quot;non-dropping-particle&quot;:&quot;&quot;},{&quot;family&quot;:&quot;Alyanakian&quot;,&quot;given&quot;:&quot;Marie Alexandra&quot;,&quot;parse-names&quot;:false,&quot;dropping-particle&quot;:&quot;&quot;,&quot;non-dropping-particle&quot;:&quot;&quot;},{&quot;family&quot;:&quot;Bader-Meunier&quot;,&quot;given&quot;:&quot;Brigitte&quot;,&quot;parse-names&quot;:false,&quot;dropping-particle&quot;:&quot;&quot;,&quot;non-dropping-particle&quot;:&quot;&quot;},{&quot;family&quot;:&quot;Barnerias&quot;,&quot;given&quot;:&quot;Christine&quot;,&quot;parse-names&quot;:false,&quot;dropping-particle&quot;:&quot;&quot;,&quot;non-dropping-particle&quot;:&quot;&quot;},{&quot;family&quot;:&quot;Bellon&quot;,&quot;given&quot;:&quot;Nathalia&quot;,&quot;parse-names&quot;:false,&quot;dropping-particle&quot;:&quot;&quot;,&quot;non-dropping-particle&quot;:&quot;&quot;},{&quot;family&quot;:&quot;Belot&quot;,&quot;given&quot;:&quot;Alexandre&quot;,&quot;parse-names&quot;:false,&quot;dropping-particle&quot;:&quot;&quot;,&quot;non-dropping-particle&quot;:&quot;&quot;},{&quot;family&quot;:&quot;Bodemer&quot;,&quot;given&quot;:&quot;Christine&quot;,&quot;parse-names&quot;:false,&quot;dropping-particle&quot;:&quot;&quot;,&quot;non-dropping-particle&quot;:&quot;&quot;},{&quot;family&quot;:&quot;Briggs&quot;,&quot;given&quot;:&quot;Tracy A.&quot;,&quot;parse-names&quot;:false,&quot;dropping-particle&quot;:&quot;&quot;,&quot;non-dropping-particle&quot;:&quot;&quot;},{&quot;family&quot;:&quot;Desguerre&quot;,&quot;given&quot;:&quot;Isabelle&quot;,&quot;parse-names&quot;:false,&quot;dropping-particle&quot;:&quot;&quot;,&quot;non-dropping-particle&quot;:&quot;&quot;},{&quot;family&quot;:&quot;Frémond&quot;,&quot;given&quot;:&quot;Marie Louise&quot;,&quot;parse-names&quot;:false,&quot;dropping-particle&quot;:&quot;&quot;,&quot;non-dropping-particle&quot;:&quot;&quot;},{&quot;family&quot;:&quot;Hully&quot;,&quot;given&quot;:&quot;Marie&quot;,&quot;parse-names&quot;:false,&quot;dropping-particle&quot;:&quot;&quot;,&quot;non-dropping-particle&quot;:&quot;&quot;},{&quot;family&quot;:&quot;Maagdenberg&quot;,&quot;given&quot;:&quot;Arn M.J.M.&quot;,&quot;parse-names&quot;:false,&quot;dropping-particle&quot;:&quot;&quot;,&quot;non-dropping-particle&quot;:&quot;van den&quot;},{&quot;family&quot;:&quot;Melki&quot;,&quot;given&quot;:&quot;Isabelle&quot;,&quot;parse-names&quot;:false,&quot;dropping-particle&quot;:&quot;&quot;,&quot;non-dropping-particle&quot;:&quot;&quot;},{&quot;family&quot;:&quot;Meyts&quot;,&quot;given&quot;:&quot;Isabelle&quot;,&quot;parse-names&quot;:false,&quot;dropping-particle&quot;:&quot;&quot;,&quot;non-dropping-particle&quot;:&quot;&quot;},{&quot;family&quot;:&quot;Musset&quot;,&quot;given&quot;:&quot;Lucile&quot;,&quot;parse-names&quot;:false,&quot;dropping-particle&quot;:&quot;&quot;,&quot;non-dropping-particle&quot;:&quot;&quot;},{&quot;family&quot;:&quot;Pelzer&quot;,&quot;given&quot;:&quot;Nadine&quot;,&quot;parse-names&quot;:false,&quot;dropping-particle&quot;:&quot;&quot;,&quot;non-dropping-particle&quot;:&quot;&quot;},{&quot;family&quot;:&quot;Quartier&quot;,&quot;given&quot;:&quot;Pierre&quot;,&quot;parse-names&quot;:false,&quot;dropping-particle&quot;:&quot;&quot;,&quot;non-dropping-particle&quot;:&quot;&quot;},{&quot;family&quot;:&quot;Terwindt&quot;,&quot;given&quot;:&quot;Gisela M.&quot;,&quot;parse-names&quot;:false,&quot;dropping-particle&quot;:&quot;&quot;,&quot;non-dropping-particle&quot;:&quot;&quot;},{&quot;family&quot;:&quot;Wardlaw&quot;,&quot;given&quot;:&quot;Joanna&quot;,&quot;parse-names&quot;:false,&quot;dropping-particle&quot;:&quot;&quot;,&quot;non-dropping-particle&quot;:&quot;&quot;},{&quot;family&quot;:&quot;Wiseman&quot;,&quot;given&quot;:&quot;Stewart&quot;,&quot;parse-names&quot;:false,&quot;dropping-particle&quot;:&quot;&quot;,&quot;non-dropping-particle&quot;:&quot;&quot;},{&quot;family&quot;:&quot;Rieux-Laucat&quot;,&quot;given&quot;:&quot;Frédéric&quot;,&quot;parse-names&quot;:false,&quot;dropping-particle&quot;:&quot;&quot;,&quot;non-dropping-particle&quot;:&quot;&quot;},{&quot;family&quot;:&quot;Rose&quot;,&quot;given&quot;:&quot;Yoann&quot;,&quot;parse-names&quot;:false,&quot;dropping-particle&quot;:&quot;&quot;,&quot;non-dropping-particle&quot;:&quot;&quot;},{&quot;family&quot;:&quot;Neven&quot;,&quot;given&quot;:&quot;Bénédicte&quot;,&quot;parse-names&quot;:false,&quot;dropping-particle&quot;:&quot;&quot;,&quot;non-dropping-particle&quot;:&quot;&quot;},{&quot;family&quot;:&quot;Hertel&quot;,&quot;given&quot;:&quot;Christina&quot;,&quot;parse-names&quot;:false,&quot;dropping-particle&quot;:&quot;&quot;,&quot;non-dropping-particle&quot;:&quot;&quot;},{&quot;family&quot;:&quot;Hayday&quot;,&quot;given&quot;:&quot;Adrian&quot;,&quot;parse-names&quot;:false,&quot;dropping-particle&quot;:&quot;&quot;,&quot;non-dropping-particle&quot;:&quot;&quot;},{&quot;family&quot;:&quot;Albert&quot;,&quot;given&quot;:&quot;Matthew L.&quot;,&quot;parse-names&quot;:false,&quot;dropping-particle&quot;:&quot;&quot;,&quot;non-dropping-particle&quot;:&quot;&quot;},{&quot;family&quot;:&quot;Rozenberg&quot;,&quot;given&quot;:&quot;Flore&quot;,&quot;parse-names&quot;:false,&quot;dropping-particle&quot;:&quot;&quot;,&quot;non-dropping-particle&quot;:&quot;&quot;},{&quot;family&quot;:&quot;Crow&quot;,&quot;given&quot;:&quot;Yanick J.&quot;,&quot;parse-names&quot;:false,&quot;dropping-particle&quot;:&quot;&quot;,&quot;non-dropping-particle&quot;:&quot;&quot;},{&quot;family&quot;:&quot;Duffy&quot;,&quot;given&quot;:&quot;Darragh&quot;,&quot;parse-names&quot;:false,&quot;dropping-particle&quot;:&quot;&quot;,&quot;non-dropping-particle&quot;:&quot;&quot;}],&quot;container-title&quot;:&quot;Journal of Experimental Medicine&quot;,&quot;DOI&quot;:&quot;10.1084/jem.20161451&quot;,&quot;ISSN&quot;:&quot;15409538&quot;,&quot;PMID&quot;:&quot;28420733&quot;,&quot;issued&quot;:{&quot;date-parts&quot;:[[2017,5,1]]},&quot;page&quot;:&quot;1547-1555&quot;,&quot;abstract&quot;:&quot;Type I interferons (IFNs) are essential mediators of antiviral responses. These cytokines have been implicated in the pathogenesis of autoimmunity, most notably systemic lupus erythematosus (SLE), diabetes mellitus, and dermatomyositis, as well as monogenic type I interferonopathies. Despite a fundamental role in health and disease, the direct quantification of type I IFNs has been challenging. Using single-molecule array (Simoa) digital ELI SA technology, we recorded attomolar concentrations of IFNα in healthy donors, viral infection, and complex and monogenic interferonopathies. IFNα protein correlated well with functional activity and IFN-stimulated gene expression. High circulating IFNα levels were associated with increased clinical severity in SLE patients, and a study of the cellular source of IFNα protein indicated disease-specific mechanisms. Measurement of IFNα attomolar concentrations by digital ELI SA will enhance our understanding of IFN biology and potentially improve the diagnosis and stratification of pathologies associated with IFN dysregulation.&quot;,&quot;publisher&quot;:&quot;Rockefeller University Press&quot;,&quot;issue&quot;:&quot;5&quot;,&quot;volume&quot;:&quot;214&quot;,&quot;container-title-short&quot;:&quot;&quot;},&quot;isTemporary&quot;:false},{&quot;id&quot;:&quot;6ca1f8ce-c85e-3d5c-addb-5a0c176aaf56&quot;,&quot;itemData&quot;:{&quot;type&quot;:&quot;article-journal&quot;,&quot;id&quot;:&quot;6ca1f8ce-c85e-3d5c-addb-5a0c176aaf56&quot;,&quot;title&quot;:&quot;Serum interferon-α levels and IFN type I-stimulated genes score perform equally to assess systemic lupus erythematosus disease activity&quot;,&quot;author&quot;:[{&quot;family&quot;:&quot;Chasset&quot;,&quot;given&quot;:&quot;François&quot;,&quot;parse-names&quot;:false,&quot;dropping-particle&quot;:&quot;&quot;,&quot;non-dropping-particle&quot;:&quot;&quot;},{&quot;family&quot;:&quot;Mathian&quot;,&quot;given&quot;:&quot;Alexis&quot;,&quot;parse-names&quot;:false,&quot;dropping-particle&quot;:&quot;&quot;,&quot;non-dropping-particle&quot;:&quot;&quot;},{&quot;family&quot;:&quot;Dorgham&quot;,&quot;given&quot;:&quot;Karim&quot;,&quot;parse-names&quot;:false,&quot;dropping-particle&quot;:&quot;&quot;,&quot;non-dropping-particle&quot;:&quot;&quot;},{&quot;family&quot;:&quot;Ribi&quot;,&quot;given&quot;:&quot;Camillo&quot;,&quot;parse-names&quot;:false,&quot;dropping-particle&quot;:&quot;&quot;,&quot;non-dropping-particle&quot;:&quot;&quot;},{&quot;family&quot;:&quot;Trendelenburg&quot;,&quot;given&quot;:&quot;Marten&quot;,&quot;parse-names&quot;:false,&quot;dropping-particle&quot;:&quot;&quot;,&quot;non-dropping-particle&quot;:&quot;&quot;},{&quot;family&quot;:&quot;Huynh-Do&quot;,&quot;given&quot;:&quot;Uyen&quot;,&quot;parse-names&quot;:false,&quot;dropping-particle&quot;:&quot;&quot;,&quot;non-dropping-particle&quot;:&quot;&quot;},{&quot;family&quot;:&quot;Roux-Lombard&quot;,&quot;given&quot;:&quot;Pascale&quot;,&quot;parse-names&quot;:false,&quot;dropping-particle&quot;:&quot;&quot;,&quot;non-dropping-particle&quot;:&quot;&quot;},{&quot;family&quot;:&quot;Courvoisier&quot;,&quot;given&quot;:&quot;Delphine Sophie&quot;,&quot;parse-names&quot;:false,&quot;dropping-particle&quot;:&quot;&quot;,&quot;non-dropping-particle&quot;:&quot;&quot;},{&quot;family&quot;:&quot;Amoura&quot;,&quot;given&quot;:&quot;Zahir&quot;,&quot;parse-names&quot;:false,&quot;dropping-particle&quot;:&quot;&quot;,&quot;non-dropping-particle&quot;:&quot;&quot;},{&quot;family&quot;:&quot;Gorochov&quot;,&quot;given&quot;:&quot;Guy&quot;,&quot;parse-names&quot;:false,&quot;dropping-particle&quot;:&quot;&quot;,&quot;non-dropping-particle&quot;:&quot;&quot;}],&quot;container-title&quot;:&quot;Annals of the Rheumatic Diseases&quot;,&quot;container-title-short&quot;:&quot;Ann. Rheum. Dis.&quot;,&quot;DOI&quot;:&quot;10.1136/annrheumdis-2021-221835ï&quot;,&quot;URL&quot;:&quot;https://hal.science/hal-03553438v1&quot;,&quot;abstract&quot;:&quot;Serum interferon-α levels and IFN type I-stimulated genes score perform equally to assess systemic lupus erythematosus disease activity.&quot;},&quot;isTemporary&quot;:false},{&quot;id&quot;:&quot;fa5eed6b-757c-3bcf-a971-5a8a25d7ae5e&quot;,&quot;itemData&quot;:{&quot;type&quot;:&quot;article-journal&quot;,&quot;id&quot;:&quot;fa5eed6b-757c-3bcf-a971-5a8a25d7ae5e&quot;,&quot;title&quot;:&quot;Direct multiplexed measurement of gene expression with color-coded probe pairs&quot;,&quot;author&quot;:[{&quot;family&quot;:&quot;Geiss&quot;,&quot;given&quot;:&quot;Gary K.&quot;,&quot;parse-names&quot;:false,&quot;dropping-particle&quot;:&quot;&quot;,&quot;non-dropping-particle&quot;:&quot;&quot;},{&quot;family&quot;:&quot;Bumgarner&quot;,&quot;given&quot;:&quot;Roger E.&quot;,&quot;parse-names&quot;:false,&quot;dropping-particle&quot;:&quot;&quot;,&quot;non-dropping-particle&quot;:&quot;&quot;},{&quot;family&quot;:&quot;Birditt&quot;,&quot;given&quot;:&quot;Brian&quot;,&quot;parse-names&quot;:false,&quot;dropping-particle&quot;:&quot;&quot;,&quot;non-dropping-particle&quot;:&quot;&quot;},{&quot;family&quot;:&quot;Dahl&quot;,&quot;given&quot;:&quot;Timothy&quot;,&quot;parse-names&quot;:false,&quot;dropping-particle&quot;:&quot;&quot;,&quot;non-dropping-particle&quot;:&quot;&quot;},{&quot;family&quot;:&quot;Dowidar&quot;,&quot;given&quot;:&quot;Naeem&quot;,&quot;parse-names&quot;:false,&quot;dropping-particle&quot;:&quot;&quot;,&quot;non-dropping-particle&quot;:&quot;&quot;},{&quot;family&quot;:&quot;Dunaway&quot;,&quot;given&quot;:&quot;Dwayne L.&quot;,&quot;parse-names&quot;:false,&quot;dropping-particle&quot;:&quot;&quot;,&quot;non-dropping-particle&quot;:&quot;&quot;},{&quot;family&quot;:&quot;Fell&quot;,&quot;given&quot;:&quot;H. Perry&quot;,&quot;parse-names&quot;:false,&quot;dropping-particle&quot;:&quot;&quot;,&quot;non-dropping-particle&quot;:&quot;&quot;},{&quot;family&quot;:&quot;Ferree&quot;,&quot;given&quot;:&quot;Sean&quot;,&quot;parse-names&quot;:false,&quot;dropping-particle&quot;:&quot;&quot;,&quot;non-dropping-particle&quot;:&quot;&quot;},{&quot;family&quot;:&quot;George&quot;,&quot;given&quot;:&quot;Renee D.&quot;,&quot;parse-names&quot;:false,&quot;dropping-particle&quot;:&quot;&quot;,&quot;non-dropping-particle&quot;:&quot;&quot;},{&quot;family&quot;:&quot;Grogan&quot;,&quot;given&quot;:&quot;Tammy&quot;,&quot;parse-names&quot;:false,&quot;dropping-particle&quot;:&quot;&quot;,&quot;non-dropping-particle&quot;:&quot;&quot;},{&quot;family&quot;:&quot;James&quot;,&quot;given&quot;:&quot;Jeffrey J.&quot;,&quot;parse-names&quot;:false,&quot;dropping-particle&quot;:&quot;&quot;,&quot;non-dropping-particle&quot;:&quot;&quot;},{&quot;family&quot;:&quot;Maysuria&quot;,&quot;given&quot;:&quot;Malini&quot;,&quot;parse-names&quot;:false,&quot;dropping-particle&quot;:&quot;&quot;,&quot;non-dropping-particle&quot;:&quot;&quot;},{&quot;family&quot;:&quot;Mitton&quot;,&quot;given&quot;:&quot;Jeffrey D.&quot;,&quot;parse-names&quot;:false,&quot;dropping-particle&quot;:&quot;&quot;,&quot;non-dropping-particle&quot;:&quot;&quot;},{&quot;family&quot;:&quot;Oliveri&quot;,&quot;given&quot;:&quot;Paola&quot;,&quot;parse-names&quot;:false,&quot;dropping-particle&quot;:&quot;&quot;,&quot;non-dropping-particle&quot;:&quot;&quot;},{&quot;family&quot;:&quot;Osborn&quot;,&quot;given&quot;:&quot;Jennifer L.&quot;,&quot;parse-names&quot;:false,&quot;dropping-particle&quot;:&quot;&quot;,&quot;non-dropping-particle&quot;:&quot;&quot;},{&quot;family&quot;:&quot;Peng&quot;,&quot;given&quot;:&quot;Tao&quot;,&quot;parse-names&quot;:false,&quot;dropping-particle&quot;:&quot;&quot;,&quot;non-dropping-particle&quot;:&quot;&quot;},{&quot;family&quot;:&quot;Ratcliffe&quot;,&quot;given&quot;:&quot;Amber L.&quot;,&quot;parse-names&quot;:false,&quot;dropping-particle&quot;:&quot;&quot;,&quot;non-dropping-particle&quot;:&quot;&quot;},{&quot;family&quot;:&quot;Webster&quot;,&quot;given&quot;:&quot;Philippa J.&quot;,&quot;parse-names&quot;:false,&quot;dropping-particle&quot;:&quot;&quot;,&quot;non-dropping-particle&quot;:&quot;&quot;},{&quot;family&quot;:&quot;Davidson&quot;,&quot;given&quot;:&quot;Eric H.&quot;,&quot;parse-names&quot;:false,&quot;dropping-particle&quot;:&quot;&quot;,&quot;non-dropping-particle&quot;:&quot;&quot;},{&quot;family&quot;:&quot;Hood&quot;,&quot;given&quot;:&quot;Leroy&quot;,&quot;parse-names&quot;:false,&quot;dropping-particle&quot;:&quot;&quot;,&quot;non-dropping-particle&quot;:&quot;&quot;}],&quot;container-title&quot;:&quot;Nature Biotechnology&quot;,&quot;container-title-short&quot;:&quot;Nat. Biotechnol.&quot;,&quot;DOI&quot;:&quot;10.1038/nbt1385&quot;,&quot;ISSN&quot;:&quot;10870156&quot;,&quot;PMID&quot;:&quot;18278033&quot;,&quot;issued&quot;:{&quot;date-parts&quot;:[[2008,3]]},&quot;page&quot;:&quot;317-325&quot;,&quot;abstract&quot;:&quot;We describe a technology, the NanoString nCounter gene expression system, which captures and counts individual mRNA transcripts. Advantages over existing platforms include direct measurement of mRNA expression levels without enzymatic reactions or bias, sensitivity coupled with high multiplex capability, and digital readout. Experiments performed on 509 human genes yielded a replicate correlation coefficient of 0.999, a detection limit between 0.1 fM and 0.5 fM, and a linear dynamic range of over 500-fold. Comparison of the NanoString nCounter gene expression system with microarrays and TaqMan PCR demonstrated that the nCounter system is more sensitive than microarrays and similar in sensitivity to real-time PCR. Finally, a comparison of transcript levels for 21 genes across seven samples measured by the nCounter system and SYBR Green real-time PCR demonstrated similar patterns of gene expression at all transcript levels. © 2008 Nature Publishing Group.&quot;,&quot;issue&quot;:&quot;3&quot;,&quot;volume&quot;:&quot;26&quot;},&quot;isTemporary&quot;:false}]},{&quot;citationID&quot;:&quot;MENDELEY_CITATION_e8f758f9-9d4e-47d7-bc78-88578fd698b4&quot;,&quot;properties&quot;:{&quot;noteIndex&quot;:0},&quot;isEdited&quot;:false,&quot;manualOverride&quot;:{&quot;isManuallyOverridden&quot;:false,&quot;citeprocText&quot;:&quot;[27,28]&quot;,&quot;manualOverrideText&quot;:&quot;&quot;},&quot;citationTag&quot;:&quot;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&quot;,&quot;citationItems&quot;:[{&quot;id&quot;:&quot;bdf40184-4354-3405-88f9-ba21e1039188&quot;,&quot;itemData&quot;:{&quot;type&quot;:&quot;article-journal&quot;,&quot;id&quot;:&quot;bdf40184-4354-3405-88f9-ba21e1039188&quot;,&quot;title&quot;:&quot;Ultrasensitive quantification of serum IFN-α and IFN-γ in systemic lupus erythematosus: A cross-sectional observational study&quot;,&quot;author&quot;:[{&quot;family&quot;:&quot;González-Gay&quot;,&quot;given&quot;:&quot;Miguel&quot;,&quot;parse-names&quot;:false,&quot;dropping-particle&quot;:&quot;&quot;,&quot;non-dropping-particle&quot;:&quot;&quot;},{&quot;family&quot;:&quot;Gómez-Bernal&quot;,&quot;given&quot;:&quot;Fuensanta&quot;,&quot;parse-names&quot;:false,&quot;dropping-particle&quot;:&quot;&quot;,&quot;non-dropping-particle&quot;:&quot;&quot;},{&quot;family&quot;:&quot;Quevedo-Abeledo&quot;,&quot;given&quot;:&quot;Juan C.&quot;,&quot;parse-names&quot;:false,&quot;dropping-particle&quot;:&quot;&quot;,&quot;non-dropping-particle&quot;:&quot;&quot;},{&quot;family&quot;:&quot;Almeida-Santiago&quot;,&quot;given&quot;:&quot;Cristina&quot;,&quot;parse-names&quot;:false,&quot;dropping-particle&quot;:&quot;&quot;,&quot;non-dropping-particle&quot;:&quot;&quot;},{&quot;family&quot;:&quot;Heras-Recuero&quot;,&quot;given&quot;:&quot;Elena&quot;,&quot;parse-names&quot;:false,&quot;dropping-particle&quot;:&quot;&quot;,&quot;non-dropping-particle&quot;:&quot;&quot;},{&quot;family&quot;:&quot;Torres-Roselló&quot;,&quot;given&quot;:&quot;Arantxa&quot;,&quot;parse-names&quot;:false,&quot;dropping-particle&quot;:&quot;&quot;,&quot;non-dropping-particle&quot;:&quot;&quot;},{&quot;family&quot;:&quot;Vera-González&quot;,&quot;given&quot;:&quot;Antonia&quot;,&quot;parse-names&quot;:false,&quot;dropping-particle&quot;:&quot;de&quot;,&quot;non-dropping-particle&quot;:&quot;&quot;},{&quot;family&quot;:&quot;Tejera-Segura&quot;,&quot;given&quot;:&quot;Beatriz&quot;,&quot;parse-names&quot;:false,&quot;dropping-particle&quot;:&quot;&quot;,&quot;non-dropping-particle&quot;:&quot;&quot;},{&quot;family&quot;:&quot;García-Barrera&quot;,&quot;given&quot;:&quot;Enrique&quot;,&quot;parse-names&quot;:false,&quot;dropping-particle&quot;:&quot;&quot;,&quot;non-dropping-particle&quot;:&quot;&quot;},{&quot;family&quot;:&quot;Blázquez-Sánchez&quot;,&quot;given&quot;:&quot;Teresa&quot;,&quot;parse-names&quot;:false,&quot;dropping-particle&quot;:&quot;&quot;,&quot;non-dropping-particle&quot;:&quot;&quot;},{&quot;family&quot;:&quot;Villar&quot;,&quot;given&quot;:&quot;Luisa M.&quot;,&quot;parse-names&quot;:false,&quot;dropping-particle&quot;:&quot;&quot;,&quot;non-dropping-particle&quot;:&quot;&quot;},{&quot;family&quot;:&quot;Ocejo-Vinyals&quot;,&quot;given&quot;:&quot;Javier Gonzalo&quot;,&quot;parse-names&quot;:false,&quot;dropping-particle&quot;:&quot;&quot;,&quot;non-dropping-particle&quot;:&quot;&quot;},{&quot;family&quot;:&quot;Largo&quot;,&quot;given&quot;:&quot;Raquel&quot;,&quot;parse-names&quot;:false,&quot;dropping-particle&quot;:&quot;&quot;,&quot;non-dropping-particle&quot;:&quot;&quot;},{&quot;family&quot;:&quot;Ferraz-Amaro&quot;,&quot;given&quot;:&quot;Iván&quot;,&quot;parse-names&quot;:false,&quot;dropping-particle&quot;:&quot;&quot;,&quot;non-dropping-particle&quot;:&quot;&quot;}],&quot;container-title&quot;:&quot;PLOS Medicine&quot;,&quot;container-title-short&quot;:&quot;PLoS Med.&quot;,&quot;DOI&quot;:&quot;10.1371/journal.pmed.1004841&quot;,&quot;ISSN&quot;:&quot;15491676&quot;,&quot;PMID&quot;:&quot;41348830&quot;,&quot;issued&quot;:{&quot;date-parts&quot;:[[2025,12,1]]},&quot;abstract&quot;:&quot;Background Interferon (IFN) has been implicated in the pathogenesis of patients with systemic lupus erythematosus (SLE). However, its measurement in serum has been limited by low circulating levels that fall below the detection threshold of standard laboratory assays. In this study, we measured serum levels of IFN-alpha (IFN-α) and IFN-gamma (IFN-γ) using a novel ultrasensitive assay. We then aimed to analyze the relationship between these IFN levels and a broad spectrum of disease characteristics, including indices of disease activity and remission, and autoantibodies profiles. Methods and findings From an initial cohort of 400 patients, a total of 313 patients with SLE were recruited in this cross-sectional study from September 2023 to February 2024. A comprehensive characterization of the patients was performed, including autoantibody profiles and indices of disease activity (SLE-DAS, SLEDAI-2K, and LLDAS), damage (SLICC-DI), and remission (DORIS). IFN-α and IFN-γ serum levels were measured using Simoa (Single Molecule Array) technique. A multivariable linear regression analysis was performed to examine the associations between the disease characteristics and circulating IFN-α and IFN-γ as the dependent variables. Besides, the diagnostic capacity of serum IFN levels to discriminate between high and low disease activity was studied using area under the curve analysis and determination of optimal cutoff points. Serum levels of IFN-α and IFN-γ showed a significant, albeit weak, correlation (Pearson’s r=0.369, p&lt;0.001). Both IFNs exhibited minimal associations with demographic characteristics (such as age, sex, and body mass index) and traditional cardiovascular risk factors (including hypertension, diabetes, dyslipidemia, smoking status, obesity, and metabolic syndrome). After multivariable adjustment, IFN-α—but not IFN-γ—was significantly and positively associated with acute-phase reactants (C-reactive protein and interleukin-6), disease activity indices (SLEDAI-2K, beta coefficient: 0.20 [95% confidence interval 0.09, 0.32] log pg/ml, p&lt;0.001 and SLE-DAS, beta coefficient: 0.15 [95% confidence interval 0.05, 0.25] log pg/ml, p=0.003) and the presence of antinuclear antibodies. In contrast, remission (as defined by DORIS) and low disease activity (LLDAS) were negatively and significantly associated with IFN-α levels after adjustment for covariates. However, when attempts were made to define IFN cutoff values to discriminate between active and inactive disease or remission, they exhibited a poor balance between sensitivity and specificity. The cross-sectional design of this study limits our ability to infer causality and raises the possibility of reverse causation. Conclusions In this study, we observed that IFN-α, but not IFN-γ, significantly associates with inflammation, indices of disease activity and remission, and autoantibody status in SLE. Investigating the potential of IFN-α as a biomarker for treatment response and long-term outcomes is warranted.&quot;,&quot;publisher&quot;:&quot;Public Library of Science&quot;,&quot;issue&quot;:&quot;12 December&quot;,&quot;volume&quot;:&quot;22&quot;},&quot;isTemporary&quot;:false},{&quot;id&quot;:&quot;361aae43-8e8b-3d40-85bd-d7a0ebf4f5e1&quot;,&quot;itemData&quot;:{&quot;type&quot;:&quot;article-journal&quot;,&quot;id&quot;:&quot;361aae43-8e8b-3d40-85bd-d7a0ebf4f5e1&quot;,&quot;title&quot;:&quot;Elevated serum levels of interferon-regulated chemokines are biomarkers for active human systemic lupus erythematosus&quot;,&quot;author&quot;:[{&quot;family&quot;:&quot;Bauer&quot;,&quot;given&quot;:&quot;Jason W.&quot;,&quot;parse-names&quot;:false,&quot;dropping-particle&quot;:&quot;&quot;,&quot;non-dropping-particle&quot;:&quot;&quot;},{&quot;family&quot;:&quot;Baechler&quot;,&quot;given&quot;:&quot;Emily C.&quot;,&quot;parse-names&quot;:false,&quot;dropping-particle&quot;:&quot;&quot;,&quot;non-dropping-particle&quot;:&quot;&quot;},{&quot;family&quot;:&quot;Petri&quot;,&quot;given&quot;:&quot;Michelle&quot;,&quot;parse-names&quot;:false,&quot;dropping-particle&quot;:&quot;&quot;,&quot;non-dropping-particle&quot;:&quot;&quot;},{&quot;family&quot;:&quot;Batliwalla&quot;,&quot;given&quot;:&quot;Franak M.&quot;,&quot;parse-names&quot;:false,&quot;dropping-particle&quot;:&quot;&quot;,&quot;non-dropping-particle&quot;:&quot;&quot;},{&quot;family&quot;:&quot;Crawford&quot;,&quot;given&quot;:&quot;Dianna&quot;,&quot;parse-names&quot;:false,&quot;dropping-particle&quot;:&quot;&quot;,&quot;non-dropping-particle&quot;:&quot;&quot;},{&quot;family&quot;:&quot;Ortmann&quot;,&quot;given&quot;:&quot;Ward A.&quot;,&quot;parse-names&quot;:false,&quot;dropping-particle&quot;:&quot;&quot;,&quot;non-dropping-particle&quot;:&quot;&quot;},{&quot;family&quot;:&quot;Espe&quot;,&quot;given&quot;:&quot;Karl J.&quot;,&quot;parse-names&quot;:false,&quot;dropping-particle&quot;:&quot;&quot;,&quot;non-dropping-particle&quot;:&quot;&quot;},{&quot;family&quot;:&quot;Li&quot;,&quot;given&quot;:&quot;Wentian&quot;,&quot;parse-names&quot;:false,&quot;dropping-particle&quot;:&quot;&quot;,&quot;non-dropping-particle&quot;:&quot;&quot;},{&quot;family&quot;:&quot;Patel&quot;,&quot;given&quot;:&quot;Dhavalkumar D.&quot;,&quot;parse-names&quot;:false,&quot;dropping-particle&quot;:&quot;&quot;,&quot;non-dropping-particle&quot;:&quot;&quot;},{&quot;family&quot;:&quot;Gregersen&quot;,&quot;given&quot;:&quot;Peter K.&quot;,&quot;parse-names&quot;:false,&quot;dropping-particle&quot;:&quot;&quot;,&quot;non-dropping-particle&quot;:&quot;&quot;},{&quot;family&quot;:&quot;Behrens&quot;,&quot;given&quot;:&quot;Timothy W.&quot;,&quot;parse-names&quot;:false,&quot;dropping-particle&quot;:&quot;&quot;,&quot;non-dropping-particle&quot;:&quot;&quot;}],&quot;container-title&quot;:&quot;PLoS medicine&quot;,&quot;container-title-short&quot;:&quot;PLoS Med.&quot;,&quot;accessed&quot;:{&quot;date-parts&quot;:[[2026,3,29]]},&quot;DOI&quot;:&quot;10.1371/journal.pmed.0030491&quot;,&quot;ISSN&quot;:&quot;15491277&quot;,&quot;PMID&quot;:&quot;17177599&quot;,&quot;URL&quot;:&quot;https://pubmed.ncbi.nlm.nih.gov/17177599/&quot;,&quot;issued&quot;:{&quot;date-parts&quot;:[[2006,12]]},&quot;page&quot;:&quot;2274-2284&quot;,&quot;abstract&quot;:&quot;Background: Systemic lupus erythematosus (SLE) is a serious systemic autoimmune disorder that affects multiple organ systems and is characterized by unpredictable flares of disease. Recent evidence indicates a role for type I interferon (IFN) in SLE pathogenesis; however, the downstream effects of IFN pathway activation are not well understood. Here we test the hypothesis that type I IFN-regulated proteins are present in the serum of SLE patients and correlate with disease activity. Methods and Findings: We performed a comprehensive survey of the serologic proteome in human SLE and identified dysregulated levels of 30 cytokines, chemokines, growth factors, and soluble receptors. Particularly striking was the highly coordinated up-regulation of 12 inflammatory and/or homeostatic chemokines, molecules that direct the movement of leukocytes in the body. Most of the identified chemokines were inducible by type I IFN, and their levels correlated strongly with clinical and laboratory measures of disease activity. Conclusions: These data suggest that severely disrupted chemokine gradients may contribute to the systemic autoimmunity observed in human SLE. Furthermore, the levels of serum chemokines may serve as convenient biomarkers for disease activity in lupus. © 2006 Bauer et al.&quot;,&quot;publisher&quot;:&quot;PLoS Med&quot;,&quot;issue&quot;:&quot;12&quot;,&quot;volume&quot;:&quot;3&quot;},&quot;isTemporary&quot;:false}]},{&quot;citationID&quot;:&quot;MENDELEY_CITATION_dd5c8bcc-b5c4-4602-9ad5-fb67e7335a53&quot;,&quot;properties&quot;:{&quot;noteIndex&quot;:0},&quot;isEdited&quot;:false,&quot;manualOverride&quot;:{&quot;isManuallyOverridden&quot;:false,&quot;citeprocText&quot;:&quot;[29–32]&quot;,&quot;manualOverrideText&quot;:&quot;&quot;},&quot;citationTag&quot;:&quot;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&quot;,&quot;citationItems&quot;:[{&quot;id&quot;:&quot;eafa9666-dd6e-3764-bd12-4182de32b1bd&quot;,&quot;itemData&quot;:{&quot;type&quot;:&quot;article-journal&quot;,&quot;id&quot;:&quot;eafa9666-dd6e-3764-bd12-4182de32b1bd&quot;,&quot;title&quot;:&quot;Systematic Multi-Omics Integration (MOI) Approach in Plant Systems Biology.&quot;,&quot;author&quot;:[{&quot;family&quot;:&quot;Jamil&quot;,&quot;given&quot;:&quot;Ili Nadhirah&quot;,&quot;parse-names&quot;:false,&quot;dropping-particle&quot;:&quot;&quot;,&quot;non-dropping-particle&quot;:&quot;&quot;},{&quot;family&quot;:&quot;Remali&quot;,&quot;given&quot;:&quot;Juwairiah&quot;,&quot;parse-names&quot;:false,&quot;dropping-particle&quot;:&quot;&quot;,&quot;non-dropping-particle&quot;:&quot;&quot;},{&quot;family&quot;:&quot;Azizan&quot;,&quot;given&quot;:&quot;Kamalrul Azlan&quot;,&quot;parse-names&quot;:false,&quot;dropping-particle&quot;:&quot;&quot;,&quot;non-dropping-particle&quot;:&quot;&quot;},{&quot;family&quot;:&quot;Nor Muhammad&quot;,&quot;given&quot;:&quot;Nor Azlan&quot;,&quot;parse-names&quot;:false,&quot;dropping-particle&quot;:&quot;&quot;,&quot;non-dropping-particle&quot;:&quot;&quot;},{&quot;family&quot;:&quot;Arita&quot;,&quot;given&quot;:&quot;Masanori&quot;,&quot;parse-names&quot;:false,&quot;dropping-particle&quot;:&quot;&quot;,&quot;non-dropping-particle&quot;:&quot;&quot;},{&quot;family&quot;:&quot;Goh&quot;,&quot;given&quot;:&quot;Hoe-Han&quot;,&quot;parse-names&quot;:false,&quot;dropping-particle&quot;:&quot;&quot;,&quot;non-dropping-particle&quot;:&quot;&quot;},{&quot;family&quot;:&quot;Aizat&quot;,&quot;given&quot;:&quot;Wan Mohd&quot;,&quot;parse-names&quot;:false,&quot;dropping-particle&quot;:&quot;&quot;,&quot;non-dropping-particle&quot;:&quot;&quot;}],&quot;container-title&quot;:&quot;Frontiers in plant science&quot;,&quot;container-title-short&quot;:&quot;Front. Plant Sci.&quot;,&quot;accessed&quot;:{&quot;date-parts&quot;:[[2026,3,29]]},&quot;DOI&quot;:&quot;10.3389/fpls.2020.00944&quot;,&quot;ISSN&quot;:&quot;1664-462X&quot;,&quot;PMID&quot;:&quot;32754171&quot;,&quot;URL&quot;:&quot;http://www.ncbi.nlm.nih.gov/pubmed/32754171&quot;,&quot;issued&quot;:{&quot;date-parts&quot;:[[2020,6,26]]},&quot;page&quot;:&quot;944&quot;,&quot;abstract&quot;:&quot;Across all facets of biology, the rapid progress in high-throughput data generation has enabled us to perform multi-omics systems biology research. Transcriptomics, proteomics, and metabolomics data can answer targeted biological questions regarding the expression of transcripts, proteins, and metabolites, independently, but a systematic multi-omics integration (MOI) can comprehensively assimilate, annotate, and model these large data sets. Previous MOI studies and reviews have detailed its usage and practicality on various organisms including human, animals, microbes, and plants. Plants are especially challenging due to large poorly annotated genomes, multi-organelles, and diverse secondary metabolites. Hence, constructive and methodological guidelines on how to perform MOI for plants are needed, particularly for researchers newly embarking on this topic. In this review, we thoroughly classify multi-omics studies on plants and verify workflows to ensure successful omics integration with accurate data representation. We also propose three levels of MOI, namely element-based (level 1), pathway-based (level 2), and mathematical-based integration (level 3). These MOI levels are described in relation to recent publications and tools, to highlight their practicality and function. The drawbacks and limitations of these MOI are also discussed for future improvement toward more amenable strategies in plant systems biology.&quot;,&quot;publisher&quot;:&quot;Frontiers Media S.A.&quot;,&quot;volume&quot;:&quot;11&quot;},&quot;isTemporary&quot;:false},{&quot;id&quot;:&quot;9132249a-ea2c-31f3-a804-311010cffd0f&quot;,&quot;itemData&quot;:{&quot;type&quot;:&quot;article-journal&quot;,&quot;id&quot;:&quot;9132249a-ea2c-31f3-a804-311010cffd0f&quot;,&quot;title&quot;:&quot;Integrative Analysis of Metabolomic and Transcriptomic Profiles Uncovers Biological Pathways of Feed Efficiency in Pigs.&quot;,&quot;author&quot;:[{&quot;family&quot;:&quot;Banerjee&quot;,&quot;given&quot;:&quot;Priyanka&quot;,&quot;parse-names&quot;:false,&quot;dropping-particle&quot;:&quot;&quot;,&quot;non-dropping-particle&quot;:&quot;&quot;},{&quot;family&quot;:&quot;Carmelo&quot;,&quot;given&quot;:&quot;Victor Adriano Okstoft&quot;,&quot;parse-names&quot;:false,&quot;dropping-particle&quot;:&quot;&quot;,&quot;non-dropping-particle&quot;:&quot;&quot;},{&quot;family&quot;:&quot;Kadarmideen&quot;,&quot;given&quot;:&quot;Haja N&quot;,&quot;parse-names&quot;:false,&quot;dropping-particle&quot;:&quot;&quot;,&quot;non-dropping-particle&quot;:&quot;&quot;}],&quot;container-title&quot;:&quot;Metabolites&quot;,&quot;container-title-short&quot;:&quot;Metabolites&quot;,&quot;accessed&quot;:{&quot;date-parts&quot;:[[2026,3,29]]},&quot;DOI&quot;:&quot;10.3390/metabo10070275&quot;,&quot;ISSN&quot;:&quot;2218-1989&quot;,&quot;PMID&quot;:&quot;32640603&quot;,&quot;URL&quot;:&quot;http://www.ncbi.nlm.nih.gov/pubmed/32640603&quot;,&quot;issued&quot;:{&quot;date-parts&quot;:[[2020,7,6]]},&quot;page&quot;:&quot;1-17&quot;,&quot;abstract&quot;:&quot;Feed efficiency (FE) is an economically important trait. Thus, reliable predictors would help to reduce the production cost and provide sustainability to the pig industry. We carried out metabolome-transcriptome integration analysis on 40 purebred Duroc and Landrace uncastrated male pigs to identify potential gene-metabolite interactions and explore the molecular mechanisms underlying FE. To this end, we applied untargeted metabolomics and RNA-seq approaches to the same animals. After data quality control, we used a linear model approach to integrate the data and find significant differently correlated gene-metabolite pairs separately for the breeds (Duroc and Landrace) and FE groups (low and high FE) followed by a pathway over-representation analysis. We identified 21 and 12 significant gene-metabolite pairs for each group. The valine-leucine-isoleucine biosynthesis/degradation and arginine-proline metabolism pathways were associated with unique metabolites. The unique genes obtained from significant metabolite-gene pairs were associated with sphingolipid catabolism, multicellular organismal process, cGMP, and purine metabolic processes. While some of the genes and metabolites identified were known for their association with FE, others are novel and provide new avenues for further research. Further validation of genes, metabolites, and gene-metabolite interactions in larger cohorts will elucidate the regulatory mechanisms and pathways underlying FE.&quot;,&quot;publisher&quot;:&quot;MDPI AG&quot;,&quot;issue&quot;:&quot;7&quot;,&quot;volume&quot;:&quot;10&quot;},&quot;isTemporary&quot;:false},{&quot;id&quot;:&quot;c033d776-43d8-3ed6-bd53-1016a1b23c75&quot;,&quot;itemData&quot;:{&quot;type&quot;:&quot;article-journal&quot;,&quot;id&quot;:&quot;c033d776-43d8-3ed6-bd53-1016a1b23c75&quot;,&quot;title&quot;:&quot;OmicsON - Integration of omics data with molecular networks and statistical procedures&quot;,&quot;author&quot;:[{&quot;family&quot;:&quot;Turek&quot;,&quot;given&quot;:&quot;Cezary&quot;,&quot;parse-names&quot;:false,&quot;dropping-particle&quot;:&quot;&quot;,&quot;non-dropping-particle&quot;:&quot;&quot;},{&quot;family&quot;:&quot;Wróbel&quot;,&quot;given&quot;:&quot;Sonia&quot;,&quot;parse-names&quot;:false,&quot;dropping-particle&quot;:&quot;&quot;,&quot;non-dropping-particle&quot;:&quot;&quot;},{&quot;family&quot;:&quot;Piwowar&quot;,&quot;given&quot;:&quot;Monika&quot;,&quot;parse-names&quot;:false,&quot;dropping-particle&quot;:&quot;&quot;,&quot;non-dropping-particle&quot;:&quot;&quot;}],&quot;container-title&quot;:&quot;PLoS ONE&quot;,&quot;container-title-short&quot;:&quot;PLoS One&quot;,&quot;accessed&quot;:{&quot;date-parts&quot;:[[2026,3,29]]},&quot;DOI&quot;:&quot;10.1371/journal.pone.0235398&quot;,&quot;ISSN&quot;:&quot;19326203&quot;,&quot;PMID&quot;:&quot;32726348&quot;,&quot;issued&quot;:{&quot;date-parts&quot;:[[2020,7,1]]},&quot;abstract&quot;:&quot;A huge amount of atomized biological data collected in various databases and the need for a description of their relation by theoretical methods causes the development of data integration methods. The omics data analysis by integration of biological knowledge with mathematical procedures implemented in the OmicsON R library is presented in the paper. OmicsON is a tool for the integration of two sets of data: transcriptomics and metabolomics. In the workflow of the library, the functional grouping and statistical analysis are applied. Subgroups among the transcriptomic and metabolomics sets are created based on the biological knowledge stored in Reactome and String databases. It gives the possibility to analyze such sets of data by multivariate statistical procedures like Canonical Correlation Analysis (CCA) or Partial Least Squares (PLS). The integration of metabolomic and transcriptomic data based on the methodology contained in OmicsON helps to easily obtain information on the connection of data from two different sets. This information can significantly help in assessing the relationship between gene expression and metabolite concentrations, which in turn facilitates the biological interpretation of the analyzed process.&quot;,&quot;publisher&quot;:&quot;Public Library of Science&quot;,&quot;issue&quot;:&quot;7 July&quot;,&quot;volume&quot;:&quot;15&quot;},&quot;isTemporary&quot;:false},{&quot;id&quot;:&quot;bc12abbf-29aa-3356-9b6f-eba2635964c9&quot;,&quot;itemData&quot;:{&quot;type&quot;:&quot;article-journal&quot;,&quot;id&quot;:&quot;bc12abbf-29aa-3356-9b6f-eba2635964c9&quot;,&quot;title&quot;:&quot;Transcriptomic and metabolomic data integration&quot;,&quot;author&quot;:[{&quot;family&quot;:&quot;Cavill&quot;,&quot;given&quot;:&quot;Rachel&quot;,&quot;parse-names&quot;:false,&quot;dropping-particle&quot;:&quot;&quot;,&quot;non-dropping-particle&quot;:&quot;&quot;},{&quot;family&quot;:&quot;Jennen&quot;,&quot;given&quot;:&quot;Danyel&quot;,&quot;parse-names&quot;:false,&quot;dropping-particle&quot;:&quot;&quot;,&quot;non-dropping-particle&quot;:&quot;&quot;},{&quot;family&quot;:&quot;Kleinjans&quot;,&quot;given&quot;:&quot;Jos&quot;,&quot;parse-names&quot;:false,&quot;dropping-particle&quot;:&quot;&quot;,&quot;non-dropping-particle&quot;:&quot;&quot;},{&quot;family&quot;:&quot;Briedé&quot;,&quot;given&quot;:&quot;Jacob Jan&quot;,&quot;parse-names&quot;:false,&quot;dropping-particle&quot;:&quot;&quot;,&quot;non-dropping-particle&quot;:&quot;&quot;}],&quot;container-title&quot;:&quot;Briefings in bioinformatics&quot;,&quot;container-title-short&quot;:&quot;Brief. Bioinform.&quot;,&quot;accessed&quot;:{&quot;date-parts&quot;:[[2026,3,29]]},&quot;DOI&quot;:&quot;10.1093/bib/bbv090&quot;,&quot;ISSN&quot;:&quot;14774054&quot;,&quot;PMID&quot;:&quot;26467821&quot;,&quot;URL&quot;:&quot;https://pubmed.ncbi.nlm.nih.gov/26467821/&quot;,&quot;issued&quot;:{&quot;date-parts&quot;:[[2016,9,1]]},&quot;page&quot;:&quot;891-901&quot;,&quot;abstract&quot;:&quot;Many studies now produce parallel data sets from different omics technologies; however, the task of interpreting the acquired data in an integrated fashion is not trivial. This review covers those methods that have been used over the past decade to statistically integrate and interpret metabolomics and transcriptomic data sets. It defines four categories of approaches, correlation-based integration, concatenation-based integration, multivariate-based integration and pathway-based integration, into which all existing statistical methods fit. It also explores the choices in study design for generating samples for analysis by these omics technologies and the impact that these technical decisions have on the subsequent data analysis options.&quot;,&quot;publisher&quot;:&quot;Brief Bioinform&quot;,&quot;issue&quot;:&quot;5&quot;,&quot;volume&quot;:&quot;17&quot;},&quot;isTemporary&quot;:false}]},{&quot;citationID&quot;:&quot;MENDELEY_CITATION_02b4d90f-2d98-4612-8a44-a1c16011d9fe&quot;,&quot;properties&quot;:{&quot;noteIndex&quot;:0},&quot;isEdited&quot;:false,&quot;manualOverride&quot;:{&quot;isManuallyOverridden&quot;:false,&quot;citeprocText&quot;:&quot;[33]&quot;,&quot;manualOverrideText&quot;:&quot;&quot;},&quot;citationTag&quot;:&quot;MENDELEY_CITATION_v3_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&quot;,&quot;citationItems&quot;:[{&quot;id&quot;:&quot;86b92113-4942-372d-9746-4b58fc169df4&quot;,&quot;itemData&quot;:{&quot;type&quot;:&quot;article-journal&quot;,&quot;id&quot;:&quot;86b92113-4942-372d-9746-4b58fc169df4&quot;,&quot;title&quot;:&quot;Methods of integrating data to uncover genotype-phenotype interactions&quot;,&quot;author&quot;:[{&quot;family&quot;:&quot;Ritchie&quot;,&quot;given&quot;:&quot;Marylyn D.&quot;,&quot;parse-names&quot;:false,&quot;dropping-particle&quot;:&quot;&quot;,&quot;non-dropping-particle&quot;:&quot;&quot;},{&quot;family&quot;:&quot;Holzinger&quot;,&quot;given&quot;:&quot;Emily R.&quot;,&quot;parse-names&quot;:false,&quot;dropping-particle&quot;:&quot;&quot;,&quot;non-dropping-particle&quot;:&quot;&quot;},{&quot;family&quot;:&quot;Li&quot;,&quot;given&quot;:&quot;Ruowang&quot;,&quot;parse-names&quot;:false,&quot;dropping-particle&quot;:&quot;&quot;,&quot;non-dropping-particle&quot;:&quot;&quot;},{&quot;family&quot;:&quot;Pendergrass&quot;,&quot;given&quot;:&quot;Sarah A.&quot;,&quot;parse-names&quot;:false,&quot;dropping-particle&quot;:&quot;&quot;,&quot;non-dropping-particle&quot;:&quot;&quot;},{&quot;family&quot;:&quot;Kim&quot;,&quot;given&quot;:&quot;Dokyoon&quot;,&quot;parse-names&quot;:false,&quot;dropping-particle&quot;:&quot;&quot;,&quot;non-dropping-particle&quot;:&quot;&quot;}],&quot;container-title&quot;:&quot;Nature reviews. Genetics&quot;,&quot;container-title-short&quot;:&quot;Nat. Rev. Genet.&quot;,&quot;accessed&quot;:{&quot;date-parts&quot;:[[2026,3,29]]},&quot;DOI&quot;:&quot;10.1038/nrg3868&quot;,&quot;ISSN&quot;:&quot;14710064&quot;,&quot;PMID&quot;:&quot;25582081&quot;,&quot;URL&quot;:&quot;https://pubmed.ncbi.nlm.nih.gov/25582081/&quot;,&quot;issued&quot;:{&quot;date-parts&quot;:[[2015,1,1]]},&quot;page&quot;:&quot;85-97&quot;,&quot;abstract&quot;:&quot;Recent technological advances have expanded the breadth of available omic data, from whole-genome sequencing data, to extensive transcriptomic, methylomic and metabolomic data. A key goal of analyses of these data is the identification of effective models that predict phenotypic traits and outcomes, elucidating important biomarkers and generating important insights into the genetic underpinnings of the heritability of complex traits. There is still a need for powerful and advanced analysis strategies to fully harness the utility of these comprehensive high-throughput data, identifying true associations and reducing the number of false associations. In this Review, we explore the emerging approaches for data integration-including meta-dimensional and multi-staged analyses-which aim to deepen our understanding of the role of genetics and genomics in complex outcomes. With the use and further development of these approaches, an improved understanding of the relationship between genomic variation and human phenotypes may be revealed.&quot;,&quot;publisher&quot;:&quot;Nat Rev Genet&quot;,&quot;issue&quot;:&quot;2&quot;,&quot;volume&quot;:&quot;16&quot;},&quot;isTemporary&quot;:false}]},{&quot;citationID&quot;:&quot;MENDELEY_CITATION_3aa86e2e-672f-4599-a222-dbcbe086cebe&quot;,&quot;properties&quot;:{&quot;noteIndex&quot;:0},&quot;isEdited&quot;:false,&quot;manualOverride&quot;:{&quot;isManuallyOverridden&quot;:false,&quot;citeprocText&quot;:&quot;[34,35]&quot;,&quot;manualOverrideText&quot;:&quot;&quot;},&quot;citationTag&quot;:&quot;MENDELEY_CITATION_v3_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&quot;,&quot;citationItems&quot;:[{&quot;id&quot;:&quot;eb855b12-11c2-34ea-b38c-75fe8115b8e2&quot;,&quot;itemData&quot;:{&quot;type&quot;:&quot;article-journal&quot;,&quot;id&quot;:&quot;eb855b12-11c2-34ea-b38c-75fe8115b8e2&quot;,&quot;title&quot;:&quot;Multi-Omics Factor Analysis-a framework for unsupervised integration of multi-omics data sets&quot;,&quot;author&quot;:[{&quot;family&quot;:&quot;Argelaguet&quot;,&quot;given&quot;:&quot;Ricard&quot;,&quot;parse-names&quot;:false,&quot;dropping-particle&quot;:&quot;&quot;,&quot;non-dropping-particle&quot;:&quot;&quot;},{&quot;family&quot;:&quot;Velten&quot;,&quot;given&quot;:&quot;Britta&quot;,&quot;parse-names&quot;:false,&quot;dropping-particle&quot;:&quot;&quot;,&quot;non-dropping-particle&quot;:&quot;&quot;},{&quot;family&quot;:&quot;Arnol&quot;,&quot;given&quot;:&quot;Damien&quot;,&quot;parse-names&quot;:false,&quot;dropping-particle&quot;:&quot;&quot;,&quot;non-dropping-particle&quot;:&quot;&quot;},{&quot;family&quot;:&quot;Dietrich&quot;,&quot;given&quot;:&quot;Sascha&quot;,&quot;parse-names&quot;:false,&quot;dropping-particle&quot;:&quot;&quot;,&quot;non-dropping-particle&quot;:&quot;&quot;},{&quot;family&quot;:&quot;Zenz&quot;,&quot;given&quot;:&quot;Thorsten&quot;,&quot;parse-names&quot;:false,&quot;dropping-particle&quot;:&quot;&quot;,&quot;non-dropping-particle&quot;:&quot;&quot;},{&quot;family&quot;:&quot;Marioni&quot;,&quot;given&quot;:&quot;John C&quot;,&quot;parse-names&quot;:false,&quot;dropping-particle&quot;:&quot;&quot;,&quot;non-dropping-particle&quot;:&quot;&quot;},{&quot;family&quot;:&quot;Buettner&quot;,&quot;given&quot;:&quot;Florian&quot;,&quot;parse-names&quot;:false,&quot;dropping-particle&quot;:&quot;&quot;,&quot;non-dropping-particle&quot;:&quot;&quot;},{&quot;family&quot;:&quot;Huber&quot;,&quot;given&quot;:&quot;Wolfgang&quot;,&quot;parse-names&quot;:false,&quot;dropping-particle&quot;:&quot;&quot;,&quot;non-dropping-particle&quot;:&quot;&quot;},{&quot;family&quot;:&quot;Stegle&quot;,&quot;given&quot;:&quot;Oliver&quot;,&quot;parse-names&quot;:false,&quot;dropping-particle&quot;:&quot;&quot;,&quot;non-dropping-particle&quot;:&quot;&quot;}],&quot;container-title&quot;:&quot;Mol Syst Biol&quot;,&quot;accessed&quot;:{&quot;date-parts&quot;:[[2026,5,9]]},&quot;DOI&quot;:&quot;10.15252/msb.20178124&quot;,&quot;issued&quot;:{&quot;date-parts&quot;:[[2018]]},&quot;page&quot;:&quot;8124&quot;,&quot;abstract&quot;:&quot;Multi-omics studies promise the improved characterization of biological processes across molecular layers. However, methods for the unsupervised integration of the resulting heterogeneous data sets are lacking. We present Multi-Omics Factor Analysis (MOFA), a computational method for discovering the principal sources of variation in multi-omics data sets. MOFA infers a set of (hidden) factors that capture biological and technical sources of variability. It disentangles axes of heterogeneity that are shared across multiple modalities and those specific to individual data modalities. The learnt factors enable a variety of downstream analyses, including identification of sample subgroups, data imputation and the detection of outlier samples. We applied MOFA to a cohort of 200 patient samples of chronic lymphocytic leukaemia, profiled for somatic mutations, RNA expression, DNA methylation and ex vivo drug responses. MOFA identified major dimensions of disease hetero-geneity, including immunoglobulin heavy-chain variable region status, trisomy of chromosome 12 and previously underappreciated drivers, such as response to oxidative stress. In a second application , we used MOFA to analyse single-cell multi-omics data, identifying coordinated transcriptional and epigenetic changes along cell differentiation.&quot;,&quot;volume&quot;:&quot;14&quot;,&quot;container-title-short&quot;:&quot;&quot;},&quot;isTemporary&quot;:false},{&quot;id&quot;:&quot;87b0987d-7203-3d40-8520-06c229056167&quot;,&quot;itemData&quot;:{&quot;type&quot;:&quot;article-journal&quot;,&quot;id&quot;:&quot;87b0987d-7203-3d40-8520-06c229056167&quot;,&quot;title&quot;:&quot;MOFA+: a statistical framework for comprehensive integration of multi-modal single-cell data&quot;,&quot;author&quot;:[{&quot;family&quot;:&quot;Argelaguet&quot;,&quot;given&quot;:&quot;Ricard&quot;,&quot;parse-names&quot;:false,&quot;dropping-particle&quot;:&quot;&quot;,&quot;non-dropping-particle&quot;:&quot;&quot;},{&quot;family&quot;:&quot;Arnol&quot;,&quot;given&quot;:&quot;Damien&quot;,&quot;parse-names&quot;:false,&quot;dropping-particle&quot;:&quot;&quot;,&quot;non-dropping-particle&quot;:&quot;&quot;},{&quot;family&quot;:&quot;Bredikhin&quot;,&quot;given&quot;:&quot;Danila&quot;,&quot;parse-names&quot;:false,&quot;dropping-particle&quot;:&quot;&quot;,&quot;non-dropping-particle&quot;:&quot;&quot;},{&quot;family&quot;:&quot;Deloro&quot;,&quot;given&quot;:&quot;Yonatan&quot;,&quot;parse-names&quot;:false,&quot;dropping-particle&quot;:&quot;&quot;,&quot;non-dropping-particle&quot;:&quot;&quot;},{&quot;family&quot;:&quot;Velten&quot;,&quot;given&quot;:&quot;Britta&quot;,&quot;parse-names&quot;:false,&quot;dropping-particle&quot;:&quot;&quot;,&quot;non-dropping-particle&quot;:&quot;&quot;},{&quot;family&quot;:&quot;Marioni&quot;,&quot;given&quot;:&quot;John C.&quot;,&quot;parse-names&quot;:false,&quot;dropping-particle&quot;:&quot;&quot;,&quot;non-dropping-particle&quot;:&quot;&quot;},{&quot;family&quot;:&quot;Stegle&quot;,&quot;given&quot;:&quot;Oliver&quot;,&quot;parse-names&quot;:false,&quot;dropping-particle&quot;:&quot;&quot;,&quot;non-dropping-particle&quot;:&quot;&quot;}],&quot;container-title&quot;:&quot;Genome biology&quot;,&quot;container-title-short&quot;:&quot;Genome Biol.&quot;,&quot;accessed&quot;:{&quot;date-parts&quot;:[[2026,5,9]]},&quot;DOI&quot;:&quot;10.1186/S13059-020-02015-1&quot;,&quot;ISSN&quot;:&quot;1474-760X&quot;,&quot;PMID&quot;:&quot;32393329&quot;,&quot;URL&quot;:&quot;https://pubmed.ncbi.nlm.nih.gov/32393329/&quot;,&quot;issued&quot;:{&quot;date-parts&quot;:[[2020,5,11]]},&quot;abstract&quot;:&quot;Technological advances have enabled the profiling of multiple molecular layers at single-cell resolution, assaying cells from multiple samples or conditions. Consequently, there is a growing need for computational strategies to analyze data from complex experimental designs that include multiple data modalities and multiple groups of samples. We present Multi-Omics Factor Analysis v2 (MOFA+), a statistical framework for the comprehensive and scalable integration of single-cell multi-modal data. MOFA+ reconstructs a low-dimensional representation of the data using computationally efficient variational inference and supports flexible sparsity constraints, allowing to jointly model variation across multiple sample groups and data modalities.&quot;,&quot;publisher&quot;:&quot;Genome Biol&quot;,&quot;issue&quot;:&quot;1&quot;,&quot;volume&quot;:&quot;21&quot;},&quot;isTemporary&quot;:false}]},{&quot;citationID&quot;:&quot;MENDELEY_CITATION_30307b85-ae63-46f3-af34-5f4429112d6e&quot;,&quot;properties&quot;:{&quot;noteIndex&quot;:0},&quot;isEdited&quot;:false,&quot;manualOverride&quot;:{&quot;isManuallyOverridden&quot;:false,&quot;citeprocText&quot;:&quot;[36]&quot;,&quot;manualOverrideText&quot;:&quot;&quot;},&quot;citationTag&quot;:&quot;MENDELEY_CITATION_v3_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&quot;,&quot;citationItems&quot;:[{&quot;id&quot;:&quot;e0922ac0-b1a5-318a-8d53-f1826c76ffb3&quot;,&quot;itemData&quot;:{&quot;type&quot;:&quot;article-journal&quot;,&quot;id&quot;:&quot;e0922ac0-b1a5-318a-8d53-f1826c76ffb3&quot;,&quot;title&quot;:&quot;DIABLO: an integrative approach for identifying key molecular drivers from multi-omics assays&quot;,&quot;author&quot;:[{&quot;family&quot;:&quot;Singh&quot;,&quot;given&quot;:&quot;Amrit&quot;,&quot;parse-names&quot;:false,&quot;dropping-particle&quot;:&quot;&quot;,&quot;non-dropping-particle&quot;:&quot;&quot;},{&quot;family&quot;:&quot;Shannon&quot;,&quot;given&quot;:&quot;Casey P.&quot;,&quot;parse-names&quot;:false,&quot;dropping-particle&quot;:&quot;&quot;,&quot;non-dropping-particle&quot;:&quot;&quot;},{&quot;family&quot;:&quot;Gautier&quot;,&quot;given&quot;:&quot;Benoît&quot;,&quot;parse-names&quot;:false,&quot;dropping-particle&quot;:&quot;&quot;,&quot;non-dropping-particle&quot;:&quot;&quot;},{&quot;family&quot;:&quot;Rohart&quot;,&quot;given&quot;:&quot;Florian&quot;,&quot;parse-names&quot;:false,&quot;dropping-particle&quot;:&quot;&quot;,&quot;non-dropping-particle&quot;:&quot;&quot;},{&quot;family&quot;:&quot;Vacher&quot;,&quot;given&quot;:&quot;Michaël&quot;,&quot;parse-names&quot;:false,&quot;dropping-particle&quot;:&quot;&quot;,&quot;non-dropping-particle&quot;:&quot;&quot;},{&quot;family&quot;:&quot;Tebbutt&quot;,&quot;given&quot;:&quot;Scott J.&quot;,&quot;parse-names&quot;:false,&quot;dropping-particle&quot;:&quot;&quot;,&quot;non-dropping-particle&quot;:&quot;&quot;},{&quot;family&quot;:&quot;Cao&quot;,&quot;given&quot;:&quot;Kim Anh Lê&quot;,&quot;parse-names&quot;:false,&quot;dropping-particle&quot;:&quot;&quot;,&quot;non-dropping-particle&quot;:&quot;&quot;}],&quot;container-title&quot;:&quot;Bioinformatics (Oxford, England)&quot;,&quot;accessed&quot;:{&quot;date-parts&quot;:[[2026,4,29]]},&quot;DOI&quot;:&quot;10.1093/BIOINFORMATICS/BTY1054&quot;,&quot;ISSN&quot;:&quot;1367-4811&quot;,&quot;PMID&quot;:&quot;30657866&quot;,&quot;URL&quot;:&quot;https://pubmed.ncbi.nlm.nih.gov/30657866/&quot;,&quot;issued&quot;:{&quot;date-parts&quot;:[[2019,9,1]]},&quot;page&quot;:&quot;3055-3062&quot;,&quot;abstract&quot;:&quot;Motivation: In the continuously expanding omics era, novel computational and statistical strategies are needed for data integration and identification of biomarkers and molecular signatures. We present Data Integration Analysis for Biomarker discovery using Latent cOmponents (DIABLO), a multi-omics integrative method that seeks for common information across different data types through the selection of a subset of molecular features, while discriminating between multiple phenotypic groups. Results: Using simulations and benchmark multi-omics studies, we show that DIABLO identifies features with superior biological relevance compared with existing unsupervised integrative methods, while achieving predictive performance comparable to state-of-the-art supervised approaches. DIABLO is versatile, allowing for modular-based analyses and cross-over study designs. In two case studies, DIABLO identified both known and novel multi-omics biomarkers consisting of mRNAs, miRNAs, CpGs, proteins and metabolites.&quot;,&quot;publisher&quot;:&quot;Bioinformatics&quot;,&quot;issue&quot;:&quot;17&quot;,&quot;volume&quot;:&quot;35&quot;,&quot;container-title-short&quot;:&quot;Bioinformatics&quot;},&quot;isTemporary&quot;:false}]},{&quot;citationID&quot;:&quot;MENDELEY_CITATION_303c36f0-a913-4136-aa96-e40fa7fff389&quot;,&quot;properties&quot;:{&quot;noteIndex&quot;:0},&quot;isEdited&quot;:false,&quot;manualOverride&quot;:{&quot;isManuallyOverridden&quot;:false,&quot;citeprocText&quot;:&quot;[3]&quot;,&quot;manualOverrideText&quot;:&quot;&quot;},&quot;citationTag&quot;:&quot;MENDELEY_CITATION_v3_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&quot;,&quot;citationItems&quot;:[{&quot;id&quot;:&quot;692483ea-92a9-3bfd-93b4-2258125ae959&quot;,&quot;itemData&quot;:{&quot;type&quot;:&quot;article-journal&quot;,&quot;id&quot;:&quot;692483ea-92a9-3bfd-93b4-2258125ae959&quot;,&quot;title&quot;:&quot;Systemic lupus erythematosus disease activity index 2000.&quot;,&quot;author&quot;:[{&quot;family&quot;:&quot;Gladman&quot;,&quot;given&quot;:&quot;Dafna D&quot;,&quot;parse-names&quot;:false,&quot;dropping-particle&quot;:&quot;&quot;,&quot;non-dropping-particle&quot;:&quot;&quot;},{&quot;family&quot;:&quot;Ibañez&quot;,&quot;given&quot;:&quot;Dominique&quot;,&quot;parse-names&quot;:false,&quot;dropping-particle&quot;:&quot;&quot;,&quot;non-dropping-particle&quot;:&quot;&quot;},{&quot;family&quot;:&quot;Urowitz&quot;,&quot;given&quot;:&quot;Murray B&quot;,&quot;parse-names&quot;:false,&quot;dropping-particle&quot;:&quot;&quot;,&quot;non-dropping-particle&quot;:&quot;&quot;}],&quot;container-title&quot;:&quot;The Journal of Rheumatology&quot;,&quot;container-title-short&quot;:&quot;J. Rheumatol.&quot;,&quot;accessed&quot;:{&quot;date-parts&quot;:[[2026,4,3]]},&quot;issued&quot;:{&quot;date-parts&quot;:[[2002]]},&quot;issue&quot;:&quot;2&quot;,&quot;volume&quot;:&quot;29&quot;},&quot;isTemporary&quot;:false}]},{&quot;citationID&quot;:&quot;MENDELEY_CITATION_b1dec98a-aae7-42cc-a0a2-981ac55f8477&quot;,&quot;properties&quot;:{&quot;noteIndex&quot;:0},&quot;isEdited&quot;:false,&quot;manualOverride&quot;:{&quot;isManuallyOverridden&quot;:false,&quot;citeprocText&quot;:&quot;[10]&quot;,&quot;manualOverrideText&quot;:&quot;&quot;},&quot;citationTag&quot;:&quot;MENDELEY_CITATION_v3_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&quot;,&quot;citationItems&quot;:[{&quot;id&quot;:&quot;f635edb9-6bec-342d-9ebd-e5768aca6ae6&quot;,&quot;itemData&quot;:{&quot;type&quot;:&quot;article-journal&quot;,&quot;id&quot;:&quot;f635edb9-6bec-342d-9ebd-e5768aca6ae6&quot;,&quot;title&quot;:&quot;The reliability of the Systemic Lupus International Collaborating Clinics/American College of Rheumatology Damage Index in patients with systemic lupus erythematosus&quot;,&quot;author&quot;:[{&quot;family&quot;:&quot;Gladman&quot;,&quot;given&quot;:&quot;Dafna D.&quot;,&quot;parse-names&quot;:false,&quot;dropping-particle&quot;:&quot;&quot;,&quot;non-dropping-particle&quot;:&quot;&quot;},{&quot;family&quot;:&quot;Urowitz&quot;,&quot;given&quot;:&quot;Murray B.&quot;,&quot;parse-names&quot;:false,&quot;dropping-particle&quot;:&quot;&quot;,&quot;non-dropping-particle&quot;:&quot;&quot;},{&quot;family&quot;:&quot;Goldsmith&quot;,&quot;given&quot;:&quot;Charles H.&quot;,&quot;parse-names&quot;:false,&quot;dropping-particle&quot;:&quot;&quot;,&quot;non-dropping-particle&quot;:&quot;&quot;},{&quot;family&quot;:&quot;Fortin&quot;,&quot;given&quot;:&quot;Paul&quot;,&quot;parse-names&quot;:false,&quot;dropping-particle&quot;:&quot;&quot;,&quot;non-dropping-particle&quot;:&quot;&quot;},{&quot;family&quot;:&quot;Ginzler&quot;,&quot;given&quot;:&quot;Ellen&quot;,&quot;parse-names&quot;:false,&quot;dropping-particle&quot;:&quot;&quot;,&quot;non-dropping-particle&quot;:&quot;&quot;},{&quot;family&quot;:&quot;Gordon&quot;,&quot;given&quot;:&quot;Caroline&quot;,&quot;parse-names&quot;:false,&quot;dropping-particle&quot;:&quot;&quot;,&quot;non-dropping-particle&quot;:&quot;&quot;},{&quot;family&quot;:&quot;Hanly&quot;,&quot;given&quot;:&quot;John G.&quot;,&quot;parse-names&quot;:false,&quot;dropping-particle&quot;:&quot;&quot;,&quot;non-dropping-particle&quot;:&quot;&quot;},{&quot;family&quot;:&quot;Isenberg&quot;,&quot;given&quot;:&quot;David A.&quot;,&quot;parse-names&quot;:false,&quot;dropping-particle&quot;:&quot;&quot;,&quot;non-dropping-particle&quot;:&quot;&quot;},{&quot;family&quot;:&quot;Kalunian&quot;,&quot;given&quot;:&quot;Kenneth&quot;,&quot;parse-names&quot;:false,&quot;dropping-particle&quot;:&quot;&quot;,&quot;non-dropping-particle&quot;:&quot;&quot;},{&quot;family&quot;:&quot;Nived&quot;,&quot;given&quot;:&quot;Ola&quot;,&quot;parse-names&quot;:false,&quot;dropping-particle&quot;:&quot;&quot;,&quot;non-dropping-particle&quot;:&quot;&quot;},{&quot;family&quot;:&quot;Petri&quot;,&quot;given&quot;:&quot;Michelle&quot;,&quot;parse-names&quot;:false,&quot;dropping-particle&quot;:&quot;&quot;,&quot;non-dropping-particle&quot;:&quot;&quot;},{&quot;family&quot;:&quot;Sanchez-Guerrero&quot;,&quot;given&quot;:&quot;Jorge&quot;,&quot;parse-names&quot;:false,&quot;dropping-particle&quot;:&quot;&quot;,&quot;non-dropping-particle&quot;:&quot;&quot;},{&quot;family&quot;:&quot;Snaith&quot;,&quot;given&quot;:&quot;Michael&quot;,&quot;parse-names&quot;:false,&quot;dropping-particle&quot;:&quot;&quot;,&quot;non-dropping-particle&quot;:&quot;&quot;},{&quot;family&quot;:&quot;Sturfelt&quot;,&quot;given&quot;:&quot;Gunnar&quot;,&quot;parse-names&quot;:false,&quot;dropping-particle&quot;:&quot;&quot;,&quot;non-dropping-particle&quot;:&quot;&quot;}],&quot;container-title&quot;:&quot;Arthritis and rheumatism&quot;,&quot;container-title-short&quot;:&quot;Arthritis Rheum.&quot;,&quot;accessed&quot;:{&quot;date-parts&quot;:[[2026,4,3]]},&quot;DOI&quot;:&quot;10.1002/ART.1780400506&quot;,&quot;ISSN&quot;:&quot;0004-3591&quot;,&quot;PMID&quot;:&quot;9153540&quot;,&quot;URL&quot;:&quot;https://pubmed.ncbi.nlm.nih.gov/9153540/&quot;,&quot;issued&quot;:{&quot;date-parts&quot;:[[1997]]},&quot;page&quot;:&quot;809-813&quot;,&quot;abstract&quot;:&quot;Objective. To test the reliability of the Systemic Lupus International Collaborating Clinics/American College of Rheumatology (SLICC/ACR) Damage Index and the Systemic Lupus Erythematosus Disease Activity Index (SLEDAI) in the assessment of patients with SLE. Methods. Ten patients with SLE, representing a spectrum of damage and activity, were included. Each patient was examined by 6 of 10 physicians from 5 countries, representing 10 lupus clinics. The SLICC/ACR Damage Index was used to assess accumulated damage, and the SLEDAI was used to assess disease activity. The order of the patients and physicians was randomized according to a Youden square design. Results. The SLICC/ACR Damage Index detected differences among patients (P &lt; 0.001). There was no detectable observer difference (P = 0.933), and there was no order effect (P = 0.261). Similar results were obtained with the SLEDAI. There was concordance in the SLICC/ACR Damage Index among observers, despite a wide spectrum of disease activity detected by the SLEDAI. Conclusion. Physicians from different centers are able to assess patients with SLE in a reproducible way, using the SLEDAI to assess disease activity and the SLICC/ACR Damage Index to assess accumulated damage.&quot;,&quot;publisher&quot;:&quot;Arthritis Rheum&quot;,&quot;issue&quot;:&quot;5&quot;,&quot;volume&quot;:&quot;40&quot;},&quot;isTemporary&quot;:false}]},{&quot;citationID&quot;:&quot;MENDELEY_CITATION_a5b2369e-a364-47a0-a429-fcb8ab86c116&quot;,&quot;properties&quot;:{&quot;noteIndex&quot;:0},&quot;isEdited&quot;:false,&quot;manualOverride&quot;:{&quot;isManuallyOverridden&quot;:false,&quot;citeprocText&quot;:&quot;[7,9]&quot;,&quot;manualOverrideText&quot;:&quot;&quot;},&quot;citationTag&quot;:&quot;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&quot;,&quot;citationItems&quot;:[{&quot;id&quot;:&quot;e2d32a65-f82f-3018-b1fb-872d29d087dc&quot;,&quot;itemData&quot;:{&quot;type&quot;:&quot;article-journal&quot;,&quot;id&quot;:&quot;e2d32a65-f82f-3018-b1fb-872d29d087dc&quot;,&quot;title&quot;:&quot;Systemic Lupus Erythematosus Disease Activity Score (SLE-DAS) enables accurate and user-friendly definitions of clinical remission and categories of disease activity&quot;,&quot;author&quot;:[{&quot;family&quot;:&quot;Jesus&quot;,&quot;given&quot;:&quot;Diogo&quot;,&quot;parse-names&quot;:false,&quot;dropping-particle&quot;:&quot;&quot;,&quot;non-dropping-particle&quot;:&quot;&quot;},{&quot;family&quot;:&quot;Larosa&quot;,&quot;given&quot;:&quot;Maddalena&quot;,&quot;parse-names&quot;:false,&quot;dropping-particle&quot;:&quot;&quot;,&quot;non-dropping-particle&quot;:&quot;&quot;},{&quot;family&quot;:&quot;Henriques&quot;,&quot;given&quot;:&quot;Carla&quot;,&quot;parse-names&quot;:false,&quot;dropping-particle&quot;:&quot;&quot;,&quot;non-dropping-particle&quot;:&quot;&quot;},{&quot;family&quot;:&quot;Matos&quot;,&quot;given&quot;:&quot;Ana&quot;,&quot;parse-names&quot;:false,&quot;dropping-particle&quot;:&quot;&quot;,&quot;non-dropping-particle&quot;:&quot;&quot;},{&quot;family&quot;:&quot;Zen&quot;,&quot;given&quot;:&quot;Margherita&quot;,&quot;parse-names&quot;:false,&quot;dropping-particle&quot;:&quot;&quot;,&quot;non-dropping-particle&quot;:&quot;&quot;},{&quot;family&quot;:&quot;Tomé&quot;,&quot;given&quot;:&quot;Paulo&quot;,&quot;parse-names&quot;:false,&quot;dropping-particle&quot;:&quot;&quot;,&quot;non-dropping-particle&quot;:&quot;&quot;},{&quot;family&quot;:&quot;Alves&quot;,&quot;given&quot;:&quot;Valter&quot;,&quot;parse-names&quot;:false,&quot;dropping-particle&quot;:&quot;&quot;,&quot;non-dropping-particle&quot;:&quot;&quot;},{&quot;family&quot;:&quot;Costa&quot;,&quot;given&quot;:&quot;Nuno&quot;,&quot;parse-names&quot;:false,&quot;dropping-particle&quot;:&quot;&quot;,&quot;non-dropping-particle&quot;:&quot;&quot;},{&quot;family&quot;:&quot;Guern&quot;,&quot;given&quot;:&quot;Véronique&quot;,&quot;parse-names&quot;:false,&quot;dropping-particle&quot;:&quot;&quot;,&quot;non-dropping-particle&quot;:&quot;Le&quot;},{&quot;family&quot;:&quot;Iaccarino&quot;,&quot;given&quot;:&quot;Luca&quot;,&quot;parse-names&quot;:false,&quot;dropping-particle&quot;:&quot;&quot;,&quot;non-dropping-particle&quot;:&quot;&quot;},{&quot;family&quot;:&quot;Costedoat-Chalumeau&quot;,&quot;given&quot;:&quot;Nathalie&quot;,&quot;parse-names&quot;:false,&quot;dropping-particle&quot;:&quot;&quot;,&quot;non-dropping-particle&quot;:&quot;&quot;},{&quot;family&quot;:&quot;Doria&quot;,&quot;given&quot;:&quot;Andrea&quot;,&quot;parse-names&quot;:false,&quot;dropping-particle&quot;:&quot;&quot;,&quot;non-dropping-particle&quot;:&quot;&quot;},{&quot;family&quot;:&quot;Inês&quot;,&quot;given&quot;:&quot;Luís Sousa&quot;,&quot;parse-names&quot;:false,&quot;dropping-particle&quot;:&quot;&quot;,&quot;non-dropping-particle&quot;:&quot;&quot;}],&quot;container-title&quot;:&quot;Annals of the Rheumatic Diseases&quot;,&quot;container-title-short&quot;:&quot;Ann. Rheum. Dis.&quot;,&quot;accessed&quot;:{&quot;date-parts&quot;:[[2026,4,3]]},&quot;DOI&quot;:&quot;10.1136/annrheumdis-2021-220363&quot;,&quot;ISSN&quot;:&quot;14682060&quot;,&quot;PMID&quot;:&quot;34407927&quot;,&quot;URL&quot;:&quot;https://pubmed.ncbi.nlm.nih.gov/34407927/&quot;,&quot;issued&quot;:{&quot;date-parts&quot;:[[2021,12,1]]},&quot;page&quot;:&quot;1568-1574&quot;,&quot;abstract&quot;:&quot;Objectives: There is an unmet need for accurate and user-friendly definitions of systemic lupus erythematosus (SLE) disease activity and remission. We aimed to derive and validate the SLE Disease Activity Score (SLE-DAS) definitions for disease activity categories and clinical remission state. Methods: Derivation was conducted at Padova Lupus Clinic (Italy). Validation was prospectively performed at Cochin Lupus Clinic (France) and by post hoc analysis of BLISS-76 trial. At each clinic, an expert classified patients in three categories: remission, mild or moderate/severe activity. The SLE-DAS cut-offs were derived using the receiver operating characteristic curve analysis in Padova cohort; its performance was assessed against expert classification in Cochin cohort and British Isles Lupus Assessment Group (BILAG) index in BLISS-76. Gold standard for clinical remission state was the fulfilment of Definition Of Remission In SLE. A Boolean and an index-based definitions of remission were sustained by chi-square automatic interaction detection algorithm. An SLE-DAS online calculator was developed and tested. Results: We included 1190 patients with SLE: 221 in the derivation cohort and 969 in the validation cohorts (150 from Cochin; 819 from BLISS-76). Derived cut-offs were: remission, SLE-DAS ≤2.08; mild activity, 2.0&lt;SLE-DAS≤7.64; moderate/severe activity, SLE-DAS &gt;7.64. Regarding validation in Cochin cohort, sensitivity and specificity are above 90%, 82% and 95% for remission, mild and moderate/severe activity, respectively. The SLE-DAS Boolean-based and index-based remission showed sensitivity of 100% and specificity above 97%. Conclusion: The SLE-DAS is an accurate and easy-to- use tool for defining SLE clinical remission state and disease activity categories, validated against expert assessment and BILAG.&quot;,&quot;publisher&quot;:&quot;BMJ Publishing Group&quot;,&quot;issue&quot;:&quot;12&quot;,&quot;volume&quot;:&quot;80&quot;},&quot;isTemporary&quot;:false},{&quot;id&quot;:&quot;0578acdd-82b9-3973-bb83-28231a108b0b&quot;,&quot;itemData&quot;:{&quot;type&quot;:&quot;article-journal&quot;,&quot;id&quot;:&quot;0578acdd-82b9-3973-bb83-28231a108b0b&quot;,&quot;title&quot;:&quot;Derivation and validation of the SLE Disease Activity Score (SLE-DAS): A new SLE continuous measure with high sensitivity for changes in disease activity&quot;,&quot;author&quot;:[{&quot;family&quot;:&quot;Jesus&quot;,&quot;given&quot;:&quot;Diogo&quot;,&quot;parse-names&quot;:false,&quot;dropping-particle&quot;:&quot;&quot;,&quot;non-dropping-particle&quot;:&quot;&quot;},{&quot;family&quot;:&quot;Matos&quot;,&quot;given&quot;:&quot;Ana&quot;,&quot;parse-names&quot;:false,&quot;dropping-particle&quot;:&quot;&quot;,&quot;non-dropping-particle&quot;:&quot;&quot;},{&quot;family&quot;:&quot;Henriques&quot;,&quot;given&quot;:&quot;Carla&quot;,&quot;parse-names&quot;:false,&quot;dropping-particle&quot;:&quot;&quot;,&quot;non-dropping-particle&quot;:&quot;&quot;},{&quot;family&quot;:&quot;Zen&quot;,&quot;given&quot;:&quot;Margherita&quot;,&quot;parse-names&quot;:false,&quot;dropping-particle&quot;:&quot;&quot;,&quot;non-dropping-particle&quot;:&quot;&quot;},{&quot;family&quot;:&quot;Larosa&quot;,&quot;given&quot;:&quot;Maddalena&quot;,&quot;parse-names&quot;:false,&quot;dropping-particle&quot;:&quot;&quot;,&quot;non-dropping-particle&quot;:&quot;&quot;},{&quot;family&quot;:&quot;Iaccarino&quot;,&quot;given&quot;:&quot;Luca&quot;,&quot;parse-names&quot;:false,&quot;dropping-particle&quot;:&quot;&quot;,&quot;non-dropping-particle&quot;:&quot;&quot;},{&quot;family&quot;:&quot;Silva&quot;,&quot;given&quot;:&quot;José António Pereira&quot;,&quot;parse-names&quot;:false,&quot;dropping-particle&quot;:&quot;&quot;,&quot;non-dropping-particle&quot;:&quot;da&quot;},{&quot;family&quot;:&quot;Doria&quot;,&quot;given&quot;:&quot;Andrea&quot;,&quot;parse-names&quot;:false,&quot;dropping-particle&quot;:&quot;&quot;,&quot;non-dropping-particle&quot;:&quot;&quot;},{&quot;family&quot;:&quot;Inês&quot;,&quot;given&quot;:&quot;Luís Sousa&quot;,&quot;parse-names&quot;:false,&quot;dropping-particle&quot;:&quot;&quot;,&quot;non-dropping-particle&quot;:&quot;&quot;}],&quot;container-title&quot;:&quot;Annals of the Rheumatic Diseases&quot;,&quot;container-title-short&quot;:&quot;Ann. Rheum. Dis.&quot;,&quot;accessed&quot;:{&quot;date-parts&quot;:[[2026,3,29]]},&quot;DOI&quot;:&quot;10.1136/annrheumdis-2018-214502&quot;,&quot;ISSN&quot;:&quot;14682060&quot;,&quot;PMID&quot;:&quot;30626657&quot;,&quot;URL&quot;:&quot;https://pubmed.ncbi.nlm.nih.gov/30626657/&quot;,&quot;issued&quot;:{&quot;date-parts&quot;:[[2019]]},&quot;page&quot;:&quot;365-371&quot;,&quot;abstract&quot;:&quot;Objectives To derive and validate a new disease activity measure for systemic lupus erythematosus (sle), the sle Disease activity score (sle-Das), with improved sensitivity to change as compared with sle Disease activity index (sleDai), while maintaining high specificity and easiness of use. Methods We studied 520 patients with sle from two tertiary care centres (derivation and validation cohorts). at each visit, disease activity was scored using the Physician Global assessment (PGa) and sleDai 2000 (sleDai-2K). To construct the sle-Das, we applied multivariate linear regression analysis in the derivation cohort, with PGa as dependent variable. The formula was validated in a different cohort through the study of: (1) correlations between sle-Das, PGa and sleDai-2K; (2) performance of sleDai-2K and sle-Das in identifying a clinically meaningful change in disease activity (ΔPGa≥0.3); and (3) accuracy of sleDai-2K and sle-Das time-adjusted means in predicting damage accrual. results The final sle-Das instrument included 17 items. sle-Das was highly correlated with PGa (r=0.875, p&lt;0.0005) and sleDai-2K (r=0.943, p&lt;0.0005) in the validation cohort. The optimal discriminative Δsle-Das cut-off to detect a clinically meaningful change was 1.72. in the validation cohort, sle-Das showed a higher sensitivity than sleDai-2K (change ≥4) to detect a clinically meaningful improvement (89.5% vs 47.4%, p=0.008) or worsening (95.5% vs 59.1%, p=0.008), while maintaining similar specificities. sle-Das performed better in predicting damage accrual than sleDai-2K. Conclusion sle-Das has a good construct validity and has better performance than sleDai-2K in identifying clinically significant changes in disease activity and in predicting damage accrual.&quot;,&quot;publisher&quot;:&quot;BMJ Publishing Group&quot;,&quot;issue&quot;:&quot;3&quot;,&quot;volume&quot;:&quot;78&quot;},&quot;isTemporary&quot;:false}]},{&quot;citationID&quot;:&quot;MENDELEY_CITATION_83f7a183-5c2f-4ac3-8098-4f4bc5bf4391&quot;,&quot;properties&quot;:{&quot;noteIndex&quot;:0},&quot;isEdited&quot;:false,&quot;manualOverride&quot;:{&quot;isManuallyOverridden&quot;:false,&quot;citeprocText&quot;:&quot;[5]&quot;,&quot;manualOverrideText&quot;:&quot;&quot;},&quot;citationTag&quot;:&quot;MENDELEY_CITATION_v3_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&quot;,&quot;citationItems&quot;:[{&quot;id&quot;:&quot;9046d6f7-f98b-3b04-95ff-1b5d9090d1e6&quot;,&quot;itemData&quot;:{&quot;type&quot;:&quot;article-journal&quot;,&quot;id&quot;:&quot;9046d6f7-f98b-3b04-95ff-1b5d9090d1e6&quot;,&quot;title&quot;:&quot;Definition and initial validation of a Lupus Low Disease Activity State (LLDAS)&quot;,&quot;author&quot;:[{&quot;family&quot;:&quot;Franklyn&quot;,&quot;given&quot;:&quot;Kate&quot;,&quot;parse-names&quot;:false,&quot;dropping-particle&quot;:&quot;&quot;,&quot;non-dropping-particle&quot;:&quot;&quot;},{&quot;family&quot;:&quot;Lau&quot;,&quot;given&quot;:&quot;Chak Sing&quot;,&quot;parse-names&quot;:false,&quot;dropping-particle&quot;:&quot;&quot;,&quot;non-dropping-particle&quot;:&quot;&quot;},{&quot;family&quot;:&quot;Navarra&quot;,&quot;given&quot;:&quot;Sandra&quot;,&quot;parse-names&quot;:false,&quot;dropping-particle&quot;:&quot;V.&quot;,&quot;non-dropping-particle&quot;:&quot;&quot;},{&quot;family&quot;:&quot;Louthrenoo&quot;,&quot;given&quot;:&quot;Worawit&quot;,&quot;parse-names&quot;:false,&quot;dropping-particle&quot;:&quot;&quot;,&quot;non-dropping-particle&quot;:&quot;&quot;},{&quot;family&quot;:&quot;Lateef&quot;,&quot;given&quot;:&quot;Aisha&quot;,&quot;parse-names&quot;:false,&quot;dropping-particle&quot;:&quot;&quot;,&quot;non-dropping-particle&quot;:&quot;&quot;},{&quot;family&quot;:&quot;Hamijoyo&quot;,&quot;given&quot;:&quot;Laniyati&quot;,&quot;parse-names&quot;:false,&quot;dropping-particle&quot;:&quot;&quot;,&quot;non-dropping-particle&quot;:&quot;&quot;},{&quot;family&quot;:&quot;Wahono&quot;,&quot;given&quot;:&quot;C. Singgih&quot;,&quot;parse-names&quot;:false,&quot;dropping-particle&quot;:&quot;&quot;,&quot;non-dropping-particle&quot;:&quot;&quot;},{&quot;family&quot;:&quot;Chen&quot;,&quot;given&quot;:&quot;Shun&quot;,&quot;parse-names&quot;:false,&quot;dropping-particle&quot;:&quot;Le&quot;,&quot;non-dropping-particle&quot;:&quot;&quot;},{&quot;family&quot;:&quot;Jin&quot;,&quot;given&quot;:&quot;Ou&quot;,&quot;parse-names&quot;:false,&quot;dropping-particle&quot;:&quot;&quot;,&quot;non-dropping-particle&quot;:&quot;&quot;},{&quot;family&quot;:&quot;Morton&quot;,&quot;given&quot;:&quot;Susan&quot;,&quot;parse-names&quot;:false,&quot;dropping-particle&quot;:&quot;&quot;,&quot;non-dropping-particle&quot;:&quot;&quot;},{&quot;family&quot;:&quot;Hoi&quot;,&quot;given&quot;:&quot;Alberta&quot;,&quot;parse-names&quot;:false,&quot;dropping-particle&quot;:&quot;&quot;,&quot;non-dropping-particle&quot;:&quot;&quot;},{&quot;family&quot;:&quot;Huq&quot;,&quot;given&quot;:&quot;Molla&quot;,&quot;parse-names&quot;:false,&quot;dropping-particle&quot;:&quot;&quot;,&quot;non-dropping-particle&quot;:&quot;&quot;},{&quot;family&quot;:&quot;Nikpour&quot;,&quot;given&quot;:&quot;Mandana&quot;,&quot;parse-names&quot;:false,&quot;dropping-particle&quot;:&quot;&quot;,&quot;non-dropping-particle&quot;:&quot;&quot;},{&quot;family&quot;:&quot;Morand&quot;,&quot;given&quot;:&quot;Eric F.&quot;,&quot;parse-names&quot;:false,&quot;dropping-particle&quot;:&quot;&quot;,&quot;non-dropping-particle&quot;:&quot;&quot;}],&quot;container-title&quot;:&quot;Annals of the Rheumatic Diseases&quot;,&quot;container-title-short&quot;:&quot;Ann. Rheum. Dis.&quot;,&quot;accessed&quot;:{&quot;date-parts&quot;:[[2026,3,29]]},&quot;DOI&quot;:&quot;10.1136/annrheumdis-2015-207726&quot;,&quot;ISSN&quot;:&quot;14682060&quot;,&quot;PMID&quot;:&quot;26458737&quot;,&quot;URL&quot;:&quot;https://pubmed.ncbi.nlm.nih.gov/26458737/&quot;,&quot;issued&quot;:{&quot;date-parts&quot;:[[2016,9,1]]},&quot;page&quot;:&quot;1615-1621&quot;,&quot;abstract&quot;:&quot;Aims Treating to low disease activity is routine in rheumatoid arthritis, but no comparable goal has been defined for systemic lupus erythematosus (SLE). We sought to define and validate a Lupus Low Disease Activity State (LLDAS). Methods A consensus definition of LLDAS was generated using Delphi and nominal group techniques. Criterion validity was determined by measuring the ability of LLDAS attainment, in a single-centre SLE cohort, to predict non-accrual of irreversible organ damage, measured using the Systemic Lupus International Collaborating Clinics Damage Index (SDI). Results Consensus methodology led to the following definition of LLDAS: (1) SLE Disease Activity Index (SLEDAI)-2K ≤4, with no activity in major organ systems (renal, central nervous system (CNS), cardiopulmonary, vasculitis, fever) and no haemolytic anaemia or gastrointestinal activity; (2) no new lupus disease activity compared with the previous assessment; (3) a Safety of Estrogens in Lupus Erythematosus National Assessment (SELENA)-SLEDAI physician global assessment (scale 0-3) ≤1; (4) a current prednisolone (or equivalent) dose ≤7.5 mg daily; and (5) well tolerated standard maintenance doses of immunosuppressive drugs and approved biological agents. Achievement of LLDAS was determined in 191 patients followed for a mean of 3.9 years. Patients who spent greater than 50% of their observed time in LLDAS had significantly reduced organ damage accrual compared with patients who spent less than 50% of their time in LLDAS (p=0.0007) and were significantly less likely to have an increase in SDI of ≥1 (relative risk 0.47, 95% CI 0.28 to 0.79, p=0.005). Conclusions A definition of LLDAS has been generated, and preliminary validation demonstrates its attainment to be associated with improved outcomes in SLE.&quot;,&quot;publisher&quot;:&quot;BMJ Publishing Group&quot;,&quot;issue&quot;:&quot;9&quot;,&quot;volume&quot;:&quot;75&quot;},&quot;isTemporary&quot;:false}]},{&quot;citationID&quot;:&quot;MENDELEY_CITATION_d6738976-6acf-41b3-b32b-403123bb09eb&quot;,&quot;properties&quot;:{&quot;noteIndex&quot;:0},&quot;isEdited&quot;:false,&quot;manualOverride&quot;:{&quot;isManuallyOverridden&quot;:false,&quot;citeprocText&quot;:&quot;[11]&quot;,&quot;manualOverrideText&quot;:&quot;&quot;},&quot;citationTag&quot;:&quot;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&quot;,&quot;citationItems&quot;:[{&quot;id&quot;:&quot;319668ea-8e8d-3e32-85f6-504eefe975f1&quot;,&quot;itemData&quot;:{&quot;type&quot;:&quot;article-journal&quot;,&quot;id&quot;:&quot;319668ea-8e8d-3e32-85f6-504eefe975f1&quot;,&quot;title&quot;:&quot;OP0296 THE 2021 DORIS DEFINITION OF REMISSION IN SLE – FINAL RECOMMENDATIONS FROM AN INTERNATIONAL TASK FORCE&quot;,&quot;author&quot;:[{&quot;family&quot;:&quot;Vollenhoven&quot;,&quot;given&quot;:&quot;R.&quot;,&quot;parse-names&quot;:false,&quot;dropping-particle&quot;:&quot;&quot;,&quot;non-dropping-particle&quot;:&quot;van&quot;},{&quot;family&quot;:&quot;Bertsias&quot;,&quot;given&quot;:&quot;G.&quot;,&quot;parse-names&quot;:false,&quot;dropping-particle&quot;:&quot;&quot;,&quot;non-dropping-particle&quot;:&quot;&quot;},{&quot;family&quot;:&quot;Doria&quot;,&quot;given&quot;:&quot;A.&quot;,&quot;parse-names&quot;:false,&quot;dropping-particle&quot;:&quot;&quot;,&quot;non-dropping-particle&quot;:&quot;&quot;},{&quot;family&quot;:&quot;Isenberg&quot;,&quot;given&quot;:&quot;D.&quot;,&quot;parse-names&quot;:false,&quot;dropping-particle&quot;:&quot;&quot;,&quot;non-dropping-particle&quot;:&quot;&quot;},{&quot;family&quot;:&quot;Morand&quot;,&quot;given&quot;:&quot;E.F.&quot;,&quot;parse-names&quot;:false,&quot;dropping-particle&quot;:&quot;&quot;,&quot;non-dropping-particle&quot;:&quot;&quot;},{&quot;family&quot;:&quot;Petri&quot;,&quot;given&quot;:&quot;M.A.&quot;,&quot;parse-names&quot;:false,&quot;dropping-particle&quot;:&quot;&quot;,&quot;non-dropping-particle&quot;:&quot;&quot;},{&quot;family&quot;:&quot;Pons-Estel&quot;,&quot;given&quot;:&quot;B.&quot;,&quot;parse-names&quot;:false,&quot;dropping-particle&quot;:&quot;&quot;,&quot;non-dropping-particle&quot;:&quot;&quot;},{&quot;family&quot;:&quot;Rahman&quot;,&quot;given&quot;:&quot;A.&quot;,&quot;parse-names&quot;:false,&quot;dropping-particle&quot;:&quot;&quot;,&quot;non-dropping-particle&quot;:&quot;&quot;},{&quot;family&quot;:&quot;Ugarte-Gil&quot;,&quot;given&quot;:&quot;M.&quot;,&quot;parse-names&quot;:false,&quot;dropping-particle&quot;:&quot;&quot;,&quot;non-dropping-particle&quot;:&quot;&quot;},{&quot;family&quot;:&quot;Voskuyl&quot;,&quot;given&quot;:&quot;A.&quot;,&quot;parse-names&quot;:false,&quot;dropping-particle&quot;:&quot;&quot;,&quot;non-dropping-particle&quot;:&quot;&quot;},{&quot;family&quot;:&quot;Arnaud&quot;,&quot;given&quot;:&quot;L.&quot;,&quot;parse-names&quot;:false,&quot;dropping-particle&quot;:&quot;&quot;,&quot;non-dropping-particle&quot;:&quot;&quot;},{&quot;family&quot;:&quot;Bruce&quot;,&quot;given&quot;:&quot;I.N.&quot;,&quot;parse-names&quot;:false,&quot;dropping-particle&quot;:&quot;&quot;,&quot;non-dropping-particle&quot;:&quot;&quot;},{&quot;family&quot;:&quot;Cervera&quot;,&quot;given&quot;:&quot;R.&quot;,&quot;parse-names&quot;:false,&quot;dropping-particle&quot;:&quot;&quot;,&quot;non-dropping-particle&quot;:&quot;&quot;},{&quot;family&quot;:&quot;Costedoat-Chalumeau&quot;,&quot;given&quot;:&quot;N.&quot;,&quot;parse-names&quot;:false,&quot;dropping-particle&quot;:&quot;&quot;,&quot;non-dropping-particle&quot;:&quot;&quot;},{&quot;family&quot;:&quot;Gordon&quot;,&quot;given&quot;:&quot;C.&quot;,&quot;parse-names&quot;:false,&quot;dropping-particle&quot;:&quot;&quot;,&quot;non-dropping-particle&quot;:&quot;&quot;},{&quot;family&quot;:&quot;Houssiau&quot;,&quot;given&quot;:&quot;F.&quot;,&quot;parse-names&quot;:false,&quot;dropping-particle&quot;:&quot;&quot;,&quot;non-dropping-particle&quot;:&quot;&quot;},{&quot;family&quot;:&quot;Mosca&quot;,&quot;given&quot;:&quot;M.&quot;,&quot;parse-names&quot;:false,&quot;dropping-particle&quot;:&quot;&quot;,&quot;non-dropping-particle&quot;:&quot;&quot;},{&quot;family&quot;:&quot;Schneider&quot;,&quot;given&quot;:&quot;M.&quot;,&quot;parse-names&quot;:false,&quot;dropping-particle&quot;:&quot;&quot;,&quot;non-dropping-particle&quot;:&quot;&quot;},{&quot;family&quot;:&quot;Ward&quot;,&quot;given&quot;:&quot;M.&quot;,&quot;parse-names&quot;:false,&quot;dropping-particle&quot;:&quot;&quot;,&quot;non-dropping-particle&quot;:&quot;&quot;},{&quot;family&quot;:&quot;Aranow&quot;,&quot;given&quot;:&quot;C.&quot;,&quot;parse-names&quot;:false,&quot;dropping-particle&quot;:&quot;&quot;,&quot;non-dropping-particle&quot;:&quot;&quot;}],&quot;container-title&quot;:&quot;Annals of the Rheumatic Diseases&quot;,&quot;container-title-short&quot;:&quot;Ann. Rheum. Dis.&quot;,&quot;DOI&quot;:&quot;10.1136/annrheumdis-2021-eular.1192&quot;,&quot;ISSN&quot;:&quot;00034967&quot;,&quot;issued&quot;:{&quot;date-parts&quot;:[[2021,6]]},&quot;page&quot;:&quot;181-182&quot;,&quot;abstract&quot;:&quot;Background: Remission is the stated goal for both patient and care-giver (1), but consensus on a definition of remission has been lacking. Previously, an international task force consisting of patient representatives and medical specialists published a frame-work for such a definition (2), but without making a final recommendation.\n\nObjectives: To achieve consensus around a definition of remission in SLE (DORIS).\n\nMethods: The DORIS task force met annually from 2015 to 2020 and consisted of patient representatives and specialists in rheumatology, nephrology, dermatology, and clinical immunology. Systemic literature reviews of several key topics were done and specific research questions were examined in suitably chosen datasets. The findings were discussed, reformulated as recommendations, and voted upon. Level of evidence (LoE), strength of recommendation (SoR), and agreement were determined in standard fashion. The final recommendation for the DORIS definition of remission was established by electronic vote after finalization of the minutes of the most recent task force meeting.\n\nResults: Based on data from the literature and from several SLE-specific data sets, five key recommendations were endorsed ([Table 1][1]) that should be seen as additions to those published previously (2). Literature reviews identified strong support for the face-, content-, construct- and criterion validity of the definition based on the clinical SLEDAI (not including anti-DNA and complement) equal to zero plus low physician global assessment and allowing stable medical treatment. Thus, the DORIS Task Force recommended a single definition of remission in SLE, based on clinical SLEDAI = 0, evaluator’s global assessment &lt;0.5 (0-3), prednisone 5 mg/day or less, and stable antimalarials, immunosuppressives and biologics.\n\nView this table:\n\nTable 1. \n\nConclusion: The 2021 DORIS definition of remission in SLE was established. It is recommended for use as an aspirational treatment target in clinical care, a clear concept in education, and a key outcome in research including clinical trials and observational studies.\n\nReferences: [1]van Vollenhoven RF, Mosca M, Bertsias G, et al. Treat-to-target in systemic lupus erythematosus: recommendations from an international task force. Ann Rheum Dis 2014;73:958-67.\n\n[2]van Vollenhoven R, Voskuyl A, Bertsias G, et al. A framework for remission in SLE: consensus findings from a large international task force on definitions of remission in SLE (DORIS). Ann Rheum Dis 2016.\n\nDisclosure of Interests: Ronald van Vollenhoven Speakers bureau: AbbVie, Galapagos, GSK, Janssen, Pfizer, UCB, Consultant of: AbbVie, AstraZeneca, Biogen, Biotest, Celgene, Galapagos, Gilead, Janssen, Pfizer, Sanofi, Servier, UCB, Vielabo, Grant/research support from: BMS, GSK, Lilly, UCB, George Bertsias: None declared, Andrea Doria: None declared, David Isenberg: None declared, Eric F. Morand: None declared, Michelle A Petri: None declared, Bernardo Pons-Estel Consultant of: GSK, Janssen, Anisur Rahman: None declared, Manuel Ugarte-Gil Grant/research support from: Janssen, Pfizer, Alexandre Voskuyl: None declared, Laurent Arnaud Consultant of: Alexion, Amgen, Astra-Zeneca, BMS, GSK, Janssen-Cilag, LFB, Lilly, Menarini France, Medac, Novartis, Pfizer, Roche-Chugaï, UCB., Ian N. Bruce: None declared, Ricard Cervera Consultant of: GSK, Alexion, Eli Lilly, Astra Zeneca, Termo-Fisher, Rubió, Nathalie Costedoat-Chalumeau: None declared, Caroline Gordon Speakers bureau: UCB, Consultant of: Center for Disease Control, Astra-Zeneca, MGP, Sanofi, UCB, Frederic Houssiau: None declared, Marta Mosca: None declared, Matthias Schneider: None declared, Michael Ward: None declared, Cynthia Aranow: None declared.\n\n![Figure][2]&lt;/img&gt;\n\n [1]: #T1\n [2]: pending:yes&quot;,&quot;publisher&quot;:&quot;Elsevier BV&quot;,&quot;volume&quot;:&quot;80&quot;},&quot;isTemporary&quot;:false}]},{&quot;citationID&quot;:&quot;MENDELEY_CITATION_0896d8ea-bc3c-4429-8f5e-70d6227bf061&quot;,&quot;properties&quot;:{&quot;noteIndex&quot;:0},&quot;isEdited&quot;:false,&quot;manualOverride&quot;:{&quot;isManuallyOverridden&quot;:false,&quot;citeprocText&quot;:&quot;[26]&quot;,&quot;manualOverrideText&quot;:&quot;&quot;},&quot;citationTag&quot;:&quot;MENDELEY_CITATION_v3_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&quot;,&quot;citationItems&quot;:[{&quot;id&quot;:&quot;fa5eed6b-757c-3bcf-a971-5a8a25d7ae5e&quot;,&quot;itemData&quot;:{&quot;type&quot;:&quot;article-journal&quot;,&quot;id&quot;:&quot;fa5eed6b-757c-3bcf-a971-5a8a25d7ae5e&quot;,&quot;title&quot;:&quot;Direct multiplexed measurement of gene expression with color-coded probe pairs&quot;,&quot;author&quot;:[{&quot;family&quot;:&quot;Geiss&quot;,&quot;given&quot;:&quot;Gary K.&quot;,&quot;parse-names&quot;:false,&quot;dropping-particle&quot;:&quot;&quot;,&quot;non-dropping-particle&quot;:&quot;&quot;},{&quot;family&quot;:&quot;Bumgarner&quot;,&quot;given&quot;:&quot;Roger E.&quot;,&quot;parse-names&quot;:false,&quot;dropping-particle&quot;:&quot;&quot;,&quot;non-dropping-particle&quot;:&quot;&quot;},{&quot;family&quot;:&quot;Birditt&quot;,&quot;given&quot;:&quot;Brian&quot;,&quot;parse-names&quot;:false,&quot;dropping-particle&quot;:&quot;&quot;,&quot;non-dropping-particle&quot;:&quot;&quot;},{&quot;family&quot;:&quot;Dahl&quot;,&quot;given&quot;:&quot;Timothy&quot;,&quot;parse-names&quot;:false,&quot;dropping-particle&quot;:&quot;&quot;,&quot;non-dropping-particle&quot;:&quot;&quot;},{&quot;family&quot;:&quot;Dowidar&quot;,&quot;given&quot;:&quot;Naeem&quot;,&quot;parse-names&quot;:false,&quot;dropping-particle&quot;:&quot;&quot;,&quot;non-dropping-particle&quot;:&quot;&quot;},{&quot;family&quot;:&quot;Dunaway&quot;,&quot;given&quot;:&quot;Dwayne L.&quot;,&quot;parse-names&quot;:false,&quot;dropping-particle&quot;:&quot;&quot;,&quot;non-dropping-particle&quot;:&quot;&quot;},{&quot;family&quot;:&quot;Fell&quot;,&quot;given&quot;:&quot;H. Perry&quot;,&quot;parse-names&quot;:false,&quot;dropping-particle&quot;:&quot;&quot;,&quot;non-dropping-particle&quot;:&quot;&quot;},{&quot;family&quot;:&quot;Ferree&quot;,&quot;given&quot;:&quot;Sean&quot;,&quot;parse-names&quot;:false,&quot;dropping-particle&quot;:&quot;&quot;,&quot;non-dropping-particle&quot;:&quot;&quot;},{&quot;family&quot;:&quot;George&quot;,&quot;given&quot;:&quot;Renee D.&quot;,&quot;parse-names&quot;:false,&quot;dropping-particle&quot;:&quot;&quot;,&quot;non-dropping-particle&quot;:&quot;&quot;},{&quot;family&quot;:&quot;Grogan&quot;,&quot;given&quot;:&quot;Tammy&quot;,&quot;parse-names&quot;:false,&quot;dropping-particle&quot;:&quot;&quot;,&quot;non-dropping-particle&quot;:&quot;&quot;},{&quot;family&quot;:&quot;James&quot;,&quot;given&quot;:&quot;Jeffrey J.&quot;,&quot;parse-names&quot;:false,&quot;dropping-particle&quot;:&quot;&quot;,&quot;non-dropping-particle&quot;:&quot;&quot;},{&quot;family&quot;:&quot;Maysuria&quot;,&quot;given&quot;:&quot;Malini&quot;,&quot;parse-names&quot;:false,&quot;dropping-particle&quot;:&quot;&quot;,&quot;non-dropping-particle&quot;:&quot;&quot;},{&quot;family&quot;:&quot;Mitton&quot;,&quot;given&quot;:&quot;Jeffrey D.&quot;,&quot;parse-names&quot;:false,&quot;dropping-particle&quot;:&quot;&quot;,&quot;non-dropping-particle&quot;:&quot;&quot;},{&quot;family&quot;:&quot;Oliveri&quot;,&quot;given&quot;:&quot;Paola&quot;,&quot;parse-names&quot;:false,&quot;dropping-particle&quot;:&quot;&quot;,&quot;non-dropping-particle&quot;:&quot;&quot;},{&quot;family&quot;:&quot;Osborn&quot;,&quot;given&quot;:&quot;Jennifer L.&quot;,&quot;parse-names&quot;:false,&quot;dropping-particle&quot;:&quot;&quot;,&quot;non-dropping-particle&quot;:&quot;&quot;},{&quot;family&quot;:&quot;Peng&quot;,&quot;given&quot;:&quot;Tao&quot;,&quot;parse-names&quot;:false,&quot;dropping-particle&quot;:&quot;&quot;,&quot;non-dropping-particle&quot;:&quot;&quot;},{&quot;family&quot;:&quot;Ratcliffe&quot;,&quot;given&quot;:&quot;Amber L.&quot;,&quot;parse-names&quot;:false,&quot;dropping-particle&quot;:&quot;&quot;,&quot;non-dropping-particle&quot;:&quot;&quot;},{&quot;family&quot;:&quot;Webster&quot;,&quot;given&quot;:&quot;Philippa J.&quot;,&quot;parse-names&quot;:false,&quot;dropping-particle&quot;:&quot;&quot;,&quot;non-dropping-particle&quot;:&quot;&quot;},{&quot;family&quot;:&quot;Davidson&quot;,&quot;given&quot;:&quot;Eric H.&quot;,&quot;parse-names&quot;:false,&quot;dropping-particle&quot;:&quot;&quot;,&quot;non-dropping-particle&quot;:&quot;&quot;},{&quot;family&quot;:&quot;Hood&quot;,&quot;given&quot;:&quot;Leroy&quot;,&quot;parse-names&quot;:false,&quot;dropping-particle&quot;:&quot;&quot;,&quot;non-dropping-particle&quot;:&quot;&quot;}],&quot;container-title&quot;:&quot;Nature Biotechnology&quot;,&quot;container-title-short&quot;:&quot;Nat. Biotechnol.&quot;,&quot;DOI&quot;:&quot;10.1038/nbt1385&quot;,&quot;ISSN&quot;:&quot;10870156&quot;,&quot;PMID&quot;:&quot;18278033&quot;,&quot;issued&quot;:{&quot;date-parts&quot;:[[2008,3]]},&quot;page&quot;:&quot;317-325&quot;,&quot;abstract&quot;:&quot;We describe a technology, the NanoString nCounter gene expression system, which captures and counts individual mRNA transcripts. Advantages over existing platforms include direct measurement of mRNA expression levels without enzymatic reactions or bias, sensitivity coupled with high multiplex capability, and digital readout. Experiments performed on 509 human genes yielded a replicate correlation coefficient of 0.999, a detection limit between 0.1 fM and 0.5 fM, and a linear dynamic range of over 500-fold. Comparison of the NanoString nCounter gene expression system with microarrays and TaqMan PCR demonstrated that the nCounter system is more sensitive than microarrays and similar in sensitivity to real-time PCR. Finally, a comparison of transcript levels for 21 genes across seven samples measured by the nCounter system and SYBR Green real-time PCR demonstrated similar patterns of gene expression at all transcript levels. © 2008 Nature Publishing Group.&quot;,&quot;issue&quot;:&quot;3&quot;,&quot;volume&quot;:&quot;26&quot;},&quot;isTemporary&quot;:false}]},{&quot;citationID&quot;:&quot;MENDELEY_CITATION_4d6c160e-27df-4ff1-982d-b4df949a5c93&quot;,&quot;properties&quot;:{&quot;noteIndex&quot;:0},&quot;isEdited&quot;:false,&quot;manualOverride&quot;:{&quot;isManuallyOverridden&quot;:false,&quot;citeprocText&quot;:&quot;[12,25]&quot;,&quot;manualOverrideText&quot;:&quot;&quot;},&quot;citationTag&quot;:&quot;MENDELEY_CITATION_v3_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&quot;,&quot;citationItems&quot;:[{&quot;id&quot;:&quot;6ca1f8ce-c85e-3d5c-addb-5a0c176aaf56&quot;,&quot;itemData&quot;:{&quot;type&quot;:&quot;article-journal&quot;,&quot;id&quot;:&quot;6ca1f8ce-c85e-3d5c-addb-5a0c176aaf56&quot;,&quot;title&quot;:&quot;Serum interferon-α levels and IFN type I-stimulated genes score perform equally to assess systemic lupus erythematosus disease activity&quot;,&quot;author&quot;:[{&quot;family&quot;:&quot;Chasset&quot;,&quot;given&quot;:&quot;François&quot;,&quot;parse-names&quot;:false,&quot;dropping-particle&quot;:&quot;&quot;,&quot;non-dropping-particle&quot;:&quot;&quot;},{&quot;family&quot;:&quot;Mathian&quot;,&quot;given&quot;:&quot;Alexis&quot;,&quot;parse-names&quot;:false,&quot;dropping-particle&quot;:&quot;&quot;,&quot;non-dropping-particle&quot;:&quot;&quot;},{&quot;family&quot;:&quot;Dorgham&quot;,&quot;given&quot;:&quot;Karim&quot;,&quot;parse-names&quot;:false,&quot;dropping-particle&quot;:&quot;&quot;,&quot;non-dropping-particle&quot;:&quot;&quot;},{&quot;family&quot;:&quot;Ribi&quot;,&quot;given&quot;:&quot;Camillo&quot;,&quot;parse-names&quot;:false,&quot;dropping-particle&quot;:&quot;&quot;,&quot;non-dropping-particle&quot;:&quot;&quot;},{&quot;family&quot;:&quot;Trendelenburg&quot;,&quot;given&quot;:&quot;Marten&quot;,&quot;parse-names&quot;:false,&quot;dropping-particle&quot;:&quot;&quot;,&quot;non-dropping-particle&quot;:&quot;&quot;},{&quot;family&quot;:&quot;Huynh-Do&quot;,&quot;given&quot;:&quot;Uyen&quot;,&quot;parse-names&quot;:false,&quot;dropping-particle&quot;:&quot;&quot;,&quot;non-dropping-particle&quot;:&quot;&quot;},{&quot;family&quot;:&quot;Roux-Lombard&quot;,&quot;given&quot;:&quot;Pascale&quot;,&quot;parse-names&quot;:false,&quot;dropping-particle&quot;:&quot;&quot;,&quot;non-dropping-particle&quot;:&quot;&quot;},{&quot;family&quot;:&quot;Courvoisier&quot;,&quot;given&quot;:&quot;Delphine Sophie&quot;,&quot;parse-names&quot;:false,&quot;dropping-particle&quot;:&quot;&quot;,&quot;non-dropping-particle&quot;:&quot;&quot;},{&quot;family&quot;:&quot;Amoura&quot;,&quot;given&quot;:&quot;Zahir&quot;,&quot;parse-names&quot;:false,&quot;dropping-particle&quot;:&quot;&quot;,&quot;non-dropping-particle&quot;:&quot;&quot;},{&quot;family&quot;:&quot;Gorochov&quot;,&quot;given&quot;:&quot;Guy&quot;,&quot;parse-names&quot;:false,&quot;dropping-particle&quot;:&quot;&quot;,&quot;non-dropping-particle&quot;:&quot;&quot;}],&quot;container-title&quot;:&quot;Annals of the Rheumatic Diseases&quot;,&quot;container-title-short&quot;:&quot;Ann. Rheum. Dis.&quot;,&quot;DOI&quot;:&quot;10.1136/annrheumdis-2021-221835ï&quot;,&quot;URL&quot;:&quot;https://hal.science/hal-03553438v1&quot;,&quot;abstract&quot;:&quot;Serum interferon-α levels and IFN type I-stimulated genes score perform equally to assess systemic lupus erythematosus disease activity.&quot;},&quot;isTemporary&quot;:false},{&quot;id&quot;:&quot;59ff79b1-ec96-337b-97ba-9a8318ea2576&quot;,&quot;itemData&quot;:{&quot;type&quot;:&quot;article&quot;,&quot;id&quot;:&quot;59ff79b1-ec96-337b-97ba-9a8318ea2576&quot;,&quot;title&quot;:&quot;Optimal Selection of IFN-α-Inducible Genes to Determine Type I Interferon Signature Improves the Diagnosis of Systemic Lupus Erythematosus&quot;,&quot;author&quot;:[{&quot;family&quot;:&quot;Demers-Mathieu&quot;,&quot;given&quot;:&quot;Veronique&quot;,&quot;parse-names&quot;:false,&quot;dropping-particle&quot;:&quot;&quot;,&quot;non-dropping-particle&quot;:&quot;&quot;}],&quot;container-title&quot;:&quot;Biomedicines&quot;,&quot;container-title-short&quot;:&quot;Biomedicines&quot;,&quot;DOI&quot;:&quot;10.3390/biomedicines11030864&quot;,&quot;ISSN&quot;:&quot;22279059&quot;,&quot;issued&quot;:{&quot;date-parts&quot;:[[2023,3,1]]},&quot;abstract&quot;:&quot;Systemic lupus erythematosus (SLE) is a chronic autoimmune disease characterized by the production of autoantibodies specific to self-molecules in the nucleus, cytoplasm, and cell surface. The diversity of serologic and clinical manifestations observed in SLE patients challenges the development of diagnostics and tools for monitoring disease activity. Elevated type I interferon signature (IFN- I) in SLE leads to dysregulation of innate and adaptive immune function, resulting in autoantibodies production. The most common method to determine IFN-I signature is measuring the gene expression of several IFN-α-inducible genes (IFIGs) in blood samples and calculating a score. Optimal selection of IFIGs improves the sensitivity, specificity, and accuracy of the diagnosis of SLE. We describe the mechanisms of the immunopathogenesis of IFN-I signature (IFNα production) and its clinical consequences in SLE. In addition, we explore the association between IFN-I signature, the presence of autoantibodies, disease activity, medical therapy, and ethnicity. We discuss the presence of IFN-I signature in some patients with other autoimmune diseases, including rheumatoid arthritis, systemic and multiple sclerosis, Sjogren’s syndrome, and dermatomyositis. Prospective studies are required to assess the role of IFIG and the best combination of IFIGs to monitor SLE disease activity and drug treatments.&quot;,&quot;publisher&quot;:&quot;MDPI&quot;,&quot;issue&quot;:&quot;3&quot;,&quot;volume&quot;:&quot;11&quot;},&quot;isTemporary&quot;:false}]},{&quot;citationID&quot;:&quot;MENDELEY_CITATION_d6a83045-23d0-4e62-885c-f74b2629746c&quot;,&quot;properties&quot;:{&quot;noteIndex&quot;:0},&quot;isEdited&quot;:false,&quot;manualOverride&quot;:{&quot;isManuallyOverridden&quot;:false,&quot;citeprocText&quot;:&quot;[12,22,25]&quot;,&quot;manualOverrideText&quot;:&quot;&quot;},&quot;citationTag&quot;:&quot;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&quot;,&quot;citationItems&quot;:[{&quot;id&quot;:&quot;59ff79b1-ec96-337b-97ba-9a8318ea2576&quot;,&quot;itemData&quot;:{&quot;type&quot;:&quot;article&quot;,&quot;id&quot;:&quot;59ff79b1-ec96-337b-97ba-9a8318ea2576&quot;,&quot;title&quot;:&quot;Optimal Selection of IFN-α-Inducible Genes to Determine Type I Interferon Signature Improves the Diagnosis of Systemic Lupus Erythematosus&quot;,&quot;author&quot;:[{&quot;family&quot;:&quot;Demers-Mathieu&quot;,&quot;given&quot;:&quot;Veronique&quot;,&quot;parse-names&quot;:false,&quot;dropping-particle&quot;:&quot;&quot;,&quot;non-dropping-particle&quot;:&quot;&quot;}],&quot;container-title&quot;:&quot;Biomedicines&quot;,&quot;container-title-short&quot;:&quot;Biomedicines&quot;,&quot;DOI&quot;:&quot;10.3390/biomedicines11030864&quot;,&quot;ISSN&quot;:&quot;22279059&quot;,&quot;issued&quot;:{&quot;date-parts&quot;:[[2023,3,1]]},&quot;abstract&quot;:&quot;Systemic lupus erythematosus (SLE) is a chronic autoimmune disease characterized by the production of autoantibodies specific to self-molecules in the nucleus, cytoplasm, and cell surface. The diversity of serologic and clinical manifestations observed in SLE patients challenges the development of diagnostics and tools for monitoring disease activity. Elevated type I interferon signature (IFN- I) in SLE leads to dysregulation of innate and adaptive immune function, resulting in autoantibodies production. The most common method to determine IFN-I signature is measuring the gene expression of several IFN-α-inducible genes (IFIGs) in blood samples and calculating a score. Optimal selection of IFIGs improves the sensitivity, specificity, and accuracy of the diagnosis of SLE. We describe the mechanisms of the immunopathogenesis of IFN-I signature (IFNα production) and its clinical consequences in SLE. In addition, we explore the association between IFN-I signature, the presence of autoantibodies, disease activity, medical therapy, and ethnicity. We discuss the presence of IFN-I signature in some patients with other autoimmune diseases, including rheumatoid arthritis, systemic and multiple sclerosis, Sjogren’s syndrome, and dermatomyositis. Prospective studies are required to assess the role of IFIG and the best combination of IFIGs to monitor SLE disease activity and drug treatments.&quot;,&quot;publisher&quot;:&quot;MDPI&quot;,&quot;issue&quot;:&quot;3&quot;,&quot;volume&quot;:&quot;11&quot;},&quot;isTemporary&quot;:false},{&quot;id&quot;:&quot;07093a47-8075-3b4e-b3cf-5bfc4dc70589&quot;,&quot;itemData&quot;:{&quot;type&quot;:&quot;article-journal&quot;,&quot;id&quot;:&quot;07093a47-8075-3b4e-b3cf-5bfc4dc70589&quot;,&quot;title&quot;:&quot;The baseline interferon signature predicts disease severity over the subsequent 5 years in systemic lupus erythematosus&quot;,&quot;author&quot;:[{&quot;family&quot;:&quot;Mai&quot;,&quot;given&quot;:&quot;Lloyd&quot;,&quot;parse-names&quot;:false,&quot;dropping-particle&quot;:&quot;&quot;,&quot;non-dropping-particle&quot;:&quot;&quot;},{&quot;family&quot;:&quot;Asaduzzaman&quot;,&quot;given&quot;:&quot;Arundip&quot;,&quot;parse-names&quot;:false,&quot;dropping-particle&quot;:&quot;&quot;,&quot;non-dropping-particle&quot;:&quot;&quot;},{&quot;family&quot;:&quot;Noamani&quot;,&quot;given&quot;:&quot;Babak&quot;,&quot;parse-names&quot;:false,&quot;dropping-particle&quot;:&quot;&quot;,&quot;non-dropping-particle&quot;:&quot;&quot;},{&quot;family&quot;:&quot;Fortin&quot;,&quot;given&quot;:&quot;Paul R.&quot;,&quot;parse-names&quot;:false,&quot;dropping-particle&quot;:&quot;&quot;,&quot;non-dropping-particle&quot;:&quot;&quot;},{&quot;family&quot;:&quot;Gladman&quot;,&quot;given&quot;:&quot;Dafna D.&quot;,&quot;parse-names&quot;:false,&quot;dropping-particle&quot;:&quot;&quot;,&quot;non-dropping-particle&quot;:&quot;&quot;},{&quot;family&quot;:&quot;Touma&quot;,&quot;given&quot;:&quot;Zahi&quot;,&quot;parse-names&quot;:false,&quot;dropping-particle&quot;:&quot;&quot;,&quot;non-dropping-particle&quot;:&quot;&quot;},{&quot;family&quot;:&quot;Urowitz&quot;,&quot;given&quot;:&quot;Murray B.&quot;,&quot;parse-names&quot;:false,&quot;dropping-particle&quot;:&quot;&quot;,&quot;non-dropping-particle&quot;:&quot;&quot;},{&quot;family&quot;:&quot;Wither&quot;,&quot;given&quot;:&quot;Joan&quot;,&quot;parse-names&quot;:false,&quot;dropping-particle&quot;:&quot;&quot;,&quot;non-dropping-particle&quot;:&quot;&quot;}],&quot;container-title&quot;:&quot;Arthritis Research and Therapy&quot;,&quot;container-title-short&quot;:&quot;Arthritis Res. Ther.&quot;,&quot;DOI&quot;:&quot;10.1186/s13075-021-02414-0&quot;,&quot;ISSN&quot;:&quot;14786362&quot;,&quot;PMID&quot;:&quot;33451338&quot;,&quot;issued&quot;:{&quot;date-parts&quot;:[[2021,12,1]]},&quot;abstract&quot;:&quot;Objectives: Type I interferons (IFNs) play an important role in the pathophysiology of systemic lupus erythematosus (SLE). While cross-sectional data suggest an association between IFN-induced gene expression and SLE disease activity, interest in this as a biomarker of flare has been tempered by a lack of fluctuation with disease activity in the majority of patients. This led us to question whether IFN-induced gene expression might instead be a biomarker of overall disease severity, with patients with high levels spending more time in an active disease state. Methods: Levels of five interferon-responsive genes were measured in the whole peripheral blood at baseline visit for 137 SLE patients subsequently followed for 5 years. Log transformed values were summed to yield a composite IFN5 score, and the correlation with various disease outcomes examined. Receiver operator characteristic analyses were performed for outcomes of interest. Kaplan-Meier curves were generated to compare the proportion of flare-free patients with high and low IFN5 scores over time. Results: The baseline IFN5 score was positively correlated with the adjusted mean SLE disease activity index-2000, number of flares, adjusted mean prednisone dose, and number of new immunosuppressive medications over the subsequent 5 years. Optimal cut-offs for the IFN5 score were determined using Youden’s index and predicted more severe outcomes with 57–67% accuracy. A high baseline IFN5 level was associated with a significantly increased risk of subsequent flare. Conclusions: Measurement of the type I IFN signature is a useful tool for predicting the subsequent disease activity course.&quot;,&quot;publisher&quot;:&quot;BioMed Central Ltd&quot;,&quot;issue&quot;:&quot;1&quot;,&quot;volume&quot;:&quot;23&quot;},&quot;isTemporary&quot;:false},{&quot;id&quot;:&quot;6ca1f8ce-c85e-3d5c-addb-5a0c176aaf56&quot;,&quot;itemData&quot;:{&quot;type&quot;:&quot;article-journal&quot;,&quot;id&quot;:&quot;6ca1f8ce-c85e-3d5c-addb-5a0c176aaf56&quot;,&quot;title&quot;:&quot;Serum interferon-α levels and IFN type I-stimulated genes score perform equally to assess systemic lupus erythematosus disease activity&quot;,&quot;author&quot;:[{&quot;family&quot;:&quot;Chasset&quot;,&quot;given&quot;:&quot;François&quot;,&quot;parse-names&quot;:false,&quot;dropping-particle&quot;:&quot;&quot;,&quot;non-dropping-particle&quot;:&quot;&quot;},{&quot;family&quot;:&quot;Mathian&quot;,&quot;given&quot;:&quot;Alexis&quot;,&quot;parse-names&quot;:false,&quot;dropping-particle&quot;:&quot;&quot;,&quot;non-dropping-particle&quot;:&quot;&quot;},{&quot;family&quot;:&quot;Dorgham&quot;,&quot;given&quot;:&quot;Karim&quot;,&quot;parse-names&quot;:false,&quot;dropping-particle&quot;:&quot;&quot;,&quot;non-dropping-particle&quot;:&quot;&quot;},{&quot;family&quot;:&quot;Ribi&quot;,&quot;given&quot;:&quot;Camillo&quot;,&quot;parse-names&quot;:false,&quot;dropping-particle&quot;:&quot;&quot;,&quot;non-dropping-particle&quot;:&quot;&quot;},{&quot;family&quot;:&quot;Trendelenburg&quot;,&quot;given&quot;:&quot;Marten&quot;,&quot;parse-names&quot;:false,&quot;dropping-particle&quot;:&quot;&quot;,&quot;non-dropping-particle&quot;:&quot;&quot;},{&quot;family&quot;:&quot;Huynh-Do&quot;,&quot;given&quot;:&quot;Uyen&quot;,&quot;parse-names&quot;:false,&quot;dropping-particle&quot;:&quot;&quot;,&quot;non-dropping-particle&quot;:&quot;&quot;},{&quot;family&quot;:&quot;Roux-Lombard&quot;,&quot;given&quot;:&quot;Pascale&quot;,&quot;parse-names&quot;:false,&quot;dropping-particle&quot;:&quot;&quot;,&quot;non-dropping-particle&quot;:&quot;&quot;},{&quot;family&quot;:&quot;Courvoisier&quot;,&quot;given&quot;:&quot;Delphine Sophie&quot;,&quot;parse-names&quot;:false,&quot;dropping-particle&quot;:&quot;&quot;,&quot;non-dropping-particle&quot;:&quot;&quot;},{&quot;family&quot;:&quot;Amoura&quot;,&quot;given&quot;:&quot;Zahir&quot;,&quot;parse-names&quot;:false,&quot;dropping-particle&quot;:&quot;&quot;,&quot;non-dropping-particle&quot;:&quot;&quot;},{&quot;family&quot;:&quot;Gorochov&quot;,&quot;given&quot;:&quot;Guy&quot;,&quot;parse-names&quot;:false,&quot;dropping-particle&quot;:&quot;&quot;,&quot;non-dropping-particle&quot;:&quot;&quot;}],&quot;container-title&quot;:&quot;Annals of the Rheumatic Diseases&quot;,&quot;container-title-short&quot;:&quot;Ann. Rheum. Dis.&quot;,&quot;DOI&quot;:&quot;10.1136/annrheumdis-2021-221835ï&quot;,&quot;URL&quot;:&quot;https://hal.science/hal-03553438v1&quot;,&quot;abstract&quot;:&quot;Serum interferon-α levels and IFN type I-stimulated genes score perform equally to assess systemic lupus erythematosus disease activity.&quot;},&quot;isTemporary&quot;:false}]},{&quot;citationID&quot;:&quot;MENDELEY_CITATION_02e2bac9-623f-499e-9956-d823fae702db&quot;,&quot;properties&quot;:{&quot;noteIndex&quot;:0},&quot;isEdited&quot;:false,&quot;manualOverride&quot;:{&quot;isManuallyOverridden&quot;:false,&quot;citeprocText&quot;:&quot;[35]&quot;,&quot;manualOverrideText&quot;:&quot;&quot;},&quot;citationTag&quot;:&quot;MENDELEY_CITATION_v3_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&quot;,&quot;citationItems&quot;:[{&quot;id&quot;:&quot;87b0987d-7203-3d40-8520-06c229056167&quot;,&quot;itemData&quot;:{&quot;type&quot;:&quot;article-journal&quot;,&quot;id&quot;:&quot;87b0987d-7203-3d40-8520-06c229056167&quot;,&quot;title&quot;:&quot;MOFA+: a statistical framework for comprehensive integration of multi-modal single-cell data&quot;,&quot;author&quot;:[{&quot;family&quot;:&quot;Argelaguet&quot;,&quot;given&quot;:&quot;Ricard&quot;,&quot;parse-names&quot;:false,&quot;dropping-particle&quot;:&quot;&quot;,&quot;non-dropping-particle&quot;:&quot;&quot;},{&quot;family&quot;:&quot;Arnol&quot;,&quot;given&quot;:&quot;Damien&quot;,&quot;parse-names&quot;:false,&quot;dropping-particle&quot;:&quot;&quot;,&quot;non-dropping-particle&quot;:&quot;&quot;},{&quot;family&quot;:&quot;Bredikhin&quot;,&quot;given&quot;:&quot;Danila&quot;,&quot;parse-names&quot;:false,&quot;dropping-particle&quot;:&quot;&quot;,&quot;non-dropping-particle&quot;:&quot;&quot;},{&quot;family&quot;:&quot;Deloro&quot;,&quot;given&quot;:&quot;Yonatan&quot;,&quot;parse-names&quot;:false,&quot;dropping-particle&quot;:&quot;&quot;,&quot;non-dropping-particle&quot;:&quot;&quot;},{&quot;family&quot;:&quot;Velten&quot;,&quot;given&quot;:&quot;Britta&quot;,&quot;parse-names&quot;:false,&quot;dropping-particle&quot;:&quot;&quot;,&quot;non-dropping-particle&quot;:&quot;&quot;},{&quot;family&quot;:&quot;Marioni&quot;,&quot;given&quot;:&quot;John C.&quot;,&quot;parse-names&quot;:false,&quot;dropping-particle&quot;:&quot;&quot;,&quot;non-dropping-particle&quot;:&quot;&quot;},{&quot;family&quot;:&quot;Stegle&quot;,&quot;given&quot;:&quot;Oliver&quot;,&quot;parse-names&quot;:false,&quot;dropping-particle&quot;:&quot;&quot;,&quot;non-dropping-particle&quot;:&quot;&quot;}],&quot;container-title&quot;:&quot;Genome biology&quot;,&quot;container-title-short&quot;:&quot;Genome Biol.&quot;,&quot;accessed&quot;:{&quot;date-parts&quot;:[[2026,5,9]]},&quot;DOI&quot;:&quot;10.1186/S13059-020-02015-1&quot;,&quot;ISSN&quot;:&quot;1474-760X&quot;,&quot;PMID&quot;:&quot;32393329&quot;,&quot;URL&quot;:&quot;https://pubmed.ncbi.nlm.nih.gov/32393329/&quot;,&quot;issued&quot;:{&quot;date-parts&quot;:[[2020,5,11]]},&quot;abstract&quot;:&quot;Technological advances have enabled the profiling of multiple molecular layers at single-cell resolution, assaying cells from multiple samples or conditions. Consequently, there is a growing need for computational strategies to analyze data from complex experimental designs that include multiple data modalities and multiple groups of samples. We present Multi-Omics Factor Analysis v2 (MOFA+), a statistical framework for the comprehensive and scalable integration of single-cell multi-modal data. MOFA+ reconstructs a low-dimensional representation of the data using computationally efficient variational inference and supports flexible sparsity constraints, allowing to jointly model variation across multiple sample groups and data modalities.&quot;,&quot;publisher&quot;:&quot;Genome Biol&quot;,&quot;issue&quot;:&quot;1&quot;,&quot;volume&quot;:&quot;21&quot;},&quot;isTemporary&quot;:false}]},{&quot;citationID&quot;:&quot;MENDELEY_CITATION_e5932baa-2f02-4297-a2ba-53aa1111e478&quot;,&quot;properties&quot;:{&quot;noteIndex&quot;:0},&quot;isEdited&quot;:false,&quot;manualOverride&quot;:{&quot;isManuallyOverridden&quot;:false,&quot;citeprocText&quot;:&quot;[12,25]&quot;,&quot;manualOverrideText&quot;:&quot;&quot;},&quot;citationTag&quot;:&quot;MENDELEY_CITATION_v3_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&quot;,&quot;citationItems&quot;:[{&quot;id&quot;:&quot;6ca1f8ce-c85e-3d5c-addb-5a0c176aaf56&quot;,&quot;itemData&quot;:{&quot;type&quot;:&quot;article-journal&quot;,&quot;id&quot;:&quot;6ca1f8ce-c85e-3d5c-addb-5a0c176aaf56&quot;,&quot;title&quot;:&quot;Serum interferon-α levels and IFN type I-stimulated genes score perform equally to assess systemic lupus erythematosus disease activity&quot;,&quot;author&quot;:[{&quot;family&quot;:&quot;Chasset&quot;,&quot;given&quot;:&quot;François&quot;,&quot;parse-names&quot;:false,&quot;dropping-particle&quot;:&quot;&quot;,&quot;non-dropping-particle&quot;:&quot;&quot;},{&quot;family&quot;:&quot;Mathian&quot;,&quot;given&quot;:&quot;Alexis&quot;,&quot;parse-names&quot;:false,&quot;dropping-particle&quot;:&quot;&quot;,&quot;non-dropping-particle&quot;:&quot;&quot;},{&quot;family&quot;:&quot;Dorgham&quot;,&quot;given&quot;:&quot;Karim&quot;,&quot;parse-names&quot;:false,&quot;dropping-particle&quot;:&quot;&quot;,&quot;non-dropping-particle&quot;:&quot;&quot;},{&quot;family&quot;:&quot;Ribi&quot;,&quot;given&quot;:&quot;Camillo&quot;,&quot;parse-names&quot;:false,&quot;dropping-particle&quot;:&quot;&quot;,&quot;non-dropping-particle&quot;:&quot;&quot;},{&quot;family&quot;:&quot;Trendelenburg&quot;,&quot;given&quot;:&quot;Marten&quot;,&quot;parse-names&quot;:false,&quot;dropping-particle&quot;:&quot;&quot;,&quot;non-dropping-particle&quot;:&quot;&quot;},{&quot;family&quot;:&quot;Huynh-Do&quot;,&quot;given&quot;:&quot;Uyen&quot;,&quot;parse-names&quot;:false,&quot;dropping-particle&quot;:&quot;&quot;,&quot;non-dropping-particle&quot;:&quot;&quot;},{&quot;family&quot;:&quot;Roux-Lombard&quot;,&quot;given&quot;:&quot;Pascale&quot;,&quot;parse-names&quot;:false,&quot;dropping-particle&quot;:&quot;&quot;,&quot;non-dropping-particle&quot;:&quot;&quot;},{&quot;family&quot;:&quot;Courvoisier&quot;,&quot;given&quot;:&quot;Delphine Sophie&quot;,&quot;parse-names&quot;:false,&quot;dropping-particle&quot;:&quot;&quot;,&quot;non-dropping-particle&quot;:&quot;&quot;},{&quot;family&quot;:&quot;Amoura&quot;,&quot;given&quot;:&quot;Zahir&quot;,&quot;parse-names&quot;:false,&quot;dropping-particle&quot;:&quot;&quot;,&quot;non-dropping-particle&quot;:&quot;&quot;},{&quot;family&quot;:&quot;Gorochov&quot;,&quot;given&quot;:&quot;Guy&quot;,&quot;parse-names&quot;:false,&quot;dropping-particle&quot;:&quot;&quot;,&quot;non-dropping-particle&quot;:&quot;&quot;}],&quot;container-title&quot;:&quot;Annals of the Rheumatic Diseases&quot;,&quot;container-title-short&quot;:&quot;Ann. Rheum. Dis.&quot;,&quot;DOI&quot;:&quot;10.1136/annrheumdis-2021-221835ï&quot;,&quot;URL&quot;:&quot;https://hal.science/hal-03553438v1&quot;,&quot;abstract&quot;:&quot;Serum interferon-α levels and IFN type I-stimulated genes score perform equally to assess systemic lupus erythematosus disease activity.&quot;},&quot;isTemporary&quot;:false},{&quot;id&quot;:&quot;59ff79b1-ec96-337b-97ba-9a8318ea2576&quot;,&quot;itemData&quot;:{&quot;type&quot;:&quot;article&quot;,&quot;id&quot;:&quot;59ff79b1-ec96-337b-97ba-9a8318ea2576&quot;,&quot;title&quot;:&quot;Optimal Selection of IFN-α-Inducible Genes to Determine Type I Interferon Signature Improves the Diagnosis of Systemic Lupus Erythematosus&quot;,&quot;author&quot;:[{&quot;family&quot;:&quot;Demers-Mathieu&quot;,&quot;given&quot;:&quot;Veronique&quot;,&quot;parse-names&quot;:false,&quot;dropping-particle&quot;:&quot;&quot;,&quot;non-dropping-particle&quot;:&quot;&quot;}],&quot;container-title&quot;:&quot;Biomedicines&quot;,&quot;container-title-short&quot;:&quot;Biomedicines&quot;,&quot;DOI&quot;:&quot;10.3390/biomedicines11030864&quot;,&quot;ISSN&quot;:&quot;22279059&quot;,&quot;issued&quot;:{&quot;date-parts&quot;:[[2023,3,1]]},&quot;abstract&quot;:&quot;Systemic lupus erythematosus (SLE) is a chronic autoimmune disease characterized by the production of autoantibodies specific to self-molecules in the nucleus, cytoplasm, and cell surface. The diversity of serologic and clinical manifestations observed in SLE patients challenges the development of diagnostics and tools for monitoring disease activity. Elevated type I interferon signature (IFN- I) in SLE leads to dysregulation of innate and adaptive immune function, resulting in autoantibodies production. The most common method to determine IFN-I signature is measuring the gene expression of several IFN-α-inducible genes (IFIGs) in blood samples and calculating a score. Optimal selection of IFIGs improves the sensitivity, specificity, and accuracy of the diagnosis of SLE. We describe the mechanisms of the immunopathogenesis of IFN-I signature (IFNα production) and its clinical consequences in SLE. In addition, we explore the association between IFN-I signature, the presence of autoantibodies, disease activity, medical therapy, and ethnicity. We discuss the presence of IFN-I signature in some patients with other autoimmune diseases, including rheumatoid arthritis, systemic and multiple sclerosis, Sjogren’s syndrome, and dermatomyositis. Prospective studies are required to assess the role of IFIG and the best combination of IFIGs to monitor SLE disease activity and drug treatments.&quot;,&quot;publisher&quot;:&quot;MDPI&quot;,&quot;issue&quot;:&quot;3&quot;,&quot;volume&quot;:&quot;11&quot;},&quot;isTemporary&quot;:false}]},{&quot;citationID&quot;:&quot;MENDELEY_CITATION_74a5ef55-7217-4f7c-8ff9-67a4d99d179a&quot;,&quot;properties&quot;:{&quot;noteIndex&quot;:0},&quot;isEdited&quot;:false,&quot;manualOverride&quot;:{&quot;isManuallyOverridden&quot;:false,&quot;citeprocText&quot;:&quot;[22]&quot;,&quot;manualOverrideText&quot;:&quot;&quot;},&quot;citationTag&quot;:&quot;MENDELEY_CITATION_v3_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&quot;,&quot;citationItems&quot;:[{&quot;id&quot;:&quot;07093a47-8075-3b4e-b3cf-5bfc4dc70589&quot;,&quot;itemData&quot;:{&quot;type&quot;:&quot;article-journal&quot;,&quot;id&quot;:&quot;07093a47-8075-3b4e-b3cf-5bfc4dc70589&quot;,&quot;title&quot;:&quot;The baseline interferon signature predicts disease severity over the subsequent 5 years in systemic lupus erythematosus&quot;,&quot;author&quot;:[{&quot;family&quot;:&quot;Mai&quot;,&quot;given&quot;:&quot;Lloyd&quot;,&quot;parse-names&quot;:false,&quot;dropping-particle&quot;:&quot;&quot;,&quot;non-dropping-particle&quot;:&quot;&quot;},{&quot;family&quot;:&quot;Asaduzzaman&quot;,&quot;given&quot;:&quot;Arundip&quot;,&quot;parse-names&quot;:false,&quot;dropping-particle&quot;:&quot;&quot;,&quot;non-dropping-particle&quot;:&quot;&quot;},{&quot;family&quot;:&quot;Noamani&quot;,&quot;given&quot;:&quot;Babak&quot;,&quot;parse-names&quot;:false,&quot;dropping-particle&quot;:&quot;&quot;,&quot;non-dropping-particle&quot;:&quot;&quot;},{&quot;family&quot;:&quot;Fortin&quot;,&quot;given&quot;:&quot;Paul R.&quot;,&quot;parse-names&quot;:false,&quot;dropping-particle&quot;:&quot;&quot;,&quot;non-dropping-particle&quot;:&quot;&quot;},{&quot;family&quot;:&quot;Gladman&quot;,&quot;given&quot;:&quot;Dafna D.&quot;,&quot;parse-names&quot;:false,&quot;dropping-particle&quot;:&quot;&quot;,&quot;non-dropping-particle&quot;:&quot;&quot;},{&quot;family&quot;:&quot;Touma&quot;,&quot;given&quot;:&quot;Zahi&quot;,&quot;parse-names&quot;:false,&quot;dropping-particle&quot;:&quot;&quot;,&quot;non-dropping-particle&quot;:&quot;&quot;},{&quot;family&quot;:&quot;Urowitz&quot;,&quot;given&quot;:&quot;Murray B.&quot;,&quot;parse-names&quot;:false,&quot;dropping-particle&quot;:&quot;&quot;,&quot;non-dropping-particle&quot;:&quot;&quot;},{&quot;family&quot;:&quot;Wither&quot;,&quot;given&quot;:&quot;Joan&quot;,&quot;parse-names&quot;:false,&quot;dropping-particle&quot;:&quot;&quot;,&quot;non-dropping-particle&quot;:&quot;&quot;}],&quot;container-title&quot;:&quot;Arthritis Research and Therapy&quot;,&quot;container-title-short&quot;:&quot;Arthritis Res. Ther.&quot;,&quot;DOI&quot;:&quot;10.1186/s13075-021-02414-0&quot;,&quot;ISSN&quot;:&quot;14786362&quot;,&quot;PMID&quot;:&quot;33451338&quot;,&quot;issued&quot;:{&quot;date-parts&quot;:[[2021,12,1]]},&quot;abstract&quot;:&quot;Objectives: Type I interferons (IFNs) play an important role in the pathophysiology of systemic lupus erythematosus (SLE). While cross-sectional data suggest an association between IFN-induced gene expression and SLE disease activity, interest in this as a biomarker of flare has been tempered by a lack of fluctuation with disease activity in the majority of patients. This led us to question whether IFN-induced gene expression might instead be a biomarker of overall disease severity, with patients with high levels spending more time in an active disease state. Methods: Levels of five interferon-responsive genes were measured in the whole peripheral blood at baseline visit for 137 SLE patients subsequently followed for 5 years. Log transformed values were summed to yield a composite IFN5 score, and the correlation with various disease outcomes examined. Receiver operator characteristic analyses were performed for outcomes of interest. Kaplan-Meier curves were generated to compare the proportion of flare-free patients with high and low IFN5 scores over time. Results: The baseline IFN5 score was positively correlated with the adjusted mean SLE disease activity index-2000, number of flares, adjusted mean prednisone dose, and number of new immunosuppressive medications over the subsequent 5 years. Optimal cut-offs for the IFN5 score were determined using Youden’s index and predicted more severe outcomes with 57–67% accuracy. A high baseline IFN5 level was associated with a significantly increased risk of subsequent flare. Conclusions: Measurement of the type I IFN signature is a useful tool for predicting the subsequent disease activity course.&quot;,&quot;publisher&quot;:&quot;BioMed Central Ltd&quot;,&quot;issue&quot;:&quot;1&quot;,&quot;volume&quot;:&quot;23&quot;},&quot;isTemporary&quot;:false}]},{&quot;citationID&quot;:&quot;MENDELEY_CITATION_9a6d48f8-be7a-4548-a4f3-bca7ac06d6ee&quot;,&quot;properties&quot;:{&quot;noteIndex&quot;:0},&quot;isEdited&quot;:false,&quot;manualOverride&quot;:{&quot;isManuallyOverridden&quot;:false,&quot;citeprocText&quot;:&quot;[22]&quot;,&quot;manualOverrideText&quot;:&quot;&quot;},&quot;citationTag&quot;:&quot;MENDELEY_CITATION_v3_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&quot;,&quot;citationItems&quot;:[{&quot;id&quot;:&quot;07093a47-8075-3b4e-b3cf-5bfc4dc70589&quot;,&quot;itemData&quot;:{&quot;type&quot;:&quot;article-journal&quot;,&quot;id&quot;:&quot;07093a47-8075-3b4e-b3cf-5bfc4dc70589&quot;,&quot;title&quot;:&quot;The baseline interferon signature predicts disease severity over the subsequent 5 years in systemic lupus erythematosus&quot;,&quot;author&quot;:[{&quot;family&quot;:&quot;Mai&quot;,&quot;given&quot;:&quot;Lloyd&quot;,&quot;parse-names&quot;:false,&quot;dropping-particle&quot;:&quot;&quot;,&quot;non-dropping-particle&quot;:&quot;&quot;},{&quot;family&quot;:&quot;Asaduzzaman&quot;,&quot;given&quot;:&quot;Arundip&quot;,&quot;parse-names&quot;:false,&quot;dropping-particle&quot;:&quot;&quot;,&quot;non-dropping-particle&quot;:&quot;&quot;},{&quot;family&quot;:&quot;Noamani&quot;,&quot;given&quot;:&quot;Babak&quot;,&quot;parse-names&quot;:false,&quot;dropping-particle&quot;:&quot;&quot;,&quot;non-dropping-particle&quot;:&quot;&quot;},{&quot;family&quot;:&quot;Fortin&quot;,&quot;given&quot;:&quot;Paul R.&quot;,&quot;parse-names&quot;:false,&quot;dropping-particle&quot;:&quot;&quot;,&quot;non-dropping-particle&quot;:&quot;&quot;},{&quot;family&quot;:&quot;Gladman&quot;,&quot;given&quot;:&quot;Dafna D.&quot;,&quot;parse-names&quot;:false,&quot;dropping-particle&quot;:&quot;&quot;,&quot;non-dropping-particle&quot;:&quot;&quot;},{&quot;family&quot;:&quot;Touma&quot;,&quot;given&quot;:&quot;Zahi&quot;,&quot;parse-names&quot;:false,&quot;dropping-particle&quot;:&quot;&quot;,&quot;non-dropping-particle&quot;:&quot;&quot;},{&quot;family&quot;:&quot;Urowitz&quot;,&quot;given&quot;:&quot;Murray B.&quot;,&quot;parse-names&quot;:false,&quot;dropping-particle&quot;:&quot;&quot;,&quot;non-dropping-particle&quot;:&quot;&quot;},{&quot;family&quot;:&quot;Wither&quot;,&quot;given&quot;:&quot;Joan&quot;,&quot;parse-names&quot;:false,&quot;dropping-particle&quot;:&quot;&quot;,&quot;non-dropping-particle&quot;:&quot;&quot;}],&quot;container-title&quot;:&quot;Arthritis Research and Therapy&quot;,&quot;container-title-short&quot;:&quot;Arthritis Res. Ther.&quot;,&quot;DOI&quot;:&quot;10.1186/s13075-021-02414-0&quot;,&quot;ISSN&quot;:&quot;14786362&quot;,&quot;PMID&quot;:&quot;33451338&quot;,&quot;issued&quot;:{&quot;date-parts&quot;:[[2021,12,1]]},&quot;abstract&quot;:&quot;Objectives: Type I interferons (IFNs) play an important role in the pathophysiology of systemic lupus erythematosus (SLE). While cross-sectional data suggest an association between IFN-induced gene expression and SLE disease activity, interest in this as a biomarker of flare has been tempered by a lack of fluctuation with disease activity in the majority of patients. This led us to question whether IFN-induced gene expression might instead be a biomarker of overall disease severity, with patients with high levels spending more time in an active disease state. Methods: Levels of five interferon-responsive genes were measured in the whole peripheral blood at baseline visit for 137 SLE patients subsequently followed for 5 years. Log transformed values were summed to yield a composite IFN5 score, and the correlation with various disease outcomes examined. Receiver operator characteristic analyses were performed for outcomes of interest. Kaplan-Meier curves were generated to compare the proportion of flare-free patients with high and low IFN5 scores over time. Results: The baseline IFN5 score was positively correlated with the adjusted mean SLE disease activity index-2000, number of flares, adjusted mean prednisone dose, and number of new immunosuppressive medications over the subsequent 5 years. Optimal cut-offs for the IFN5 score were determined using Youden’s index and predicted more severe outcomes with 57–67% accuracy. A high baseline IFN5 level was associated with a significantly increased risk of subsequent flare. Conclusions: Measurement of the type I IFN signature is a useful tool for predicting the subsequent disease activity course.&quot;,&quot;publisher&quot;:&quot;BioMed Central Ltd&quot;,&quot;issue&quot;:&quot;1&quot;,&quot;volume&quot;:&quot;23&quot;},&quot;isTemporary&quot;:false}]},{&quot;citationID&quot;:&quot;MENDELEY_CITATION_d0d6c420-9063-468e-aecd-453aba3ad3c2&quot;,&quot;properties&quot;:{&quot;noteIndex&quot;:0},&quot;isEdited&quot;:false,&quot;manualOverride&quot;:{&quot;isManuallyOverridden&quot;:false,&quot;citeprocText&quot;:&quot;[19]&quot;,&quot;manualOverrideText&quot;:&quot;&quot;},&quot;citationTag&quot;:&quot;MENDELEY_CITATION_v3_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&quot;,&quot;citationItems&quot;:[{&quot;id&quot;:&quot;8dfcfd34-adef-3170-98df-cb84025b1d31&quot;,&quot;itemData&quot;:{&quot;type&quot;:&quot;article-journal&quot;,&quot;id&quot;:&quot;8dfcfd34-adef-3170-98df-cb84025b1d31&quot;,&quot;title&quot;:&quot;Personalized Immunomonitoring Uncovers Molecular Networks that Stratify Lupus Patients&quot;,&quot;author&quot;:[{&quot;family&quot;:&quot;Banchereau&quot;,&quot;given&quot;:&quot;Romain&quot;,&quot;parse-names&quot;:false,&quot;dropping-particle&quot;:&quot;&quot;,&quot;non-dropping-particle&quot;:&quot;&quot;},{&quot;family&quot;:&quot;Hong&quot;,&quot;given&quot;:&quot;Seunghee&quot;,&quot;parse-names&quot;:false,&quot;dropping-particle&quot;:&quot;&quot;,&quot;non-dropping-particle&quot;:&quot;&quot;},{&quot;family&quot;:&quot;Cantarel&quot;,&quot;given&quot;:&quot;Brandi&quot;,&quot;parse-names&quot;:false,&quot;dropping-particle&quot;:&quot;&quot;,&quot;non-dropping-particle&quot;:&quot;&quot;},{&quot;family&quot;:&quot;Baldwin&quot;,&quot;given&quot;:&quot;Nicole&quot;,&quot;parse-names&quot;:false,&quot;dropping-particle&quot;:&quot;&quot;,&quot;non-dropping-particle&quot;:&quot;&quot;},{&quot;family&quot;:&quot;Baisch&quot;,&quot;given&quot;:&quot;Jeanine&quot;,&quot;parse-names&quot;:false,&quot;dropping-particle&quot;:&quot;&quot;,&quot;non-dropping-particle&quot;:&quot;&quot;},{&quot;family&quot;:&quot;Edens&quot;,&quot;given&quot;:&quot;Michelle&quot;,&quot;parse-names&quot;:false,&quot;dropping-particle&quot;:&quot;&quot;,&quot;non-dropping-particle&quot;:&quot;&quot;},{&quot;family&quot;:&quot;Cepika&quot;,&quot;given&quot;:&quot;Alma Martina&quot;,&quot;parse-names&quot;:false,&quot;dropping-particle&quot;:&quot;&quot;,&quot;non-dropping-particle&quot;:&quot;&quot;},{&quot;family&quot;:&quot;Acs&quot;,&quot;given&quot;:&quot;Peter&quot;,&quot;parse-names&quot;:false,&quot;dropping-particle&quot;:&quot;&quot;,&quot;non-dropping-particle&quot;:&quot;&quot;},{&quot;family&quot;:&quot;Turner&quot;,&quot;given&quot;:&quot;Jacob&quot;,&quot;parse-names&quot;:false,&quot;dropping-particle&quot;:&quot;&quot;,&quot;non-dropping-particle&quot;:&quot;&quot;},{&quot;family&quot;:&quot;Anguiano&quot;,&quot;given&quot;:&quot;Esperanza&quot;,&quot;parse-names&quot;:false,&quot;dropping-particle&quot;:&quot;&quot;,&quot;non-dropping-particle&quot;:&quot;&quot;},{&quot;family&quot;:&quot;Vinod&quot;,&quot;given&quot;:&quot;Parvathi&quot;,&quot;parse-names&quot;:false,&quot;dropping-particle&quot;:&quot;&quot;,&quot;non-dropping-particle&quot;:&quot;&quot;},{&quot;family&quot;:&quot;Kahn&quot;,&quot;given&quot;:&quot;Shaheen&quot;,&quot;parse-names&quot;:false,&quot;dropping-particle&quot;:&quot;&quot;,&quot;non-dropping-particle&quot;:&quot;&quot;},{&quot;family&quot;:&quot;Obermoser&quot;,&quot;given&quot;:&quot;Gerlinde&quot;,&quot;parse-names&quot;:false,&quot;dropping-particle&quot;:&quot;&quot;,&quot;non-dropping-particle&quot;:&quot;&quot;},{&quot;family&quot;:&quot;Blankenship&quot;,&quot;given&quot;:&quot;Derek&quot;,&quot;parse-names&quot;:false,&quot;dropping-particle&quot;:&quot;&quot;,&quot;non-dropping-particle&quot;:&quot;&quot;},{&quot;family&quot;:&quot;Wakeland&quot;,&quot;given&quot;:&quot;Edward&quot;,&quot;parse-names&quot;:false,&quot;dropping-particle&quot;:&quot;&quot;,&quot;non-dropping-particle&quot;:&quot;&quot;},{&quot;family&quot;:&quot;Nassi&quot;,&quot;given&quot;:&quot;Lorien&quot;,&quot;parse-names&quot;:false,&quot;dropping-particle&quot;:&quot;&quot;,&quot;non-dropping-particle&quot;:&quot;&quot;},{&quot;family&quot;:&quot;Gotte&quot;,&quot;given&quot;:&quot;Alisa&quot;,&quot;parse-names&quot;:false,&quot;dropping-particle&quot;:&quot;&quot;,&quot;non-dropping-particle&quot;:&quot;&quot;},{&quot;family&quot;:&quot;Punaro&quot;,&quot;given&quot;:&quot;Marilynn&quot;,&quot;parse-names&quot;:false,&quot;dropping-particle&quot;:&quot;&quot;,&quot;non-dropping-particle&quot;:&quot;&quot;},{&quot;family&quot;:&quot;Liu&quot;,&quot;given&quot;:&quot;Yong Jun&quot;,&quot;parse-names&quot;:false,&quot;dropping-particle&quot;:&quot;&quot;,&quot;non-dropping-particle&quot;:&quot;&quot;},{&quot;family&quot;:&quot;Banchereau&quot;,&quot;given&quot;:&quot;Jacques&quot;,&quot;parse-names&quot;:false,&quot;dropping-particle&quot;:&quot;&quot;,&quot;non-dropping-particle&quot;:&quot;&quot;},{&quot;family&quot;:&quot;Rossello-Urgell&quot;,&quot;given&quot;:&quot;Jose&quot;,&quot;parse-names&quot;:false,&quot;dropping-particle&quot;:&quot;&quot;,&quot;non-dropping-particle&quot;:&quot;&quot;},{&quot;family&quot;:&quot;Wright&quot;,&quot;given&quot;:&quot;Tracey&quot;,&quot;parse-names&quot;:false,&quot;dropping-particle&quot;:&quot;&quot;,&quot;non-dropping-particle&quot;:&quot;&quot;},{&quot;family&quot;:&quot;Pascual&quot;,&quot;given&quot;:&quot;Virginia&quot;,&quot;parse-names&quot;:false,&quot;dropping-particle&quot;:&quot;&quot;,&quot;non-dropping-particle&quot;:&quot;&quot;}],&quot;container-title&quot;:&quot;Cell&quot;,&quot;container-title-short&quot;:&quot;Cell&quot;,&quot;accessed&quot;:{&quot;date-parts&quot;:[[2026,3,29]]},&quot;DOI&quot;:&quot;10.1016/j.cell.2016.03.008&quot;,&quot;ISSN&quot;:&quot;10974172&quot;,&quot;PMID&quot;:&quot;27040498&quot;,&quot;URL&quot;:&quot;https://pubmed.ncbi.nlm.nih.gov/27040498/&quot;,&quot;issued&quot;:{&quot;date-parts&quot;:[[2016,4,21]]},&quot;page&quot;:&quot;551-565&quot;,&quot;abstract&quot;:&quot;Summary Systemic lupus erythematosus (SLE) is an autoimmune disease characterized by loss of tolerance to nucleic acids and highly diverse clinical manifestations. To assess its molecular heterogeneity, we longitudinally profiled the blood transcriptome of 158 pediatric patients. Using mixed models accounting for repeated measurements, demographics, treatment, disease activity (DA), and nephritis class, we confirmed a prevalent IFN signature and identified a plasmablast signature as the most robust biomarker of DA. We detected gradual enrichment of neutrophil transcripts during progression to active nephritis and distinct signatures in response to treatment in different nephritis subclasses. Importantly, personalized immunomonitoring uncovered individual correlates of disease activity that enabled patient stratification into seven groups, supported by patient genotypes. Our study uncovers the molecular heterogeneity of SLE and provides an explanation for the failure of clinical trials. This approach may improve trial design and implementation of tailored therapies in genetically and clinically complex autoimmune diseases.&quot;,&quot;publisher&quot;:&quot;Cell Press&quot;,&quot;issue&quot;:&quot;3&quot;,&quot;volume&quot;:&quot;165&quot;},&quot;isTemporary&quot;:false}]},{&quot;citationID&quot;:&quot;MENDELEY_CITATION_c788a045-0c43-45a8-bb97-a44a5624d8bc&quot;,&quot;properties&quot;:{&quot;noteIndex&quot;:0},&quot;isEdited&quot;:false,&quot;manualOverride&quot;:{&quot;isManuallyOverridden&quot;:false,&quot;citeprocText&quot;:&quot;[25]&quot;,&quot;manualOverrideText&quot;:&quot;&quot;},&quot;citationTag&quot;:&quot;MENDELEY_CITATION_v3_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&quot;,&quot;citationItems&quot;:[{&quot;id&quot;:&quot;6ca1f8ce-c85e-3d5c-addb-5a0c176aaf56&quot;,&quot;itemData&quot;:{&quot;type&quot;:&quot;article-journal&quot;,&quot;id&quot;:&quot;6ca1f8ce-c85e-3d5c-addb-5a0c176aaf56&quot;,&quot;title&quot;:&quot;Serum interferon-α levels and IFN type I-stimulated genes score perform equally to assess systemic lupus erythematosus disease activity&quot;,&quot;author&quot;:[{&quot;family&quot;:&quot;Chasset&quot;,&quot;given&quot;:&quot;François&quot;,&quot;parse-names&quot;:false,&quot;dropping-particle&quot;:&quot;&quot;,&quot;non-dropping-particle&quot;:&quot;&quot;},{&quot;family&quot;:&quot;Mathian&quot;,&quot;given&quot;:&quot;Alexis&quot;,&quot;parse-names&quot;:false,&quot;dropping-particle&quot;:&quot;&quot;,&quot;non-dropping-particle&quot;:&quot;&quot;},{&quot;family&quot;:&quot;Dorgham&quot;,&quot;given&quot;:&quot;Karim&quot;,&quot;parse-names&quot;:false,&quot;dropping-particle&quot;:&quot;&quot;,&quot;non-dropping-particle&quot;:&quot;&quot;},{&quot;family&quot;:&quot;Ribi&quot;,&quot;given&quot;:&quot;Camillo&quot;,&quot;parse-names&quot;:false,&quot;dropping-particle&quot;:&quot;&quot;,&quot;non-dropping-particle&quot;:&quot;&quot;},{&quot;family&quot;:&quot;Trendelenburg&quot;,&quot;given&quot;:&quot;Marten&quot;,&quot;parse-names&quot;:false,&quot;dropping-particle&quot;:&quot;&quot;,&quot;non-dropping-particle&quot;:&quot;&quot;},{&quot;family&quot;:&quot;Huynh-Do&quot;,&quot;given&quot;:&quot;Uyen&quot;,&quot;parse-names&quot;:false,&quot;dropping-particle&quot;:&quot;&quot;,&quot;non-dropping-particle&quot;:&quot;&quot;},{&quot;family&quot;:&quot;Roux-Lombard&quot;,&quot;given&quot;:&quot;Pascale&quot;,&quot;parse-names&quot;:false,&quot;dropping-particle&quot;:&quot;&quot;,&quot;non-dropping-particle&quot;:&quot;&quot;},{&quot;family&quot;:&quot;Courvoisier&quot;,&quot;given&quot;:&quot;Delphine Sophie&quot;,&quot;parse-names&quot;:false,&quot;dropping-particle&quot;:&quot;&quot;,&quot;non-dropping-particle&quot;:&quot;&quot;},{&quot;family&quot;:&quot;Amoura&quot;,&quot;given&quot;:&quot;Zahir&quot;,&quot;parse-names&quot;:false,&quot;dropping-particle&quot;:&quot;&quot;,&quot;non-dropping-particle&quot;:&quot;&quot;},{&quot;family&quot;:&quot;Gorochov&quot;,&quot;given&quot;:&quot;Guy&quot;,&quot;parse-names&quot;:false,&quot;dropping-particle&quot;:&quot;&quot;,&quot;non-dropping-particle&quot;:&quot;&quot;}],&quot;container-title&quot;:&quot;Annals of the Rheumatic Diseases&quot;,&quot;container-title-short&quot;:&quot;Ann. Rheum. Dis.&quot;,&quot;DOI&quot;:&quot;10.1136/annrheumdis-2021-221835ï&quot;,&quot;URL&quot;:&quot;https://hal.science/hal-03553438v1&quot;,&quot;abstract&quot;:&quot;Serum interferon-α levels and IFN type I-stimulated genes score perform equally to assess systemic lupus erythematosus disease activity.&quot;},&quot;isTemporary&quot;:false}]},{&quot;citationID&quot;:&quot;MENDELEY_CITATION_1e1c9bfd-df16-441c-83ea-00a9050912d7&quot;,&quot;properties&quot;:{&quot;noteIndex&quot;:0},&quot;isEdited&quot;:false,&quot;manualOverride&quot;:{&quot;isManuallyOverridden&quot;:false,&quot;citeprocText&quot;:&quot;[37]&quot;,&quot;manualOverrideText&quot;:&quot;&quot;},&quot;citationTag&quot;:&quot;MENDELEY_CITATION_v3_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&quot;,&quot;citationItems&quot;:[{&quot;id&quot;:&quot;464ec931-1eb0-3b6a-8c07-eab999376165&quot;,&quot;itemData&quot;:{&quot;type&quot;:&quot;article&quot;,&quot;id&quot;:&quot;464ec931-1eb0-3b6a-8c07-eab999376165&quot;,&quot;title&quot;:&quot;A holistic approach to understanding immune-mediated inflammatory diseases: bioinformatic tools to integrate omics data&quot;,&quot;author&quot;:[{&quot;family&quot;:&quot;Borrego-Yaniz&quot;,&quot;given&quot;:&quot;Gonzalo&quot;,&quot;parse-names&quot;:false,&quot;dropping-particle&quot;:&quot;&quot;,&quot;non-dropping-particle&quot;:&quot;&quot;},{&quot;family&quot;:&quot;Terrón-Camero&quot;,&quot;given&quot;:&quot;Laura C.&quot;,&quot;parse-names&quot;:false,&quot;dropping-particle&quot;:&quot;&quot;,&quot;non-dropping-particle&quot;:&quot;&quot;},{&quot;family&quot;:&quot;Kerick&quot;,&quot;given&quot;:&quot;Martin&quot;,&quot;parse-names&quot;:false,&quot;dropping-particle&quot;:&quot;&quot;,&quot;non-dropping-particle&quot;:&quot;&quot;},{&quot;family&quot;:&quot;Andrés-León&quot;,&quot;given&quot;:&quot;Eduardo&quot;,&quot;parse-names&quot;:false,&quot;dropping-particle&quot;:&quot;&quot;,&quot;non-dropping-particle&quot;:&quot;&quot;},{&quot;family&quot;:&quot;Martin&quot;,&quot;given&quot;:&quot;Javier&quot;,&quot;parse-names&quot;:false,&quot;dropping-particle&quot;:&quot;&quot;,&quot;non-dropping-particle&quot;:&quot;&quot;}],&quot;container-title&quot;:&quot;Computational and Structural Biotechnology Journal&quot;,&quot;container-title-short&quot;:&quot;Comput. Struct. Biotechnol. J.&quot;,&quot;DOI&quot;:&quot;10.1016/j.csbj.2023.11.045&quot;,&quot;ISSN&quot;:&quot;20010370&quot;,&quot;issued&quot;:{&quot;date-parts&quot;:[[2024,12,1]]},&quot;page&quot;:&quot;96-105&quot;,&quot;abstract&quot;:&quot;Immune-mediated inflammatory diseases (IMIDs) comprise a complex group of pathologies with diverse etiologies and clinical manifestations. In particular, omics technologies have remodeled our understanding of a set of IMIDs such as systemic autoimmune rheumatic diseases (SARDs), generating vast amounts of data on the genome, epigenome, transcriptome, proteome and metabolome of immune cells and SARDs patients. However, the integration of omics data to advance our knowledge of these diseases is challenging, requiring advanced bioinformatic tools. This review explores different multi-omic integrative tools for refining previous research, exploring the biological relevance of datasets within different contexts, or translating omics results into clinical advances. We also discuss relevant multi-omic studies in SARDs research and the potential of omics data from available repositories to complement ongoing investigation in this field.&quot;,&quot;publisher&quot;:&quot;Elsevier B.V.&quot;,&quot;volume&quot;:&quot;23&quot;},&quot;isTemporary&quot;:false}]}]"/>
    <we:property name="MENDELEY_CITATIONS_LOCALE_CODE" value="&quot;en-US&quot;"/>
    <we:property name="MENDELEY_CITATIONS_STYLE" value="{&quot;id&quot;:&quot;https://www.zotero.org/styles/diagnostics&quot;,&quot;title&quot;:&quot;Diagnostics&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KzjpCtlj5csb+1F/RF7g/MnJQg==">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</go:docsCustomData>
</go:gDocsCustomXmlDataStorage>
</file>

<file path=customXml/itemProps1.xml><?xml version="1.0" encoding="utf-8"?>
<ds:datastoreItem xmlns:ds="http://schemas.openxmlformats.org/officeDocument/2006/customXml" ds:itemID="{E7565F68-2630-A246-8123-8A2EBAF8E51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84</Pages>
  <Words>29706</Words>
  <Characters>163383</Characters>
  <Application>Microsoft Office Word</Application>
  <DocSecurity>0</DocSecurity>
  <Lines>1361</Lines>
  <Paragraphs>385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99</cp:revision>
  <dcterms:created xsi:type="dcterms:W3CDTF">2026-05-08T13:49:00Z</dcterms:created>
  <dcterms:modified xsi:type="dcterms:W3CDTF">2026-05-29T18:08:00Z</dcterms:modified>
</cp:coreProperties>
</file>