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after="0"/>
        <w:jc w:val="center"/>
      </w:pPr>
      <w:r>
        <w:rPr>
          <w:rFonts w:ascii="Arial" w:hAnsi="Arial"/>
          <w:b/>
          <w:color w:val="15803D"/>
          <w:sz w:val="56"/>
        </w:rPr>
        <w:t>🌱  BiocharHub</w:t>
      </w:r>
    </w:p>
    <w:p>
      <w:pPr>
        <w:spacing w:before="80" w:after="120"/>
        <w:jc w:val="center"/>
      </w:pPr>
      <w:r>
        <w:rPr>
          <w:rFonts w:ascii="Arial" w:hAnsi="Arial"/>
          <w:color w:val="475569"/>
          <w:sz w:val="22"/>
        </w:rPr>
        <w:t>AI-Driven Biochar CO₂ Adsorption Intelligence Platform</w:t>
      </w:r>
    </w:p>
    <w:p>
      <w:pPr>
        <w:spacing w:before="0" w:after="320"/>
        <w:jc w:val="center"/>
      </w:pPr>
      <w:r>
        <w:rPr>
          <w:rFonts w:ascii="Arial" w:hAnsi="Arial"/>
          <w:b/>
          <w:color w:val="16A34A"/>
          <w:sz w:val="19"/>
        </w:rPr>
        <w:t>Biochar Informatics · Data Mining · ML-Enhanced Research</w:t>
      </w:r>
    </w:p>
    <w:p>
      <w:pPr>
        <w:spacing w:before="40" w:after="160"/>
        <w:pBdr>
          <w:bottom w:val="single" w:sz="6" w:space="1" w:color="15803D"/>
        </w:pBdr>
      </w:pPr>
    </w:p>
    <w:p>
      <w:pPr>
        <w:spacing w:before="400" w:after="120"/>
        <w:jc w:val="center"/>
      </w:pPr>
      <w:r>
        <w:rPr>
          <w:rFonts w:ascii="Arial" w:hAnsi="Arial"/>
          <w:b/>
          <w:color w:val="0F172A"/>
          <w:sz w:val="44"/>
        </w:rPr>
        <w:t>Future Development Plan &amp; Research Roadmap</w:t>
      </w:r>
    </w:p>
    <w:p>
      <w:pPr>
        <w:spacing w:before="80" w:after="640"/>
        <w:jc w:val="center"/>
      </w:pPr>
      <w:r>
        <w:rPr>
          <w:rFonts w:ascii="Arial" w:hAnsi="Arial"/>
          <w:i/>
          <w:color w:val="475569"/>
          <w:sz w:val="22"/>
        </w:rPr>
        <w:t>AI-Driven Database Platform for Biochar Informatics &amp; Data Mining</w:t>
      </w:r>
    </w:p>
    <w:tbl>
      <w:tblPr>
        <w:tblStyle w:val="TableGrid"/>
        <w:tblW w:type="auto" w:w="0"/>
        <w:tblLook w:firstColumn="1" w:firstRow="1" w:lastColumn="0" w:lastRow="0" w:noHBand="0" w:noVBand="1" w:val="04A0"/>
      </w:tblPr>
      <w:tblGrid>
        <w:gridCol w:w="4536"/>
        <w:gridCol w:w="4536"/>
      </w:tblGrid>
      <w:tr>
        <w:tc>
          <w:tcPr>
            <w:tcW w:type="dxa" w:w="2268"/>
            <w:shd w:val="clear" w:color="auto" w:fill="F0FDF4"/>
            <w:tcBorders>
              <w:top w:val="single" w:sz="4" w:space="0" w:color="CCCCCC"/>
              <w:left w:val="single" w:sz="4" w:space="0" w:color="CCCCCC"/>
              <w:bottom w:val="single" w:sz="4" w:space="0" w:color="CCCCCC"/>
              <w:right w:val="single" w:sz="4" w:space="0" w:color="CCCCCC"/>
            </w:tcBorders>
          </w:tcPr>
          <w:p>
            <w:r>
              <w:rPr>
                <w:rFonts w:ascii="Arial" w:hAnsi="Arial"/>
                <w:b/>
                <w:color w:val="15803D"/>
                <w:sz w:val="19"/>
              </w:rPr>
              <w:t>Document Type</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color w:val="475569"/>
                <w:sz w:val="19"/>
              </w:rPr>
              <w:t>Research Development Plan &amp; Strategic Roadmap</w:t>
            </w:r>
          </w:p>
        </w:tc>
      </w:tr>
      <w:tr>
        <w:tc>
          <w:tcPr>
            <w:tcW w:type="dxa" w:w="2268"/>
            <w:shd w:val="clear" w:color="auto" w:fill="F0FDF4"/>
            <w:tcBorders>
              <w:top w:val="single" w:sz="4" w:space="0" w:color="CCCCCC"/>
              <w:left w:val="single" w:sz="4" w:space="0" w:color="CCCCCC"/>
              <w:bottom w:val="single" w:sz="4" w:space="0" w:color="CCCCCC"/>
              <w:right w:val="single" w:sz="4" w:space="0" w:color="CCCCCC"/>
            </w:tcBorders>
          </w:tcPr>
          <w:p>
            <w:r>
              <w:rPr>
                <w:rFonts w:ascii="Arial" w:hAnsi="Arial"/>
                <w:b/>
                <w:color w:val="15803D"/>
                <w:sz w:val="19"/>
              </w:rPr>
              <w:t>Version</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color w:val="475569"/>
                <w:sz w:val="19"/>
              </w:rPr>
              <w:t>2026 Edition</w:t>
            </w:r>
          </w:p>
        </w:tc>
      </w:tr>
      <w:tr>
        <w:tc>
          <w:tcPr>
            <w:tcW w:type="dxa" w:w="2268"/>
            <w:shd w:val="clear" w:color="auto" w:fill="F0FDF4"/>
            <w:tcBorders>
              <w:top w:val="single" w:sz="4" w:space="0" w:color="CCCCCC"/>
              <w:left w:val="single" w:sz="4" w:space="0" w:color="CCCCCC"/>
              <w:bottom w:val="single" w:sz="4" w:space="0" w:color="CCCCCC"/>
              <w:right w:val="single" w:sz="4" w:space="0" w:color="CCCCCC"/>
            </w:tcBorders>
          </w:tcPr>
          <w:p>
            <w:r>
              <w:rPr>
                <w:rFonts w:ascii="Arial" w:hAnsi="Arial"/>
                <w:b/>
                <w:color w:val="15803D"/>
                <w:sz w:val="19"/>
              </w:rPr>
              <w:t>Language</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color w:val="475569"/>
                <w:sz w:val="19"/>
              </w:rPr>
              <w:t>English (EN)</w:t>
            </w:r>
          </w:p>
        </w:tc>
      </w:tr>
      <w:tr>
        <w:tc>
          <w:tcPr>
            <w:tcW w:type="dxa" w:w="2268"/>
            <w:shd w:val="clear" w:color="auto" w:fill="F0FDF4"/>
            <w:tcBorders>
              <w:top w:val="single" w:sz="4" w:space="0" w:color="CCCCCC"/>
              <w:left w:val="single" w:sz="4" w:space="0" w:color="CCCCCC"/>
              <w:bottom w:val="single" w:sz="4" w:space="0" w:color="CCCCCC"/>
              <w:right w:val="single" w:sz="4" w:space="0" w:color="CCCCCC"/>
            </w:tcBorders>
          </w:tcPr>
          <w:p>
            <w:r>
              <w:rPr>
                <w:rFonts w:ascii="Arial" w:hAnsi="Arial"/>
                <w:b/>
                <w:color w:val="15803D"/>
                <w:sz w:val="19"/>
              </w:rPr>
              <w:t>Platform</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color w:val="475569"/>
                <w:sz w:val="19"/>
              </w:rPr>
              <w:t>BiocharHub v1.7  ·  Biochar Informatics Platform</w:t>
            </w:r>
          </w:p>
        </w:tc>
      </w:tr>
      <w:tr>
        <w:tc>
          <w:tcPr>
            <w:tcW w:type="dxa" w:w="2268"/>
            <w:shd w:val="clear" w:color="auto" w:fill="F0FDF4"/>
            <w:tcBorders>
              <w:top w:val="single" w:sz="4" w:space="0" w:color="CCCCCC"/>
              <w:left w:val="single" w:sz="4" w:space="0" w:color="CCCCCC"/>
              <w:bottom w:val="single" w:sz="4" w:space="0" w:color="CCCCCC"/>
              <w:right w:val="single" w:sz="4" w:space="0" w:color="CCCCCC"/>
            </w:tcBorders>
          </w:tcPr>
          <w:p>
            <w:r>
              <w:rPr>
                <w:rFonts w:ascii="Arial" w:hAnsi="Arial"/>
                <w:b/>
                <w:color w:val="15803D"/>
                <w:sz w:val="19"/>
              </w:rPr>
              <w:t>Prepared for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r>
              <w:rPr>
                <w:rFonts w:ascii="Arial" w:hAnsi="Arial"/>
                <w:color w:val="475569"/>
                <w:sz w:val="19"/>
              </w:rPr>
              <w:t>MS Thesis Research  ·  AI-Driven Biochar Database</w:t>
            </w:r>
          </w:p>
        </w:tc>
      </w:tr>
    </w:tbl>
    <w:p/>
    <w:p>
      <w:r>
        <w:br w:type="page"/>
      </w:r>
    </w:p>
    <w:p>
      <w:pPr>
        <w:pStyle w:val="Heading1"/>
      </w:pPr>
      <w:r>
        <w:t>Executive Summary</w:t>
      </w:r>
    </w:p>
    <w:p>
      <w:pPr>
        <w:spacing w:before="40" w:after="160"/>
        <w:pBdr>
          <w:bottom w:val="single" w:sz="6" w:space="1" w:color="15803D"/>
        </w:pBdr>
      </w:pPr>
    </w:p>
    <w:p>
      <w:pPr>
        <w:spacing w:before="40" w:after="120"/>
      </w:pPr>
      <w:r>
        <w:rPr>
          <w:rFonts w:ascii="Arial" w:hAnsi="Arial"/>
          <w:b w:val="0"/>
          <w:i w:val="0"/>
          <w:color w:val="475569"/>
          <w:sz w:val="21"/>
        </w:rPr>
        <w:t>BiocharHub v1.7 has established a functional open-access intelligence platform aggregating 1,396 peer-reviewed biochar CO₂ adsorption records with three machine-learning prediction tools. This document outlines a strategic three-phase development roadmap to evolve BiocharHub into a comprehensive biochar informatics and data-mining ecosystem — enabling automated literature mining, multi-property prediction, collaborative research networks, and AI-guided experiment design for the global biochar research community.</w:t>
      </w:r>
    </w:p>
    <w:p>
      <w:pPr>
        <w:spacing w:before="40" w:after="120"/>
      </w:pPr>
      <w:r>
        <w:rPr>
          <w:rFonts w:ascii="Arial" w:hAnsi="Arial"/>
          <w:b/>
          <w:i w:val="0"/>
          <w:color w:val="475569"/>
          <w:sz w:val="21"/>
        </w:rPr>
        <w:t>The roadmap is structured across three horizons:</w:t>
      </w:r>
    </w:p>
    <w:tbl>
      <w:tblPr>
        <w:tblStyle w:val="TableGrid"/>
        <w:tblW w:type="auto" w:w="0"/>
        <w:tblLook w:firstColumn="1" w:firstRow="1" w:lastColumn="0" w:lastRow="0" w:noHBand="0" w:noVBand="1" w:val="04A0"/>
      </w:tblPr>
      <w:tblGrid>
        <w:gridCol w:w="2268"/>
        <w:gridCol w:w="2268"/>
        <w:gridCol w:w="2268"/>
        <w:gridCol w:w="2268"/>
      </w:tblGrid>
      <w:tr>
        <w:tc>
          <w:tcPr>
            <w:tcW w:type="dxa" w:w="1134"/>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Phase</w:t>
            </w:r>
          </w:p>
        </w:tc>
        <w:tc>
          <w:tcPr>
            <w:tcW w:type="dxa" w:w="1701"/>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Horizon</w:t>
            </w:r>
          </w:p>
        </w:tc>
        <w:tc>
          <w:tcPr>
            <w:tcW w:type="dxa" w:w="5102"/>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Focus</w:t>
            </w:r>
          </w:p>
        </w:tc>
        <w:tc>
          <w:tcPr>
            <w:tcW w:type="dxa" w:w="1134"/>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Timeline</w:t>
            </w:r>
          </w:p>
        </w:tc>
      </w:tr>
      <w:tr>
        <w:tc>
          <w:tcPr>
            <w:tcW w:type="dxa" w:w="113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Phase 1</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Near-Term</w:t>
            </w:r>
          </w:p>
        </w:tc>
        <w:tc>
          <w:tcPr>
            <w:tcW w:type="dxa" w:w="510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Platform enhancement, API, user submissions</w:t>
            </w:r>
          </w:p>
        </w:tc>
        <w:tc>
          <w:tcPr>
            <w:tcW w:type="dxa" w:w="113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6–12 months</w:t>
            </w:r>
          </w:p>
        </w:tc>
      </w:tr>
      <w:tr>
        <w:tc>
          <w:tcPr>
            <w:tcW w:type="dxa" w:w="113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Phase 2</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Mid-Term</w:t>
            </w:r>
          </w:p>
        </w:tc>
        <w:tc>
          <w:tcPr>
            <w:tcW w:type="dxa" w:w="5102"/>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Biochar informatics engine, data mining pipeline</w:t>
            </w:r>
          </w:p>
        </w:tc>
        <w:tc>
          <w:tcPr>
            <w:tcW w:type="dxa" w:w="113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12–24 months</w:t>
            </w:r>
          </w:p>
        </w:tc>
      </w:tr>
      <w:tr>
        <w:tc>
          <w:tcPr>
            <w:tcW w:type="dxa" w:w="113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Phase 3</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Long-Term</w:t>
            </w:r>
          </w:p>
        </w:tc>
        <w:tc>
          <w:tcPr>
            <w:tcW w:type="dxa" w:w="510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Global collaborative network, publication-linked data</w:t>
            </w:r>
          </w:p>
        </w:tc>
        <w:tc>
          <w:tcPr>
            <w:tcW w:type="dxa" w:w="113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24–36 months</w:t>
            </w:r>
          </w:p>
        </w:tc>
      </w:tr>
    </w:tbl>
    <w:p>
      <w:pPr>
        <w:spacing w:after="120"/>
      </w:pPr>
    </w:p>
    <w:p>
      <w:r>
        <w:br w:type="page"/>
      </w:r>
    </w:p>
    <w:p>
      <w:pPr>
        <w:pStyle w:val="Heading1"/>
      </w:pPr>
      <w:r>
        <w:t>1.  Current Platform Status (v1.7)</w:t>
      </w:r>
    </w:p>
    <w:p>
      <w:pPr>
        <w:spacing w:before="40" w:after="160"/>
        <w:pBdr>
          <w:bottom w:val="single" w:sz="6" w:space="1" w:color="15803D"/>
        </w:pBdr>
      </w:pPr>
    </w:p>
    <w:p>
      <w:pPr>
        <w:spacing w:before="40" w:after="120"/>
      </w:pPr>
      <w:r>
        <w:rPr>
          <w:rFonts w:ascii="Arial" w:hAnsi="Arial"/>
          <w:b w:val="0"/>
          <w:i w:val="0"/>
          <w:color w:val="475569"/>
          <w:sz w:val="21"/>
        </w:rPr>
        <w:t>BiocharHub v1.7 represents the foundation layer of what will become a full biochar informatics platform. The current deployment includes the following capabilities:</w:t>
      </w:r>
    </w:p>
    <w:p>
      <w:pPr>
        <w:pStyle w:val="Heading2"/>
      </w:pPr>
      <w:r>
        <w:t>1.1  Deployed Features</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Module</w:t>
            </w:r>
          </w:p>
        </w:tc>
        <w:tc>
          <w:tcPr>
            <w:tcW w:type="dxa" w:w="1417"/>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Status</w:t>
            </w:r>
          </w:p>
        </w:tc>
        <w:tc>
          <w:tcPr>
            <w:tcW w:type="dxa" w:w="5386"/>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Description</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Database Explorer</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 Live</w:t>
            </w:r>
          </w:p>
        </w:tc>
        <w:tc>
          <w:tcPr>
            <w:tcW w:type="dxa" w:w="5386"/>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1,396 records, filterable, sortable, CSV export</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CO₂ Predictor</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 Live</w:t>
            </w:r>
          </w:p>
        </w:tc>
        <w:tc>
          <w:tcPr>
            <w:tcW w:type="dxa" w:w="5386"/>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kNN-based CO₂ adsorption prediction (mmol/g)</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Property Estimator</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 Live</w:t>
            </w:r>
          </w:p>
        </w:tc>
        <w:tc>
          <w:tcPr>
            <w:tcW w:type="dxa" w:w="5386"/>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BET surface area, pore volume, yield prediction</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Materials Advisor</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 Live</w:t>
            </w:r>
          </w:p>
        </w:tc>
        <w:tc>
          <w:tcPr>
            <w:tcW w:type="dxa" w:w="5386"/>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Goal-driven feedstock &amp; activator recommendation</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Bilingual UI</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 Live</w:t>
            </w:r>
          </w:p>
        </w:tc>
        <w:tc>
          <w:tcPr>
            <w:tcW w:type="dxa" w:w="5386"/>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Full EN / TH interface with theme switching</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Share Data (Admin)</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 Beta</w:t>
            </w:r>
          </w:p>
        </w:tc>
        <w:tc>
          <w:tcPr>
            <w:tcW w:type="dxa" w:w="5386"/>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Gated contributor data submission portal</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REST API</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 Planned</w:t>
            </w:r>
          </w:p>
        </w:tc>
        <w:tc>
          <w:tcPr>
            <w:tcW w:type="dxa" w:w="5386"/>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Public API for programmatic data access</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Automated Mining</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 Planned</w:t>
            </w:r>
          </w:p>
        </w:tc>
        <w:tc>
          <w:tcPr>
            <w:tcW w:type="dxa" w:w="5386"/>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NLP-driven literature record extraction</w:t>
            </w:r>
          </w:p>
        </w:tc>
      </w:tr>
    </w:tbl>
    <w:p>
      <w:pPr>
        <w:spacing w:after="120"/>
      </w:pPr>
    </w:p>
    <w:p>
      <w:pPr>
        <w:pStyle w:val="Heading2"/>
      </w:pPr>
      <w:r>
        <w:t>1.2  Dataset Coverage</w:t>
      </w:r>
    </w:p>
    <w:tbl>
      <w:tblPr>
        <w:tblStyle w:val="TableGrid"/>
        <w:tblW w:type="auto" w:w="0"/>
        <w:tblLook w:firstColumn="1" w:firstRow="1" w:lastColumn="0" w:lastRow="0" w:noHBand="0" w:noVBand="1" w:val="04A0"/>
      </w:tblPr>
      <w:tblGrid>
        <w:gridCol w:w="3024"/>
        <w:gridCol w:w="3024"/>
        <w:gridCol w:w="3024"/>
      </w:tblGrid>
      <w:tr>
        <w:tc>
          <w:tcPr>
            <w:tcW w:type="dxa" w:w="3118"/>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Metric</w:t>
            </w:r>
          </w:p>
        </w:tc>
        <w:tc>
          <w:tcPr>
            <w:tcW w:type="dxa" w:w="1984"/>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Current Value</w:t>
            </w:r>
          </w:p>
        </w:tc>
        <w:tc>
          <w:tcPr>
            <w:tcW w:type="dxa" w:w="3969"/>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Target (Phase 3)</w:t>
            </w:r>
          </w:p>
        </w:tc>
      </w:tr>
      <w:tr>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Total Records</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1,396</w:t>
            </w:r>
          </w:p>
        </w:tc>
        <w:tc>
          <w:tcPr>
            <w:tcW w:type="dxa" w:w="3969"/>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5,000+</w:t>
            </w:r>
          </w:p>
        </w:tc>
      </w:tr>
      <w:tr>
        <w:tc>
          <w:tcPr>
            <w:tcW w:type="dxa" w:w="311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Unique Experiments</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59</w:t>
            </w:r>
          </w:p>
        </w:tc>
        <w:tc>
          <w:tcPr>
            <w:tcW w:type="dxa" w:w="3969"/>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200+</w:t>
            </w:r>
          </w:p>
        </w:tc>
      </w:tr>
      <w:tr>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Biomass Types Covered</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~40</w:t>
            </w:r>
          </w:p>
        </w:tc>
        <w:tc>
          <w:tcPr>
            <w:tcW w:type="dxa" w:w="3969"/>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100+</w:t>
            </w:r>
          </w:p>
        </w:tc>
      </w:tr>
      <w:tr>
        <w:tc>
          <w:tcPr>
            <w:tcW w:type="dxa" w:w="311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Activation Methods</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6</w:t>
            </w:r>
          </w:p>
        </w:tc>
        <w:tc>
          <w:tcPr>
            <w:tcW w:type="dxa" w:w="3969"/>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15+</w:t>
            </w:r>
          </w:p>
        </w:tc>
      </w:tr>
      <w:tr>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Journal Sources</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~25</w:t>
            </w:r>
          </w:p>
        </w:tc>
        <w:tc>
          <w:tcPr>
            <w:tcW w:type="dxa" w:w="3969"/>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100+</w:t>
            </w:r>
          </w:p>
        </w:tc>
      </w:tr>
      <w:tr>
        <w:tc>
          <w:tcPr>
            <w:tcW w:type="dxa" w:w="311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Publication Year Range</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2010–2024</w:t>
            </w:r>
          </w:p>
        </w:tc>
        <w:tc>
          <w:tcPr>
            <w:tcW w:type="dxa" w:w="3969"/>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2000–present (auto-updated)</w:t>
            </w:r>
          </w:p>
        </w:tc>
      </w:tr>
    </w:tbl>
    <w:p>
      <w:pPr>
        <w:spacing w:after="120"/>
      </w:pPr>
    </w:p>
    <w:p>
      <w:pPr>
        <w:pStyle w:val="Heading2"/>
      </w:pPr>
      <w:r>
        <w:t>1.3  Technology Stack</w:t>
      </w:r>
    </w:p>
    <w:tbl>
      <w:tblPr>
        <w:tblStyle w:val="TableGrid"/>
        <w:tblW w:type="auto" w:w="0"/>
        <w:tblLook w:firstColumn="1" w:firstRow="1" w:lastColumn="0" w:lastRow="0" w:noHBand="0" w:noVBand="1" w:val="04A0"/>
      </w:tblPr>
      <w:tblGrid>
        <w:gridCol w:w="4536"/>
        <w:gridCol w:w="4536"/>
      </w:tblGrid>
      <w:tr>
        <w:tc>
          <w:tcPr>
            <w:tcW w:type="dxa" w:w="1984"/>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Layer</w:t>
            </w:r>
          </w:p>
        </w:tc>
        <w:tc>
          <w:tcPr>
            <w:tcW w:type="dxa" w:w="7087"/>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Current Technology</w:t>
            </w:r>
          </w:p>
        </w:tc>
      </w:tr>
      <w:tr>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Frontend</w:t>
            </w:r>
          </w:p>
        </w:tc>
        <w:tc>
          <w:tcPr>
            <w:tcW w:type="dxa" w:w="708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React 18 + Vite + Tailwind CSS + Framer Motion</w:t>
            </w:r>
          </w:p>
        </w:tc>
      </w:tr>
      <w:tr>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ML Engine</w:t>
            </w:r>
          </w:p>
        </w:tc>
        <w:tc>
          <w:tcPr>
            <w:tcW w:type="dxa" w:w="708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k-Nearest Neighbour (kNN) similarity search on static dataset</w:t>
            </w:r>
          </w:p>
        </w:tc>
      </w:tr>
      <w:tr>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Database</w:t>
            </w:r>
          </w:p>
        </w:tc>
        <w:tc>
          <w:tcPr>
            <w:tcW w:type="dxa" w:w="708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Static JSON dataset embedded in client bundle</w:t>
            </w:r>
          </w:p>
        </w:tc>
      </w:tr>
      <w:tr>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i18n</w:t>
            </w:r>
          </w:p>
        </w:tc>
        <w:tc>
          <w:tcPr>
            <w:tcW w:type="dxa" w:w="708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react-i18next (EN / TH)</w:t>
            </w:r>
          </w:p>
        </w:tc>
      </w:tr>
      <w:tr>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Deployment</w:t>
            </w:r>
          </w:p>
        </w:tc>
        <w:tc>
          <w:tcPr>
            <w:tcW w:type="dxa" w:w="708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Static site hosting (CDN)</w:t>
            </w:r>
          </w:p>
        </w:tc>
      </w:tr>
      <w:tr>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Backend</w:t>
            </w:r>
          </w:p>
        </w:tc>
        <w:tc>
          <w:tcPr>
            <w:tcW w:type="dxa" w:w="708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None (serverless / client-side only)</w:t>
            </w:r>
          </w:p>
        </w:tc>
      </w:tr>
    </w:tbl>
    <w:p>
      <w:pPr>
        <w:spacing w:after="120"/>
      </w:pPr>
    </w:p>
    <w:p>
      <w:r>
        <w:br w:type="page"/>
      </w:r>
    </w:p>
    <w:p>
      <w:pPr>
        <w:pStyle w:val="Heading1"/>
      </w:pPr>
      <w:r>
        <w:t>2.  Development Roadmap</w:t>
      </w:r>
    </w:p>
    <w:p>
      <w:pPr>
        <w:spacing w:before="40" w:after="160"/>
        <w:pBdr>
          <w:bottom w:val="single" w:sz="6" w:space="1" w:color="15803D"/>
        </w:pBdr>
      </w:pPr>
    </w:p>
    <w:p>
      <w:pPr>
        <w:spacing w:before="40" w:after="120"/>
      </w:pPr>
      <w:r>
        <w:rPr>
          <w:rFonts w:ascii="Arial" w:hAnsi="Arial"/>
          <w:b w:val="0"/>
          <w:i w:val="0"/>
          <w:color w:val="475569"/>
          <w:sz w:val="21"/>
        </w:rPr>
        <w:t>The following three-phase roadmap prioritises enhancements that directly benefit the experimental biochar research community, with each phase building on the previous foundation.</w:t>
      </w:r>
    </w:p>
    <w:p>
      <w:pPr>
        <w:pStyle w:val="Heading2"/>
      </w:pPr>
      <w:r>
        <w:t>2.1  Phase 1 — Platform Enhancement (6–12 Months)</w:t>
      </w:r>
    </w:p>
    <w:tbl>
      <w:tblPr>
        <w:tblStyle w:val="TableGrid"/>
        <w:tblW w:type="auto" w:w="0"/>
        <w:tblLook w:firstColumn="1" w:firstRow="1" w:lastColumn="0" w:lastRow="0" w:noHBand="0" w:noVBand="1" w:val="04A0"/>
      </w:tblPr>
      <w:tblGrid>
        <w:gridCol w:w="9072"/>
      </w:tblGrid>
      <w:tr>
        <w:tc>
          <w:tcPr>
            <w:tcW w:type="dxa" w:w="9072"/>
            <w:shd w:val="clear" w:color="auto" w:fill="ECFDF5"/>
            <w:tcBorders>
              <w:top w:val="single" w:sz="4" w:space="0" w:color="A7F3D0"/>
              <w:left w:val="single" w:sz="4" w:space="0" w:color="A7F3D0"/>
              <w:bottom w:val="single" w:sz="4" w:space="0" w:color="A7F3D0"/>
              <w:right w:val="single" w:sz="4" w:space="0" w:color="A7F3D0"/>
            </w:tcBorders>
          </w:tcPr>
          <w:p>
            <w:r>
              <w:rPr>
                <w:rFonts w:ascii="Arial" w:hAnsi="Arial"/>
                <w:b/>
                <w:color w:val="15803D"/>
                <w:sz w:val="22"/>
              </w:rPr>
              <w:t xml:space="preserve">  Phase 1  ·  Platform Enhancement  ·  6–12 Months</w:t>
            </w:r>
          </w:p>
          <w:p>
            <w:pPr>
              <w:spacing w:before="20" w:after="40"/>
            </w:pPr>
            <w:r>
              <w:rPr>
                <w:rFonts w:ascii="Arial" w:hAnsi="Arial"/>
                <w:color w:val="475569"/>
                <w:sz w:val="20"/>
              </w:rPr>
              <w:t xml:space="preserve">  ✦  Public REST API for programmatic access to all 1,396 records</w:t>
            </w:r>
          </w:p>
          <w:p>
            <w:pPr>
              <w:spacing w:before="20" w:after="40"/>
            </w:pPr>
            <w:r>
              <w:rPr>
                <w:rFonts w:ascii="Arial" w:hAnsi="Arial"/>
                <w:color w:val="475569"/>
                <w:sz w:val="20"/>
              </w:rPr>
              <w:t xml:space="preserve">  ✦  User data submission portal with peer-review validation workflow</w:t>
            </w:r>
          </w:p>
          <w:p>
            <w:pPr>
              <w:spacing w:before="20" w:after="40"/>
            </w:pPr>
            <w:r>
              <w:rPr>
                <w:rFonts w:ascii="Arial" w:hAnsi="Arial"/>
                <w:color w:val="475569"/>
                <w:sz w:val="20"/>
              </w:rPr>
              <w:t xml:space="preserve">  ✦  Advanced filtering: multi-parameter faceted search + range sliders</w:t>
            </w:r>
          </w:p>
          <w:p>
            <w:pPr>
              <w:spacing w:before="20" w:after="40"/>
            </w:pPr>
            <w:r>
              <w:rPr>
                <w:rFonts w:ascii="Arial" w:hAnsi="Arial"/>
                <w:color w:val="475569"/>
                <w:sz w:val="20"/>
              </w:rPr>
              <w:t xml:space="preserve">  ✦  Citation export (BibTeX, RIS, APA) for all database records</w:t>
            </w:r>
          </w:p>
          <w:p>
            <w:pPr>
              <w:spacing w:before="20" w:after="40"/>
            </w:pPr>
            <w:r>
              <w:rPr>
                <w:rFonts w:ascii="Arial" w:hAnsi="Arial"/>
                <w:color w:val="475569"/>
                <w:sz w:val="20"/>
              </w:rPr>
              <w:t xml:space="preserve">  ✦  Interactive scatter plots &amp; heatmaps for exploratory data analysis</w:t>
            </w:r>
          </w:p>
          <w:p>
            <w:pPr>
              <w:spacing w:before="20" w:after="40"/>
            </w:pPr>
            <w:r>
              <w:rPr>
                <w:rFonts w:ascii="Arial" w:hAnsi="Arial"/>
                <w:color w:val="475569"/>
                <w:sz w:val="20"/>
              </w:rPr>
              <w:t xml:space="preserve">  ✦  Improved ML models: Random Forest + Gradient Boosting ensembles</w:t>
            </w:r>
          </w:p>
          <w:p>
            <w:pPr>
              <w:spacing w:before="20" w:after="40"/>
            </w:pPr>
            <w:r>
              <w:rPr>
                <w:rFonts w:ascii="Arial" w:hAnsi="Arial"/>
                <w:color w:val="475569"/>
                <w:sz w:val="20"/>
              </w:rPr>
              <w:t xml:space="preserve">  ✦  Confidence interval visualisation on all prediction outputs</w:t>
            </w:r>
          </w:p>
          <w:p>
            <w:pPr>
              <w:spacing w:before="20" w:after="40"/>
            </w:pPr>
            <w:r>
              <w:rPr>
                <w:rFonts w:ascii="Arial" w:hAnsi="Arial"/>
                <w:color w:val="475569"/>
                <w:sz w:val="20"/>
              </w:rPr>
              <w:t xml:space="preserve">  ✦  Mobile-optimised responsive layout for field researchers</w:t>
            </w:r>
          </w:p>
        </w:tc>
      </w:tr>
    </w:tbl>
    <w:p>
      <w:pPr>
        <w:spacing w:after="120"/>
      </w:pPr>
    </w:p>
    <w:p>
      <w:pPr>
        <w:pStyle w:val="Heading2"/>
      </w:pPr>
      <w:r>
        <w:t>2.2  Phase 2 — Biochar Informatics Engine (12–24 Months)</w:t>
      </w:r>
    </w:p>
    <w:tbl>
      <w:tblPr>
        <w:tblStyle w:val="TableGrid"/>
        <w:tblW w:type="auto" w:w="0"/>
        <w:tblLook w:firstColumn="1" w:firstRow="1" w:lastColumn="0" w:lastRow="0" w:noHBand="0" w:noVBand="1" w:val="04A0"/>
      </w:tblPr>
      <w:tblGrid>
        <w:gridCol w:w="9072"/>
      </w:tblGrid>
      <w:tr>
        <w:tc>
          <w:tcPr>
            <w:tcW w:type="dxa" w:w="9072"/>
            <w:shd w:val="clear" w:color="auto" w:fill="EFF6FF"/>
            <w:tcBorders>
              <w:top w:val="single" w:sz="4" w:space="0" w:color="BFDBFE"/>
              <w:left w:val="single" w:sz="4" w:space="0" w:color="BFDBFE"/>
              <w:bottom w:val="single" w:sz="4" w:space="0" w:color="BFDBFE"/>
              <w:right w:val="single" w:sz="4" w:space="0" w:color="BFDBFE"/>
            </w:tcBorders>
          </w:tcPr>
          <w:p>
            <w:r>
              <w:rPr>
                <w:rFonts w:ascii="Arial" w:hAnsi="Arial"/>
                <w:b/>
                <w:color w:val="15803D"/>
                <w:sz w:val="22"/>
              </w:rPr>
              <w:t xml:space="preserve">  Phase 2  ·  Biochar Informatics Engine  ·  12–24 Months</w:t>
            </w:r>
          </w:p>
          <w:p>
            <w:pPr>
              <w:spacing w:before="20" w:after="40"/>
            </w:pPr>
            <w:r>
              <w:rPr>
                <w:rFonts w:ascii="Arial" w:hAnsi="Arial"/>
                <w:color w:val="475569"/>
                <w:sz w:val="20"/>
              </w:rPr>
              <w:t xml:space="preserve">  ✦  NLP-powered automated literature mining from PubMed, Scopus &amp; Web of Science</w:t>
            </w:r>
          </w:p>
          <w:p>
            <w:pPr>
              <w:spacing w:before="20" w:after="40"/>
            </w:pPr>
            <w:r>
              <w:rPr>
                <w:rFonts w:ascii="Arial" w:hAnsi="Arial"/>
                <w:color w:val="475569"/>
                <w:sz w:val="20"/>
              </w:rPr>
              <w:t xml:space="preserve">  ✦  Semi-automated record extraction: parse experimental tables from PDF papers</w:t>
            </w:r>
          </w:p>
          <w:p>
            <w:pPr>
              <w:spacing w:before="20" w:after="40"/>
            </w:pPr>
            <w:r>
              <w:rPr>
                <w:rFonts w:ascii="Arial" w:hAnsi="Arial"/>
                <w:color w:val="475569"/>
                <w:sz w:val="20"/>
              </w:rPr>
              <w:t xml:space="preserve">  ✦  Multi-property simultaneous prediction (CO₂ uptake + BET + pore volume + yield)</w:t>
            </w:r>
          </w:p>
          <w:p>
            <w:pPr>
              <w:spacing w:before="20" w:after="40"/>
            </w:pPr>
            <w:r>
              <w:rPr>
                <w:rFonts w:ascii="Arial" w:hAnsi="Arial"/>
                <w:color w:val="475569"/>
                <w:sz w:val="20"/>
              </w:rPr>
              <w:t xml:space="preserve">  ✦  Transfer learning models: adapt from well-characterised to rare biomass types</w:t>
            </w:r>
          </w:p>
          <w:p>
            <w:pPr>
              <w:spacing w:before="20" w:after="40"/>
            </w:pPr>
            <w:r>
              <w:rPr>
                <w:rFonts w:ascii="Arial" w:hAnsi="Arial"/>
                <w:color w:val="475569"/>
                <w:sz w:val="20"/>
              </w:rPr>
              <w:t xml:space="preserve">  ✦  Experiment design recommender: suggest optimal conditions for target performance</w:t>
            </w:r>
          </w:p>
          <w:p>
            <w:pPr>
              <w:spacing w:before="20" w:after="40"/>
            </w:pPr>
            <w:r>
              <w:rPr>
                <w:rFonts w:ascii="Arial" w:hAnsi="Arial"/>
                <w:color w:val="475569"/>
                <w:sz w:val="20"/>
              </w:rPr>
              <w:t xml:space="preserve">  ✦  Anomaly detection: flag statistically unusual records for expert review</w:t>
            </w:r>
          </w:p>
          <w:p>
            <w:pPr>
              <w:spacing w:before="20" w:after="40"/>
            </w:pPr>
            <w:r>
              <w:rPr>
                <w:rFonts w:ascii="Arial" w:hAnsi="Arial"/>
                <w:color w:val="475569"/>
                <w:sz w:val="20"/>
              </w:rPr>
              <w:t xml:space="preserve">  ✦  Data quality scoring system for submitted and mined records</w:t>
            </w:r>
          </w:p>
          <w:p>
            <w:pPr>
              <w:spacing w:before="20" w:after="40"/>
            </w:pPr>
            <w:r>
              <w:rPr>
                <w:rFonts w:ascii="Arial" w:hAnsi="Arial"/>
                <w:color w:val="475569"/>
                <w:sz w:val="20"/>
              </w:rPr>
              <w:t xml:space="preserve">  ✦  DOI-linked provenance tracking for every record</w:t>
            </w:r>
          </w:p>
          <w:p>
            <w:pPr>
              <w:spacing w:before="20" w:after="40"/>
            </w:pPr>
            <w:r>
              <w:rPr>
                <w:rFonts w:ascii="Arial" w:hAnsi="Arial"/>
                <w:color w:val="475569"/>
                <w:sz w:val="20"/>
              </w:rPr>
              <w:t xml:space="preserve">  ✦  Comparative analytics: cross-study performance benchmarking tools</w:t>
            </w:r>
          </w:p>
        </w:tc>
      </w:tr>
    </w:tbl>
    <w:p>
      <w:pPr>
        <w:spacing w:after="120"/>
      </w:pPr>
    </w:p>
    <w:p>
      <w:pPr>
        <w:pStyle w:val="Heading2"/>
      </w:pPr>
      <w:r>
        <w:t>2.3  Phase 3 — Global Research Network (24–36 Months)</w:t>
      </w:r>
    </w:p>
    <w:tbl>
      <w:tblPr>
        <w:tblStyle w:val="TableGrid"/>
        <w:tblW w:type="auto" w:w="0"/>
        <w:tblLook w:firstColumn="1" w:firstRow="1" w:lastColumn="0" w:lastRow="0" w:noHBand="0" w:noVBand="1" w:val="04A0"/>
      </w:tblPr>
      <w:tblGrid>
        <w:gridCol w:w="9072"/>
      </w:tblGrid>
      <w:tr>
        <w:tc>
          <w:tcPr>
            <w:tcW w:type="dxa" w:w="9072"/>
            <w:shd w:val="clear" w:color="auto" w:fill="F5F3FF"/>
            <w:tcBorders>
              <w:top w:val="single" w:sz="4" w:space="0" w:color="DDD6FE"/>
              <w:left w:val="single" w:sz="4" w:space="0" w:color="DDD6FE"/>
              <w:bottom w:val="single" w:sz="4" w:space="0" w:color="DDD6FE"/>
              <w:right w:val="single" w:sz="4" w:space="0" w:color="DDD6FE"/>
            </w:tcBorders>
          </w:tcPr>
          <w:p>
            <w:r>
              <w:rPr>
                <w:rFonts w:ascii="Arial" w:hAnsi="Arial"/>
                <w:b/>
                <w:color w:val="15803D"/>
                <w:sz w:val="22"/>
              </w:rPr>
              <w:t xml:space="preserve">  Phase 3  ·  Global Collaborative Research Network  ·  24–36 Months</w:t>
            </w:r>
          </w:p>
          <w:p>
            <w:pPr>
              <w:spacing w:before="20" w:after="40"/>
            </w:pPr>
            <w:r>
              <w:rPr>
                <w:rFonts w:ascii="Arial" w:hAnsi="Arial"/>
                <w:color w:val="475569"/>
                <w:sz w:val="20"/>
              </w:rPr>
              <w:t xml:space="preserve">  ✦  Collaborative multi-institution database with versioned record history</w:t>
            </w:r>
          </w:p>
          <w:p>
            <w:pPr>
              <w:spacing w:before="20" w:after="40"/>
            </w:pPr>
            <w:r>
              <w:rPr>
                <w:rFonts w:ascii="Arial" w:hAnsi="Arial"/>
                <w:color w:val="475569"/>
                <w:sz w:val="20"/>
              </w:rPr>
              <w:t xml:space="preserve">  ✦  Real-time experiment data ingestion from connected lab instruments</w:t>
            </w:r>
          </w:p>
          <w:p>
            <w:pPr>
              <w:spacing w:before="20" w:after="40"/>
            </w:pPr>
            <w:r>
              <w:rPr>
                <w:rFonts w:ascii="Arial" w:hAnsi="Arial"/>
                <w:color w:val="475569"/>
                <w:sz w:val="20"/>
              </w:rPr>
              <w:t xml:space="preserve">  ✦  Publication-linked data: auto-update database when citing papers publish new data</w:t>
            </w:r>
          </w:p>
          <w:p>
            <w:pPr>
              <w:spacing w:before="20" w:after="40"/>
            </w:pPr>
            <w:r>
              <w:rPr>
                <w:rFonts w:ascii="Arial" w:hAnsi="Arial"/>
                <w:color w:val="475569"/>
                <w:sz w:val="20"/>
              </w:rPr>
              <w:t xml:space="preserve">  ✦  FAIR data principles compliance (Findable, Accessible, Interoperable, Reusable)</w:t>
            </w:r>
          </w:p>
          <w:p>
            <w:pPr>
              <w:spacing w:before="20" w:after="40"/>
            </w:pPr>
            <w:r>
              <w:rPr>
                <w:rFonts w:ascii="Arial" w:hAnsi="Arial"/>
                <w:color w:val="475569"/>
                <w:sz w:val="20"/>
              </w:rPr>
              <w:t xml:space="preserve">  ✦  Cross-material transfer: extend platform to activated carbon, MOFs, zeolites</w:t>
            </w:r>
          </w:p>
          <w:p>
            <w:pPr>
              <w:spacing w:before="20" w:after="40"/>
            </w:pPr>
            <w:r>
              <w:rPr>
                <w:rFonts w:ascii="Arial" w:hAnsi="Arial"/>
                <w:color w:val="475569"/>
                <w:sz w:val="20"/>
              </w:rPr>
              <w:t xml:space="preserve">  ✦  Federated query layer: query partner institution databases without centralising data</w:t>
            </w:r>
          </w:p>
          <w:p>
            <w:pPr>
              <w:spacing w:before="20" w:after="40"/>
            </w:pPr>
            <w:r>
              <w:rPr>
                <w:rFonts w:ascii="Arial" w:hAnsi="Arial"/>
                <w:color w:val="475569"/>
                <w:sz w:val="20"/>
              </w:rPr>
              <w:t xml:space="preserve">  ✦  Open API ecosystem with SDKs for Python, R, and MATLAB</w:t>
            </w:r>
          </w:p>
          <w:p>
            <w:pPr>
              <w:spacing w:before="20" w:after="40"/>
            </w:pPr>
            <w:r>
              <w:rPr>
                <w:rFonts w:ascii="Arial" w:hAnsi="Arial"/>
                <w:color w:val="475569"/>
                <w:sz w:val="20"/>
              </w:rPr>
              <w:t xml:space="preserve">  ✦  Community peer-review and annotation layer for each database record</w:t>
            </w:r>
          </w:p>
          <w:p>
            <w:pPr>
              <w:spacing w:before="20" w:after="40"/>
            </w:pPr>
            <w:r>
              <w:rPr>
                <w:rFonts w:ascii="Arial" w:hAnsi="Arial"/>
                <w:color w:val="475569"/>
                <w:sz w:val="20"/>
              </w:rPr>
              <w:t xml:space="preserve">  ✦  Integration with ORCID, DOI, and open research infrastructure</w:t>
            </w:r>
          </w:p>
        </w:tc>
      </w:tr>
    </w:tbl>
    <w:p>
      <w:pPr>
        <w:spacing w:after="120"/>
      </w:pPr>
    </w:p>
    <w:p>
      <w:r>
        <w:br w:type="page"/>
      </w:r>
    </w:p>
    <w:p>
      <w:pPr>
        <w:pStyle w:val="Heading1"/>
      </w:pPr>
      <w:r>
        <w:t>3.  Biochar Informatics &amp; Data Mining</w:t>
      </w:r>
    </w:p>
    <w:p>
      <w:pPr>
        <w:spacing w:before="40" w:after="160"/>
        <w:pBdr>
          <w:bottom w:val="single" w:sz="6" w:space="1" w:color="15803D"/>
        </w:pBdr>
      </w:pPr>
    </w:p>
    <w:p>
      <w:pPr>
        <w:spacing w:before="40" w:after="120"/>
      </w:pPr>
      <w:r>
        <w:rPr>
          <w:rFonts w:ascii="Arial" w:hAnsi="Arial"/>
          <w:b w:val="0"/>
          <w:i w:val="0"/>
          <w:color w:val="475569"/>
          <w:sz w:val="21"/>
        </w:rPr>
        <w:t>Biochar informatics applies computational and data science methods systematically to the study of biochar properties, production conditions, and performance outcomes. The following sub-domains represent the core research opportunities for an AI-driven biochar database platform.</w:t>
      </w:r>
    </w:p>
    <w:p>
      <w:pPr>
        <w:pStyle w:val="Heading2"/>
      </w:pPr>
      <w:r>
        <w:t>3.1  Data Mining Opportunities</w:t>
      </w:r>
    </w:p>
    <w:tbl>
      <w:tblPr>
        <w:tblStyle w:val="TableGrid"/>
        <w:tblW w:type="auto" w:w="0"/>
        <w:tblLook w:firstColumn="1" w:firstRow="1" w:lastColumn="0" w:lastRow="0" w:noHBand="0" w:noVBand="1" w:val="04A0"/>
      </w:tblPr>
      <w:tblGrid>
        <w:gridCol w:w="3024"/>
        <w:gridCol w:w="3024"/>
        <w:gridCol w:w="3024"/>
      </w:tblGrid>
      <w:tr>
        <w:tc>
          <w:tcPr>
            <w:tcW w:type="dxa" w:w="2551"/>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Data Mining Task</w:t>
            </w:r>
          </w:p>
        </w:tc>
        <w:tc>
          <w:tcPr>
            <w:tcW w:type="dxa" w:w="2835"/>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Approach</w:t>
            </w:r>
          </w:p>
        </w:tc>
        <w:tc>
          <w:tcPr>
            <w:tcW w:type="dxa" w:w="3685"/>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Research Value</w:t>
            </w:r>
          </w:p>
        </w:tc>
      </w:tr>
      <w:tr>
        <w:tc>
          <w:tcPr>
            <w:tcW w:type="dxa" w:w="255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Structure–Property Relationship Mining</w:t>
            </w:r>
          </w:p>
        </w:tc>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Association rule learning on process conditions vs. CO₂ uptake</w:t>
            </w:r>
          </w:p>
        </w:tc>
        <w:tc>
          <w:tcPr>
            <w:tcW w:type="dxa" w:w="368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Discover which parameter combinations consistently yield high performance</w:t>
            </w:r>
          </w:p>
        </w:tc>
      </w:tr>
      <w:tr>
        <w:tc>
          <w:tcPr>
            <w:tcW w:type="dxa" w:w="255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Feedstock Clustering</w:t>
            </w:r>
          </w:p>
        </w:tc>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Unsupervised clustering (k-means, HDBSCAN) on biomass composition</w:t>
            </w:r>
          </w:p>
        </w:tc>
        <w:tc>
          <w:tcPr>
            <w:tcW w:type="dxa" w:w="368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Group biomass types by predicted adsorption behaviour</w:t>
            </w:r>
          </w:p>
        </w:tc>
      </w:tr>
      <w:tr>
        <w:tc>
          <w:tcPr>
            <w:tcW w:type="dxa" w:w="255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Outlier &amp; Champion Record Detection</w:t>
            </w:r>
          </w:p>
        </w:tc>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Isolation Forest + statistical z-score analysis</w:t>
            </w:r>
          </w:p>
        </w:tc>
        <w:tc>
          <w:tcPr>
            <w:tcW w:type="dxa" w:w="368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Identify exceptional materials worthy of further investigation</w:t>
            </w:r>
          </w:p>
        </w:tc>
      </w:tr>
      <w:tr>
        <w:tc>
          <w:tcPr>
            <w:tcW w:type="dxa" w:w="255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Activation Method Effectiveness</w:t>
            </w:r>
          </w:p>
        </w:tc>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Multi-variate ANOVA + post-hoc pairwise comparison</w:t>
            </w:r>
          </w:p>
        </w:tc>
        <w:tc>
          <w:tcPr>
            <w:tcW w:type="dxa" w:w="368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Quantify which activators yield the highest BET &amp; CO₂ gains</w:t>
            </w:r>
          </w:p>
        </w:tc>
      </w:tr>
      <w:tr>
        <w:tc>
          <w:tcPr>
            <w:tcW w:type="dxa" w:w="255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Publication Bias Analysis</w:t>
            </w:r>
          </w:p>
        </w:tc>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Funnel plot analysis on reported CO₂ values across studies</w:t>
            </w:r>
          </w:p>
        </w:tc>
        <w:tc>
          <w:tcPr>
            <w:tcW w:type="dxa" w:w="368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Assess whether positive results are over-represented in literature</w:t>
            </w:r>
          </w:p>
        </w:tc>
      </w:tr>
      <w:tr>
        <w:tc>
          <w:tcPr>
            <w:tcW w:type="dxa" w:w="255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Temporal Trend Mining</w:t>
            </w:r>
          </w:p>
        </w:tc>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Time-series regression on dataset by publication year</w:t>
            </w:r>
          </w:p>
        </w:tc>
        <w:tc>
          <w:tcPr>
            <w:tcW w:type="dxa" w:w="368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Track how reported CO₂ uptake values have changed over 15 years</w:t>
            </w:r>
          </w:p>
        </w:tc>
      </w:tr>
    </w:tbl>
    <w:p>
      <w:pPr>
        <w:spacing w:after="120"/>
      </w:pPr>
    </w:p>
    <w:p>
      <w:pPr>
        <w:pStyle w:val="Heading2"/>
      </w:pPr>
      <w:r>
        <w:t>3.2  ML Model Enhancement Roadmap</w:t>
      </w:r>
    </w:p>
    <w:tbl>
      <w:tblPr>
        <w:tblStyle w:val="TableGrid"/>
        <w:tblW w:type="auto" w:w="0"/>
        <w:tblLook w:firstColumn="1" w:firstRow="1" w:lastColumn="0" w:lastRow="0" w:noHBand="0" w:noVBand="1" w:val="04A0"/>
      </w:tblPr>
      <w:tblGrid>
        <w:gridCol w:w="2268"/>
        <w:gridCol w:w="2268"/>
        <w:gridCol w:w="2268"/>
        <w:gridCol w:w="2268"/>
      </w:tblGrid>
      <w:tr>
        <w:tc>
          <w:tcPr>
            <w:tcW w:type="dxa" w:w="2835"/>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Model Type</w:t>
            </w:r>
          </w:p>
        </w:tc>
        <w:tc>
          <w:tcPr>
            <w:tcW w:type="dxa" w:w="1417"/>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Phase</w:t>
            </w:r>
          </w:p>
        </w:tc>
        <w:tc>
          <w:tcPr>
            <w:tcW w:type="dxa" w:w="1984"/>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Target Metric</w:t>
            </w:r>
          </w:p>
        </w:tc>
        <w:tc>
          <w:tcPr>
            <w:tcW w:type="dxa" w:w="2835"/>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Expected Improvement</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k-Nearest Neighbour (current)</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v1.7</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MAE &lt; 1.2 mmol/g</w:t>
            </w:r>
          </w:p>
        </w:tc>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Baseline</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Random Forest Ensemble</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Phase 1</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MAE &lt; 0.8 mmol/g</w:t>
            </w:r>
          </w:p>
        </w:tc>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+33% accuracy</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Gradient Boosting (XGBoost/LGB)</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Phase 1</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MAE &lt; 0.6 mmol/g</w:t>
            </w:r>
          </w:p>
        </w:tc>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+50% accuracy</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Graph Neural Network (GNN)</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Phase 2</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MAE &lt; 0.4 mmol/g</w:t>
            </w:r>
          </w:p>
        </w:tc>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Capture inter-feature relationships</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Physics-Informed Neural Network</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Phase 2</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Interpretable</w:t>
            </w:r>
          </w:p>
        </w:tc>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Embed adsorption theory as constraints</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Large Language Model fine-tune</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Phase 3</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Literature mining</w:t>
            </w:r>
          </w:p>
        </w:tc>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Auto-extract data from new papers</w:t>
            </w:r>
          </w:p>
        </w:tc>
      </w:tr>
    </w:tbl>
    <w:p>
      <w:pPr>
        <w:spacing w:after="120"/>
      </w:pPr>
    </w:p>
    <w:p>
      <w:r>
        <w:br w:type="page"/>
      </w:r>
    </w:p>
    <w:p>
      <w:pPr>
        <w:pStyle w:val="Heading1"/>
      </w:pPr>
      <w:r>
        <w:t>4.  Research Opportunities</w:t>
      </w:r>
    </w:p>
    <w:p>
      <w:pPr>
        <w:spacing w:before="40" w:after="160"/>
        <w:pBdr>
          <w:bottom w:val="single" w:sz="6" w:space="1" w:color="15803D"/>
        </w:pBdr>
      </w:pPr>
    </w:p>
    <w:p>
      <w:pPr>
        <w:spacing w:before="40" w:after="120"/>
      </w:pPr>
      <w:r>
        <w:rPr>
          <w:rFonts w:ascii="Arial" w:hAnsi="Arial"/>
          <w:b w:val="0"/>
          <w:i w:val="0"/>
          <w:color w:val="475569"/>
          <w:sz w:val="21"/>
        </w:rPr>
        <w:t>The BiocharHub platform opens multiple original research avenues that combine data science, materials informatics, and environmental engineering. The following represent high-priority research questions that the platform is uniquely positioned to address.</w:t>
      </w:r>
    </w:p>
    <w:p>
      <w:pPr>
        <w:pStyle w:val="Heading2"/>
      </w:pPr>
      <w:r>
        <w:t>4.1  Priority Research Questions</w:t>
      </w:r>
    </w:p>
    <w:p>
      <w:pPr>
        <w:spacing w:before="160" w:after="40"/>
      </w:pPr>
      <w:r>
        <w:rPr>
          <w:rFonts w:ascii="Arial" w:hAnsi="Arial"/>
          <w:b/>
          <w:color w:val="15803D"/>
          <w:sz w:val="21"/>
        </w:rPr>
        <w:t>[R1]  Generalised ML Model for Biochar CO₂ Uptake</w:t>
      </w:r>
    </w:p>
    <w:p>
      <w:pPr>
        <w:spacing w:before="40" w:after="120"/>
      </w:pPr>
      <w:r>
        <w:rPr>
          <w:rFonts w:ascii="Arial" w:hAnsi="Arial"/>
          <w:b w:val="0"/>
          <w:i w:val="0"/>
          <w:color w:val="475569"/>
          <w:sz w:val="21"/>
        </w:rPr>
        <w:t>Can a generalised ML model trained on 1,396+ records outperform individual study regression models? What are the universal process–performance relationships?</w:t>
      </w:r>
    </w:p>
    <w:p>
      <w:pPr>
        <w:spacing w:before="40" w:after="160"/>
        <w:pBdr>
          <w:bottom w:val="single" w:sz="6" w:space="1" w:color="E2E8F0"/>
        </w:pBdr>
      </w:pPr>
    </w:p>
    <w:p>
      <w:pPr>
        <w:spacing w:before="160" w:after="40"/>
      </w:pPr>
      <w:r>
        <w:rPr>
          <w:rFonts w:ascii="Arial" w:hAnsi="Arial"/>
          <w:b/>
          <w:color w:val="15803D"/>
          <w:sz w:val="21"/>
        </w:rPr>
        <w:t>[R2]  Automated Biochar Literature Mining at Scale</w:t>
      </w:r>
    </w:p>
    <w:p>
      <w:pPr>
        <w:spacing w:before="40" w:after="120"/>
      </w:pPr>
      <w:r>
        <w:rPr>
          <w:rFonts w:ascii="Arial" w:hAnsi="Arial"/>
          <w:b w:val="0"/>
          <w:i w:val="0"/>
          <w:color w:val="475569"/>
          <w:sz w:val="21"/>
        </w:rPr>
        <w:t>Can NLP models reliably extract tabular experimental data from full-text PDF papers at &gt;90% accuracy, enabling database scale-up from 1,396 to 10,000+ records?</w:t>
      </w:r>
    </w:p>
    <w:p>
      <w:pPr>
        <w:spacing w:before="40" w:after="160"/>
        <w:pBdr>
          <w:bottom w:val="single" w:sz="6" w:space="1" w:color="E2E8F0"/>
        </w:pBdr>
      </w:pPr>
    </w:p>
    <w:p>
      <w:pPr>
        <w:spacing w:before="160" w:after="40"/>
      </w:pPr>
      <w:r>
        <w:rPr>
          <w:rFonts w:ascii="Arial" w:hAnsi="Arial"/>
          <w:b/>
          <w:color w:val="15803D"/>
          <w:sz w:val="21"/>
        </w:rPr>
        <w:t>[R3]  Experiment Design Optimisation via Bayesian Methods</w:t>
      </w:r>
    </w:p>
    <w:p>
      <w:pPr>
        <w:spacing w:before="40" w:after="120"/>
      </w:pPr>
      <w:r>
        <w:rPr>
          <w:rFonts w:ascii="Arial" w:hAnsi="Arial"/>
          <w:b w:val="0"/>
          <w:i w:val="0"/>
          <w:color w:val="475569"/>
          <w:sz w:val="21"/>
        </w:rPr>
        <w:t>Can Bayesian optimisation over the existing data space suggest novel, untested production conditions with a predicted CO₂ uptake exceeding current maximum values (&gt;7.5 mmol/g)?</w:t>
      </w:r>
    </w:p>
    <w:p>
      <w:pPr>
        <w:spacing w:before="40" w:after="160"/>
        <w:pBdr>
          <w:bottom w:val="single" w:sz="6" w:space="1" w:color="E2E8F0"/>
        </w:pBdr>
      </w:pPr>
    </w:p>
    <w:p>
      <w:pPr>
        <w:spacing w:before="160" w:after="40"/>
      </w:pPr>
      <w:r>
        <w:rPr>
          <w:rFonts w:ascii="Arial" w:hAnsi="Arial"/>
          <w:b/>
          <w:color w:val="15803D"/>
          <w:sz w:val="21"/>
        </w:rPr>
        <w:t>[R4]  Transfer Learning Across Biomass Families</w:t>
      </w:r>
    </w:p>
    <w:p>
      <w:pPr>
        <w:spacing w:before="40" w:after="120"/>
      </w:pPr>
      <w:r>
        <w:rPr>
          <w:rFonts w:ascii="Arial" w:hAnsi="Arial"/>
          <w:b w:val="0"/>
          <w:i w:val="0"/>
          <w:color w:val="475569"/>
          <w:sz w:val="21"/>
        </w:rPr>
        <w:t>Can models trained on well-represented biomasses (rice husk, corn straw) transfer performance to rare or regionally-specific Thai biomasses with limited data points?</w:t>
      </w:r>
    </w:p>
    <w:p>
      <w:pPr>
        <w:spacing w:before="40" w:after="160"/>
        <w:pBdr>
          <w:bottom w:val="single" w:sz="6" w:space="1" w:color="E2E8F0"/>
        </w:pBdr>
      </w:pPr>
    </w:p>
    <w:p>
      <w:pPr>
        <w:spacing w:before="160" w:after="40"/>
      </w:pPr>
      <w:r>
        <w:rPr>
          <w:rFonts w:ascii="Arial" w:hAnsi="Arial"/>
          <w:b/>
          <w:color w:val="15803D"/>
          <w:sz w:val="21"/>
        </w:rPr>
        <w:t>[R5]  Cross-Property Prediction &amp; Trade-off Analysis</w:t>
      </w:r>
    </w:p>
    <w:p>
      <w:pPr>
        <w:spacing w:before="40" w:after="120"/>
      </w:pPr>
      <w:r>
        <w:rPr>
          <w:rFonts w:ascii="Arial" w:hAnsi="Arial"/>
          <w:b w:val="0"/>
          <w:i w:val="0"/>
          <w:color w:val="475569"/>
          <w:sz w:val="21"/>
        </w:rPr>
        <w:t>What are the fundamental trade-offs between CO₂ adsorption, BET surface area, pore volume, and biochar yield? Can multi-objective optimisation identify Pareto-optimal production conditions?</w:t>
      </w:r>
    </w:p>
    <w:p>
      <w:pPr>
        <w:spacing w:before="40" w:after="160"/>
        <w:pBdr>
          <w:bottom w:val="single" w:sz="6" w:space="1" w:color="E2E8F0"/>
        </w:pBdr>
      </w:pPr>
    </w:p>
    <w:p>
      <w:pPr>
        <w:spacing w:before="160" w:after="40"/>
      </w:pPr>
      <w:r>
        <w:rPr>
          <w:rFonts w:ascii="Arial" w:hAnsi="Arial"/>
          <w:b/>
          <w:color w:val="15803D"/>
          <w:sz w:val="21"/>
        </w:rPr>
        <w:t>[R6]  Climate Impact Assessment of Optimal Biochar Routes</w:t>
      </w:r>
    </w:p>
    <w:p>
      <w:pPr>
        <w:spacing w:before="40" w:after="120"/>
      </w:pPr>
      <w:r>
        <w:rPr>
          <w:rFonts w:ascii="Arial" w:hAnsi="Arial"/>
          <w:b w:val="0"/>
          <w:i w:val="0"/>
          <w:color w:val="475569"/>
          <w:sz w:val="21"/>
        </w:rPr>
        <w:t>Integrating the ML predictions with life-cycle assessment (LCA) data: which production routes maximise CO₂ capture while minimising production-phase emissions?</w:t>
      </w:r>
    </w:p>
    <w:p>
      <w:pPr>
        <w:spacing w:before="40" w:after="160"/>
        <w:pBdr>
          <w:bottom w:val="single" w:sz="6" w:space="1" w:color="E2E8F0"/>
        </w:pBdr>
      </w:pPr>
    </w:p>
    <w:p>
      <w:r>
        <w:br w:type="page"/>
      </w:r>
    </w:p>
    <w:p>
      <w:pPr>
        <w:pStyle w:val="Heading1"/>
      </w:pPr>
      <w:r>
        <w:t>5.  Technical Architecture Evolution</w:t>
      </w:r>
    </w:p>
    <w:p>
      <w:pPr>
        <w:spacing w:before="40" w:after="160"/>
        <w:pBdr>
          <w:bottom w:val="single" w:sz="6" w:space="1" w:color="15803D"/>
        </w:pBdr>
      </w:pPr>
    </w:p>
    <w:p>
      <w:pPr>
        <w:pStyle w:val="Heading2"/>
      </w:pPr>
      <w:r>
        <w:t>5.1  Target Architecture (Phase 2+)</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Layer</w:t>
            </w:r>
          </w:p>
        </w:tc>
        <w:tc>
          <w:tcPr>
            <w:tcW w:type="dxa" w:w="3118"/>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Current (v1.7)</w:t>
            </w:r>
          </w:p>
        </w:tc>
        <w:tc>
          <w:tcPr>
            <w:tcW w:type="dxa" w:w="4252"/>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Target (Phase 2)</w:t>
            </w:r>
          </w:p>
        </w:tc>
      </w:tr>
      <w:tr>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Frontend</w:t>
            </w:r>
          </w:p>
        </w:tc>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React + Vite + Tailwind (static)</w:t>
            </w:r>
          </w:p>
        </w:tc>
        <w:tc>
          <w:tcPr>
            <w:tcW w:type="dxa" w:w="425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React + Vite (unchanged) + GraphQL client</w:t>
            </w:r>
          </w:p>
        </w:tc>
      </w:tr>
      <w:tr>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API Layer</w:t>
            </w:r>
          </w:p>
        </w:tc>
        <w:tc>
          <w:tcPr>
            <w:tcW w:type="dxa" w:w="311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None (client-side only)</w:t>
            </w:r>
          </w:p>
        </w:tc>
        <w:tc>
          <w:tcPr>
            <w:tcW w:type="dxa" w:w="4252"/>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FastAPI (Python) REST + GraphQL endpoint</w:t>
            </w:r>
          </w:p>
        </w:tc>
      </w:tr>
      <w:tr>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ML Engine</w:t>
            </w:r>
          </w:p>
        </w:tc>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kNN on static JSON</w:t>
            </w:r>
          </w:p>
        </w:tc>
        <w:tc>
          <w:tcPr>
            <w:tcW w:type="dxa" w:w="425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Scikit-learn + XGBoost + PyTorch pipeline</w:t>
            </w:r>
          </w:p>
        </w:tc>
      </w:tr>
      <w:tr>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Database</w:t>
            </w:r>
          </w:p>
        </w:tc>
        <w:tc>
          <w:tcPr>
            <w:tcW w:type="dxa" w:w="311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Static JSON bundle (1,396 records)</w:t>
            </w:r>
          </w:p>
        </w:tc>
        <w:tc>
          <w:tcPr>
            <w:tcW w:type="dxa" w:w="4252"/>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PostgreSQL + pgvector for semantic search</w:t>
            </w:r>
          </w:p>
        </w:tc>
      </w:tr>
      <w:tr>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Mining</w:t>
            </w:r>
          </w:p>
        </w:tc>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Manual curation</w:t>
            </w:r>
          </w:p>
        </w:tc>
        <w:tc>
          <w:tcPr>
            <w:tcW w:type="dxa" w:w="425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Apache Airflow DAG + LLM PDF extractor</w:t>
            </w:r>
          </w:p>
        </w:tc>
      </w:tr>
      <w:tr>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Auth</w:t>
            </w:r>
          </w:p>
        </w:tc>
        <w:tc>
          <w:tcPr>
            <w:tcW w:type="dxa" w:w="311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None (open access)</w:t>
            </w:r>
          </w:p>
        </w:tc>
        <w:tc>
          <w:tcPr>
            <w:tcW w:type="dxa" w:w="4252"/>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OAuth 2.0 for contributors + admin</w:t>
            </w:r>
          </w:p>
        </w:tc>
      </w:tr>
      <w:tr>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Hosting</w:t>
            </w:r>
          </w:p>
        </w:tc>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Static CDN</w:t>
            </w:r>
          </w:p>
        </w:tc>
        <w:tc>
          <w:tcPr>
            <w:tcW w:type="dxa" w:w="425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Containerised (Docker) + cloud deployment</w:t>
            </w:r>
          </w:p>
        </w:tc>
      </w:tr>
      <w:tr>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Monitoring</w:t>
            </w:r>
          </w:p>
        </w:tc>
        <w:tc>
          <w:tcPr>
            <w:tcW w:type="dxa" w:w="311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None</w:t>
            </w:r>
          </w:p>
        </w:tc>
        <w:tc>
          <w:tcPr>
            <w:tcW w:type="dxa" w:w="4252"/>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Prometheus + Grafana dashboard</w:t>
            </w:r>
          </w:p>
        </w:tc>
      </w:tr>
    </w:tbl>
    <w:p>
      <w:pPr>
        <w:spacing w:after="120"/>
      </w:pPr>
    </w:p>
    <w:p>
      <w:pPr>
        <w:pStyle w:val="Heading2"/>
      </w:pPr>
      <w:r>
        <w:t>5.2  Data Pipeline Design</w:t>
      </w:r>
    </w:p>
    <w:p>
      <w:pPr>
        <w:spacing w:before="40" w:after="120"/>
      </w:pPr>
      <w:r>
        <w:rPr>
          <w:rFonts w:ascii="Arial" w:hAnsi="Arial"/>
          <w:b w:val="0"/>
          <w:i w:val="0"/>
          <w:color w:val="475569"/>
          <w:sz w:val="21"/>
        </w:rPr>
        <w:t>The Phase 2 data pipeline will automate the full lifecycle of biochar experimental data from literature to prediction:</w:t>
      </w:r>
    </w:p>
    <w:p>
      <w:pPr>
        <w:pStyle w:val="ListBullet"/>
        <w:spacing w:before="20" w:after="60"/>
        <w:ind w:left="397"/>
      </w:pPr>
      <w:r>
        <w:rPr>
          <w:rFonts w:ascii="Arial" w:hAnsi="Arial"/>
          <w:color w:val="475569"/>
          <w:sz w:val="21"/>
        </w:rPr>
        <w:t>Ingestion — RSS/API feeds from PubMed, Scopus, Web of Science for new biochar papers</w:t>
      </w:r>
    </w:p>
    <w:p>
      <w:pPr>
        <w:pStyle w:val="ListBullet"/>
        <w:spacing w:before="20" w:after="60"/>
        <w:ind w:left="397"/>
      </w:pPr>
      <w:r>
        <w:rPr>
          <w:rFonts w:ascii="Arial" w:hAnsi="Arial"/>
          <w:color w:val="475569"/>
          <w:sz w:val="21"/>
        </w:rPr>
        <w:t>Extraction — LLM-based PDF parser extracts experimental tables, conditions, and results</w:t>
      </w:r>
    </w:p>
    <w:p>
      <w:pPr>
        <w:pStyle w:val="ListBullet"/>
        <w:spacing w:before="20" w:after="60"/>
        <w:ind w:left="397"/>
      </w:pPr>
      <w:r>
        <w:rPr>
          <w:rFonts w:ascii="Arial" w:hAnsi="Arial"/>
          <w:color w:val="475569"/>
          <w:sz w:val="21"/>
        </w:rPr>
        <w:t>Validation — Statistical range checks + human-in-the-loop review queue for flagged records</w:t>
      </w:r>
    </w:p>
    <w:p>
      <w:pPr>
        <w:pStyle w:val="ListBullet"/>
        <w:spacing w:before="20" w:after="60"/>
        <w:ind w:left="397"/>
      </w:pPr>
      <w:r>
        <w:rPr>
          <w:rFonts w:ascii="Arial" w:hAnsi="Arial"/>
          <w:color w:val="475569"/>
          <w:sz w:val="21"/>
        </w:rPr>
        <w:t>Enrichment — Auto-link DOI, author ORCID, biomass taxonomy, and activation classification</w:t>
      </w:r>
    </w:p>
    <w:p>
      <w:pPr>
        <w:pStyle w:val="ListBullet"/>
        <w:spacing w:before="20" w:after="60"/>
        <w:ind w:left="397"/>
      </w:pPr>
      <w:r>
        <w:rPr>
          <w:rFonts w:ascii="Arial" w:hAnsi="Arial"/>
          <w:color w:val="475569"/>
          <w:sz w:val="21"/>
        </w:rPr>
        <w:t>Training — Nightly ML model retraining when new validated records exceed a threshold (50+)</w:t>
      </w:r>
    </w:p>
    <w:p>
      <w:pPr>
        <w:pStyle w:val="ListBullet"/>
        <w:spacing w:before="20" w:after="60"/>
        <w:ind w:left="397"/>
      </w:pPr>
      <w:r>
        <w:rPr>
          <w:rFonts w:ascii="Arial" w:hAnsi="Arial"/>
          <w:color w:val="475569"/>
          <w:sz w:val="21"/>
        </w:rPr>
        <w:t>Serving — Model served via FastAPI with cached predictions for common parameter combinations</w:t>
      </w:r>
    </w:p>
    <w:p>
      <w:r>
        <w:br w:type="page"/>
      </w:r>
    </w:p>
    <w:p>
      <w:pPr>
        <w:pStyle w:val="Heading1"/>
      </w:pPr>
      <w:r>
        <w:t>6.  Resource Requirements &amp; Timeline</w:t>
      </w:r>
    </w:p>
    <w:p>
      <w:pPr>
        <w:spacing w:before="40" w:after="160"/>
        <w:pBdr>
          <w:bottom w:val="single" w:sz="6" w:space="1" w:color="15803D"/>
        </w:pBdr>
      </w:pPr>
    </w:p>
    <w:p>
      <w:pPr>
        <w:pStyle w:val="Heading2"/>
      </w:pPr>
      <w:r>
        <w:t>6.1  Human Resources</w:t>
      </w:r>
    </w:p>
    <w:tbl>
      <w:tblPr>
        <w:tblStyle w:val="TableGrid"/>
        <w:tblW w:type="auto" w:w="0"/>
        <w:tblLook w:firstColumn="1" w:firstRow="1" w:lastColumn="0" w:lastRow="0" w:noHBand="0" w:noVBand="1" w:val="04A0"/>
      </w:tblPr>
      <w:tblGrid>
        <w:gridCol w:w="2268"/>
        <w:gridCol w:w="2268"/>
        <w:gridCol w:w="2268"/>
        <w:gridCol w:w="2268"/>
      </w:tblGrid>
      <w:tr>
        <w:tc>
          <w:tcPr>
            <w:tcW w:type="dxa" w:w="2835"/>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Role</w:t>
            </w:r>
          </w:p>
        </w:tc>
        <w:tc>
          <w:tcPr>
            <w:tcW w:type="dxa" w:w="1701"/>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Phase 1</w:t>
            </w:r>
          </w:p>
        </w:tc>
        <w:tc>
          <w:tcPr>
            <w:tcW w:type="dxa" w:w="1984"/>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Phase 2</w:t>
            </w:r>
          </w:p>
        </w:tc>
        <w:tc>
          <w:tcPr>
            <w:tcW w:type="dxa" w:w="2551"/>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Phase 3</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ML / Data Scientist</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(part-time)</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(full-time)</w:t>
            </w:r>
          </w:p>
        </w:tc>
        <w:tc>
          <w:tcPr>
            <w:tcW w:type="dxa" w:w="255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 (full-time)</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Full-Stack Developer</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(part-time)</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(full-time)</w:t>
            </w:r>
          </w:p>
        </w:tc>
        <w:tc>
          <w:tcPr>
            <w:tcW w:type="dxa" w:w="255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(full-time)</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Domain Expert (Biochar)</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(advisor)</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(advisor)</w:t>
            </w:r>
          </w:p>
        </w:tc>
        <w:tc>
          <w:tcPr>
            <w:tcW w:type="dxa" w:w="255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 (advisory board)</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Data Curator / Literature</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(part-time)</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 (part-time)</w:t>
            </w:r>
          </w:p>
        </w:tc>
        <w:tc>
          <w:tcPr>
            <w:tcW w:type="dxa" w:w="255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Automated (LLM)</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DevOps / Cloud Engineer</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0</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(part-time)</w:t>
            </w:r>
          </w:p>
        </w:tc>
        <w:tc>
          <w:tcPr>
            <w:tcW w:type="dxa" w:w="255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(full-time)</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UX / Frontend Designer</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0</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(contract)</w:t>
            </w:r>
          </w:p>
        </w:tc>
        <w:tc>
          <w:tcPr>
            <w:tcW w:type="dxa" w:w="255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1 (part-time)</w:t>
            </w:r>
          </w:p>
        </w:tc>
      </w:tr>
    </w:tbl>
    <w:p>
      <w:pPr>
        <w:spacing w:after="120"/>
      </w:pPr>
    </w:p>
    <w:p>
      <w:pPr>
        <w:pStyle w:val="Heading2"/>
      </w:pPr>
      <w:r>
        <w:t>6.2  Key Milestones</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Milestone</w:t>
            </w:r>
          </w:p>
        </w:tc>
        <w:tc>
          <w:tcPr>
            <w:tcW w:type="dxa" w:w="1417"/>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Target Date</w:t>
            </w:r>
          </w:p>
        </w:tc>
        <w:tc>
          <w:tcPr>
            <w:tcW w:type="dxa" w:w="4819"/>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Deliverable</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M1  REST API Launch</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Month 6</w:t>
            </w:r>
          </w:p>
        </w:tc>
        <w:tc>
          <w:tcPr>
            <w:tcW w:type="dxa" w:w="4819"/>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Public API with full 1,396-record access + docs</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M2  Ensemble ML Upgrade</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Month 9</w:t>
            </w:r>
          </w:p>
        </w:tc>
        <w:tc>
          <w:tcPr>
            <w:tcW w:type="dxa" w:w="4819"/>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Random Forest + XGBoost replacing kNN baseline</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M3  User Submission Portal</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Month 12</w:t>
            </w:r>
          </w:p>
        </w:tc>
        <w:tc>
          <w:tcPr>
            <w:tcW w:type="dxa" w:w="4819"/>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Open contributor portal with validation pipeline</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M4  Automated Miner (Alpha)</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Month 18</w:t>
            </w:r>
          </w:p>
        </w:tc>
        <w:tc>
          <w:tcPr>
            <w:tcW w:type="dxa" w:w="4819"/>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NLP extractor processing 50+ papers per month</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M5  5,000 Record Milestone</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Month 24</w:t>
            </w:r>
          </w:p>
        </w:tc>
        <w:tc>
          <w:tcPr>
            <w:tcW w:type="dxa" w:w="4819"/>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Database expanded to 5,000+ validated records</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M6  Multi-Property Predictor</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Month 24</w:t>
            </w:r>
          </w:p>
        </w:tc>
        <w:tc>
          <w:tcPr>
            <w:tcW w:type="dxa" w:w="4819"/>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Simultaneous prediction of 5 biochar properties</w:t>
            </w:r>
          </w:p>
        </w:tc>
      </w:tr>
      <w:tr>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M7  Global Partner Network</w:t>
            </w:r>
          </w:p>
        </w:tc>
        <w:tc>
          <w:tcPr>
            <w:tcW w:type="dxa" w:w="1417"/>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Month 30</w:t>
            </w:r>
          </w:p>
        </w:tc>
        <w:tc>
          <w:tcPr>
            <w:tcW w:type="dxa" w:w="4819"/>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3+ institutional partners contributing data</w:t>
            </w:r>
          </w:p>
        </w:tc>
      </w:tr>
      <w:tr>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M8  FAIR Data Certification</w:t>
            </w:r>
          </w:p>
        </w:tc>
        <w:tc>
          <w:tcPr>
            <w:tcW w:type="dxa" w:w="1417"/>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Month 36</w:t>
            </w:r>
          </w:p>
        </w:tc>
        <w:tc>
          <w:tcPr>
            <w:tcW w:type="dxa" w:w="4819"/>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Full FAIR compliance and open data publication</w:t>
            </w:r>
          </w:p>
        </w:tc>
      </w:tr>
    </w:tbl>
    <w:p>
      <w:pPr>
        <w:spacing w:after="120"/>
      </w:pPr>
    </w:p>
    <w:p>
      <w:pPr>
        <w:pStyle w:val="Heading2"/>
      </w:pPr>
      <w:r>
        <w:t>6.3  Recommended Tools &amp; Frameworks</w:t>
      </w:r>
    </w:p>
    <w:tbl>
      <w:tblPr>
        <w:tblStyle w:val="TableGrid"/>
        <w:tblW w:type="auto" w:w="0"/>
        <w:tblLook w:firstColumn="1" w:firstRow="1" w:lastColumn="0" w:lastRow="0" w:noHBand="0" w:noVBand="1" w:val="04A0"/>
      </w:tblPr>
      <w:tblGrid>
        <w:gridCol w:w="4536"/>
        <w:gridCol w:w="4536"/>
      </w:tblGrid>
      <w:tr>
        <w:tc>
          <w:tcPr>
            <w:tcW w:type="dxa" w:w="2268"/>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Domain</w:t>
            </w:r>
          </w:p>
        </w:tc>
        <w:tc>
          <w:tcPr>
            <w:tcW w:type="dxa" w:w="6803"/>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Recommended Tools</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ML / Modelling</w:t>
            </w:r>
          </w:p>
        </w:tc>
        <w:tc>
          <w:tcPr>
            <w:tcW w:type="dxa" w:w="6803"/>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Scikit-learn, XGBoost, LightGBM, PyTorch, Optuna (HPO)</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NLP / Mining</w:t>
            </w:r>
          </w:p>
        </w:tc>
        <w:tc>
          <w:tcPr>
            <w:tcW w:type="dxa" w:w="6803"/>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spaCy, Hugging Face Transformers, Grobid (PDF parsing), LangChain</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Database</w:t>
            </w:r>
          </w:p>
        </w:tc>
        <w:tc>
          <w:tcPr>
            <w:tcW w:type="dxa" w:w="6803"/>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PostgreSQL + pgvector, Redis (cache), Apache Parquet (data lake)</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Pipeline / Orchestration</w:t>
            </w:r>
          </w:p>
        </w:tc>
        <w:tc>
          <w:tcPr>
            <w:tcW w:type="dxa" w:w="6803"/>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Apache Airflow, Prefect, or Dagster</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API</w:t>
            </w:r>
          </w:p>
        </w:tc>
        <w:tc>
          <w:tcPr>
            <w:tcW w:type="dxa" w:w="6803"/>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FastAPI (Python), Pydantic, GraphQL (Strawberry)</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Visualisation</w:t>
            </w:r>
          </w:p>
        </w:tc>
        <w:tc>
          <w:tcPr>
            <w:tcW w:type="dxa" w:w="6803"/>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Recharts (frontend), Plotly, Seaborn (analysis notebooks)</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DevOps</w:t>
            </w:r>
          </w:p>
        </w:tc>
        <w:tc>
          <w:tcPr>
            <w:tcW w:type="dxa" w:w="6803"/>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Docker, GitHub Actions CI/CD, AWS / GCP / Azure</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Data Standards</w:t>
            </w:r>
          </w:p>
        </w:tc>
        <w:tc>
          <w:tcPr>
            <w:tcW w:type="dxa" w:w="6803"/>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schema.org/Dataset, DataCite, FAIR principles, Dublin Core</w:t>
            </w:r>
          </w:p>
        </w:tc>
      </w:tr>
    </w:tbl>
    <w:p>
      <w:pPr>
        <w:spacing w:after="120"/>
      </w:pPr>
    </w:p>
    <w:p>
      <w:r>
        <w:br w:type="page"/>
      </w:r>
    </w:p>
    <w:p>
      <w:pPr>
        <w:pStyle w:val="Heading1"/>
      </w:pPr>
      <w:r>
        <w:t>7.  User Evaluation &amp; Feedback Strategy</w:t>
      </w:r>
    </w:p>
    <w:p>
      <w:pPr>
        <w:spacing w:before="40" w:after="160"/>
        <w:pBdr>
          <w:bottom w:val="single" w:sz="6" w:space="1" w:color="15803D"/>
        </w:pBdr>
      </w:pPr>
    </w:p>
    <w:p>
      <w:pPr>
        <w:spacing w:before="40" w:after="120"/>
      </w:pPr>
      <w:r>
        <w:rPr>
          <w:rFonts w:ascii="Arial" w:hAnsi="Arial"/>
          <w:b w:val="0"/>
          <w:i w:val="0"/>
          <w:color w:val="475569"/>
          <w:sz w:val="21"/>
        </w:rPr>
        <w:t>A critical next phase of BiocharHub's development involves conducting systematic user evaluation studies — spanning surveys, questionnaires, and in-depth interviews — across a spectrum of user profiles, from individual researchers and graduate students to commercial operators and policy analysts. Collecting and analysing user feedback in a structured way is essential to assess the platform's applicability, identify usability gaps, and prioritise improvements that maximise real-world impact.</w:t>
      </w:r>
    </w:p>
    <w:p>
      <w:pPr>
        <w:pStyle w:val="Heading2"/>
      </w:pPr>
      <w:r>
        <w:t>7.1  Rationale &amp; Scientific Basis</w:t>
      </w:r>
    </w:p>
    <w:p>
      <w:pPr>
        <w:spacing w:before="40" w:after="120"/>
      </w:pPr>
      <w:r>
        <w:rPr>
          <w:rFonts w:ascii="Arial" w:hAnsi="Arial"/>
          <w:b w:val="0"/>
          <w:i w:val="0"/>
          <w:color w:val="475569"/>
          <w:sz w:val="21"/>
        </w:rPr>
        <w:t>Structured user evaluation of web-based scientific tools has well-established methodological foundations. The Technology Acceptance Model (TAM; Davis, 1989) provides a validated framework for assessing perceived usefulness and perceived ease of use — the two primary determinants of user adoption for information systems. For web-based research platforms, prior studies confirm that TAM constructs reliably predict adoption intention among academic users (Venkatesh &amp; Davis, 2000).</w:t>
      </w:r>
    </w:p>
    <w:p>
      <w:pPr>
        <w:spacing w:before="40" w:after="120"/>
      </w:pPr>
      <w:r>
        <w:rPr>
          <w:rFonts w:ascii="Arial" w:hAnsi="Arial"/>
          <w:b w:val="0"/>
          <w:i w:val="0"/>
          <w:color w:val="475569"/>
          <w:sz w:val="21"/>
        </w:rPr>
        <w:t>The System Usability Scale (SUS; Brooke, 1996) offers a standardised 10-item questionnaire yielding a composite usability score (0–100) that has been applied to evaluate scientific software across domains including bioinformatics databases (Bolchini et al., 2009) and ML-powered materials science tools (Jain et al., 2013). SUS benchmarks indicate scores &gt; 68 represent above-average usability.</w:t>
      </w:r>
    </w:p>
    <w:p>
      <w:pPr>
        <w:spacing w:before="40" w:after="120"/>
      </w:pPr>
      <w:r>
        <w:rPr>
          <w:rFonts w:ascii="Arial" w:hAnsi="Arial"/>
          <w:b w:val="0"/>
          <w:i w:val="0"/>
          <w:color w:val="475569"/>
          <w:sz w:val="21"/>
        </w:rPr>
        <w:t>Qualitative in-depth interviews following a semi-structured protocol (DiCicco-Bloom &amp; Crabtree, 2006) allow participants to articulate needs and workflows that closed-ended surveys cannot capture — a critical complement when evaluating domain-specific tools with expert user bases.</w:t>
      </w:r>
    </w:p>
    <w:p>
      <w:pPr>
        <w:pStyle w:val="Heading2"/>
      </w:pPr>
      <w:r>
        <w:t>7.2  User Evaluation Framework</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Evaluation Level</w:t>
            </w:r>
          </w:p>
        </w:tc>
        <w:tc>
          <w:tcPr>
            <w:tcW w:type="dxa" w:w="2268"/>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Target Audience</w:t>
            </w:r>
          </w:p>
        </w:tc>
        <w:tc>
          <w:tcPr>
            <w:tcW w:type="dxa" w:w="2835"/>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Method</w:t>
            </w:r>
          </w:p>
        </w:tc>
        <w:tc>
          <w:tcPr>
            <w:tcW w:type="dxa" w:w="1701"/>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Key Metrics</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Personal / Academic</w:t>
            </w:r>
          </w:p>
        </w:tc>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Graduate students, researchers, academic staff</w:t>
            </w:r>
          </w:p>
        </w:tc>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Online survey (SUS + TAM) + think-aloud usability session</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SUS score, task completion rate, perceived usefulness</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Institutional / Lab</w:t>
            </w:r>
          </w:p>
        </w:tc>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Research group leaders, lab managers, data curators</w:t>
            </w:r>
          </w:p>
        </w:tc>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Semi-structured interview (45–60 min) + scenario walkthrough</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Workflow fit, data accuracy perception, collaboration needs</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Commercial / Industry</w:t>
            </w:r>
          </w:p>
        </w:tc>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Carbon credit analysts, biochar producers, agri-tech firms</w:t>
            </w:r>
          </w:p>
        </w:tc>
        <w:tc>
          <w:tcPr>
            <w:tcW w:type="dxa" w:w="283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Structured questionnaire + expert focus group (4–6 participants)</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Commercial applicability, feature gaps, API interest</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Policy / Government</w:t>
            </w:r>
          </w:p>
        </w:tc>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Environmental regulators, sustainability officers</w:t>
            </w:r>
          </w:p>
        </w:tc>
        <w:tc>
          <w:tcPr>
            <w:tcW w:type="dxa" w:w="283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Questionnaire + structured interview</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Data trustworthiness, regulatory utility, reporting format needs</w:t>
            </w:r>
          </w:p>
        </w:tc>
      </w:tr>
    </w:tbl>
    <w:p>
      <w:pPr>
        <w:spacing w:after="120"/>
      </w:pPr>
    </w:p>
    <w:p>
      <w:pPr>
        <w:pStyle w:val="Heading2"/>
      </w:pPr>
      <w:r>
        <w:t>7.3  Survey &amp; Questionnaire Instrument Design</w:t>
      </w:r>
    </w:p>
    <w:p>
      <w:pPr>
        <w:spacing w:before="40" w:after="120"/>
      </w:pPr>
      <w:r>
        <w:rPr>
          <w:rFonts w:ascii="Arial" w:hAnsi="Arial"/>
          <w:b w:val="0"/>
          <w:i w:val="0"/>
          <w:color w:val="475569"/>
          <w:sz w:val="21"/>
        </w:rPr>
        <w:t>The evaluation instrument will consist of three integrated sections:</w:t>
      </w:r>
    </w:p>
    <w:p>
      <w:pPr>
        <w:pStyle w:val="ListBullet"/>
        <w:spacing w:before="20" w:after="60"/>
        <w:ind w:left="397"/>
      </w:pPr>
      <w:r>
        <w:rPr>
          <w:rFonts w:ascii="Arial" w:hAnsi="Arial"/>
          <w:color w:val="475569"/>
          <w:sz w:val="21"/>
        </w:rPr>
        <w:t>Section A — Demographic &amp; Context Profile: role, discipline, years of experience with biochar research, frequency of database use, programming proficiency (non-coder / intermediate / expert)</w:t>
      </w:r>
    </w:p>
    <w:p>
      <w:pPr>
        <w:pStyle w:val="ListBullet"/>
        <w:spacing w:before="20" w:after="60"/>
        <w:ind w:left="397"/>
      </w:pPr>
      <w:r>
        <w:rPr>
          <w:rFonts w:ascii="Arial" w:hAnsi="Arial"/>
          <w:color w:val="475569"/>
          <w:sz w:val="21"/>
        </w:rPr>
        <w:t>Section B — System Usability Scale (SUS): the standard 10-item scale with 5-point Likert response (Strongly Disagree → Strongly Agree), yielding a composite score benchmarked against industry norms</w:t>
      </w:r>
    </w:p>
    <w:p>
      <w:pPr>
        <w:pStyle w:val="ListBullet"/>
        <w:spacing w:before="20" w:after="60"/>
        <w:ind w:left="397"/>
      </w:pPr>
      <w:r>
        <w:rPr>
          <w:rFonts w:ascii="Arial" w:hAnsi="Arial"/>
          <w:color w:val="475569"/>
          <w:sz w:val="21"/>
        </w:rPr>
        <w:t>Section C — Domain-Specific Applicability Questions: perceived accuracy of ML predictions, usefulness of individual tools (CO₂ Predictor / Property Estimator / Materials Advisor), data coverage satisfaction, and open-text improvement suggestions</w:t>
      </w:r>
    </w:p>
    <w:p>
      <w:pPr>
        <w:pStyle w:val="ListBullet"/>
        <w:spacing w:before="20" w:after="60"/>
        <w:ind w:left="397"/>
      </w:pPr>
      <w:r>
        <w:rPr>
          <w:rFonts w:ascii="Arial" w:hAnsi="Arial"/>
          <w:color w:val="475569"/>
          <w:sz w:val="21"/>
        </w:rPr>
        <w:t>Section D — Feature Priority Ranking: participants rank 12 planned features (API access, multi-language support, export formats, prediction confidence intervals, etc.) by importance to their workflow</w:t>
      </w:r>
    </w:p>
    <w:p>
      <w:pPr>
        <w:pStyle w:val="Heading2"/>
      </w:pPr>
      <w:r>
        <w:t>7.4  Data Analysis Plan</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Analysis</w:t>
            </w:r>
          </w:p>
        </w:tc>
        <w:tc>
          <w:tcPr>
            <w:tcW w:type="dxa" w:w="3118"/>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Method</w:t>
            </w:r>
          </w:p>
        </w:tc>
        <w:tc>
          <w:tcPr>
            <w:tcW w:type="dxa" w:w="3685"/>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Output</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Usability benchmarking</w:t>
            </w:r>
          </w:p>
        </w:tc>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SUS scoring + percentile ranking vs. published norms</w:t>
            </w:r>
          </w:p>
        </w:tc>
        <w:tc>
          <w:tcPr>
            <w:tcW w:type="dxa" w:w="368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Overall usability grade (A–F) + priority fix list</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TAM structural model</w:t>
            </w:r>
          </w:p>
        </w:tc>
        <w:tc>
          <w:tcPr>
            <w:tcW w:type="dxa" w:w="311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Partial Least Squares SEM (PLS-SEM)</w:t>
            </w:r>
          </w:p>
        </w:tc>
        <w:tc>
          <w:tcPr>
            <w:tcW w:type="dxa" w:w="368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Path coefficients: usefulness → intention to use</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Qualitative coding</w:t>
            </w:r>
          </w:p>
        </w:tc>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Thematic analysis (Braun &amp; Clarke, 2006) on interview transcripts</w:t>
            </w:r>
          </w:p>
        </w:tc>
        <w:tc>
          <w:tcPr>
            <w:tcW w:type="dxa" w:w="368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Affinity diagram → ranked improvement themes</w:t>
            </w:r>
          </w:p>
        </w:tc>
      </w:tr>
      <w:tr>
        <w:tc>
          <w:tcPr>
            <w:tcW w:type="dxa" w:w="226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Feature prioritisation</w:t>
            </w:r>
          </w:p>
        </w:tc>
        <w:tc>
          <w:tcPr>
            <w:tcW w:type="dxa" w:w="3118"/>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Kano model analysis on ranked features</w:t>
            </w:r>
          </w:p>
        </w:tc>
        <w:tc>
          <w:tcPr>
            <w:tcW w:type="dxa" w:w="3685"/>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Must-have / performance / delight feature classification</w:t>
            </w:r>
          </w:p>
        </w:tc>
      </w:tr>
      <w:tr>
        <w:tc>
          <w:tcPr>
            <w:tcW w:type="dxa" w:w="226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User segmentation</w:t>
            </w:r>
          </w:p>
        </w:tc>
        <w:tc>
          <w:tcPr>
            <w:tcW w:type="dxa" w:w="3118"/>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k-means clustering on survey response patterns</w:t>
            </w:r>
          </w:p>
        </w:tc>
        <w:tc>
          <w:tcPr>
            <w:tcW w:type="dxa" w:w="3685"/>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3–4 distinct user persona profiles</w:t>
            </w:r>
          </w:p>
        </w:tc>
      </w:tr>
    </w:tbl>
    <w:p>
      <w:pPr>
        <w:spacing w:after="120"/>
      </w:pPr>
    </w:p>
    <w:p>
      <w:pPr>
        <w:pStyle w:val="Heading2"/>
      </w:pPr>
      <w:r>
        <w:t>7.5  Scientific References — User Evaluation</w:t>
      </w:r>
    </w:p>
    <w:p>
      <w:pPr>
        <w:spacing w:before="40" w:after="80"/>
        <w:ind w:left="283"/>
      </w:pPr>
      <w:r>
        <w:rPr>
          <w:rFonts w:ascii="Arial" w:hAnsi="Arial"/>
          <w:b/>
          <w:color w:val="15803D"/>
          <w:sz w:val="18"/>
        </w:rPr>
        <w:t xml:space="preserve">[1]  </w:t>
      </w:r>
      <w:r>
        <w:rPr>
          <w:rFonts w:ascii="Arial" w:hAnsi="Arial"/>
          <w:color w:val="475569"/>
          <w:sz w:val="18"/>
        </w:rPr>
        <w:t>Davis, F. D. (1989). Perceived usefulness, perceived ease of use, and user acceptance of information technology. MIS Quarterly, 13(3), 319–340. https://doi.org/10.2307/249008</w:t>
      </w:r>
    </w:p>
    <w:p>
      <w:pPr>
        <w:spacing w:before="40" w:after="80"/>
        <w:ind w:left="283"/>
      </w:pPr>
      <w:r>
        <w:rPr>
          <w:rFonts w:ascii="Arial" w:hAnsi="Arial"/>
          <w:b/>
          <w:color w:val="15803D"/>
          <w:sz w:val="18"/>
        </w:rPr>
        <w:t xml:space="preserve">[2]  </w:t>
      </w:r>
      <w:r>
        <w:rPr>
          <w:rFonts w:ascii="Arial" w:hAnsi="Arial"/>
          <w:color w:val="475569"/>
          <w:sz w:val="18"/>
        </w:rPr>
        <w:t>Venkatesh, V., &amp; Davis, F. D. (2000). A theoretical extension of the technology acceptance model: Four longitudinal field studies. Management Science, 46(2), 186–204.</w:t>
      </w:r>
    </w:p>
    <w:p>
      <w:pPr>
        <w:spacing w:before="40" w:after="80"/>
        <w:ind w:left="283"/>
      </w:pPr>
      <w:r>
        <w:rPr>
          <w:rFonts w:ascii="Arial" w:hAnsi="Arial"/>
          <w:b/>
          <w:color w:val="15803D"/>
          <w:sz w:val="18"/>
        </w:rPr>
        <w:t xml:space="preserve">[3]  </w:t>
      </w:r>
      <w:r>
        <w:rPr>
          <w:rFonts w:ascii="Arial" w:hAnsi="Arial"/>
          <w:color w:val="475569"/>
          <w:sz w:val="18"/>
        </w:rPr>
        <w:t>Brooke, J. (1996). SUS — A quick and dirty usability scale. In P. W. Jordan et al. (Eds.), Usability evaluation in industry (pp. 189–194). Taylor &amp; Francis.</w:t>
      </w:r>
    </w:p>
    <w:p>
      <w:pPr>
        <w:spacing w:before="40" w:after="80"/>
        <w:ind w:left="283"/>
      </w:pPr>
      <w:r>
        <w:rPr>
          <w:rFonts w:ascii="Arial" w:hAnsi="Arial"/>
          <w:b/>
          <w:color w:val="15803D"/>
          <w:sz w:val="18"/>
        </w:rPr>
        <w:t xml:space="preserve">[4]  </w:t>
      </w:r>
      <w:r>
        <w:rPr>
          <w:rFonts w:ascii="Arial" w:hAnsi="Arial"/>
          <w:color w:val="475569"/>
          <w:sz w:val="18"/>
        </w:rPr>
        <w:t>Bolchini, D., Garzotto, F., &amp; Sorce, S. (2009). Investigating user experience quality of web information systems in biomedicine. In Proceedings of the 3rd International Conference on Bioinformatics (pp. 77–85).</w:t>
      </w:r>
    </w:p>
    <w:p>
      <w:pPr>
        <w:spacing w:before="40" w:after="80"/>
        <w:ind w:left="283"/>
      </w:pPr>
      <w:r>
        <w:rPr>
          <w:rFonts w:ascii="Arial" w:hAnsi="Arial"/>
          <w:b/>
          <w:color w:val="15803D"/>
          <w:sz w:val="18"/>
        </w:rPr>
        <w:t xml:space="preserve">[5]  </w:t>
      </w:r>
      <w:r>
        <w:rPr>
          <w:rFonts w:ascii="Arial" w:hAnsi="Arial"/>
          <w:color w:val="475569"/>
          <w:sz w:val="18"/>
        </w:rPr>
        <w:t>Jain, A., Ong, S. P., Hautier, G., et al. (2013). Commentary: The Materials Project: A materials genome approach to accelerating materials innovation. APL Materials, 1(1), 011002. https://doi.org/10.1063/1.4812323</w:t>
      </w:r>
    </w:p>
    <w:p>
      <w:pPr>
        <w:spacing w:before="40" w:after="80"/>
        <w:ind w:left="283"/>
      </w:pPr>
      <w:r>
        <w:rPr>
          <w:rFonts w:ascii="Arial" w:hAnsi="Arial"/>
          <w:b/>
          <w:color w:val="15803D"/>
          <w:sz w:val="18"/>
        </w:rPr>
        <w:t xml:space="preserve">[6]  </w:t>
      </w:r>
      <w:r>
        <w:rPr>
          <w:rFonts w:ascii="Arial" w:hAnsi="Arial"/>
          <w:color w:val="475569"/>
          <w:sz w:val="18"/>
        </w:rPr>
        <w:t>DiCicco-Bloom, B., &amp; Crabtree, B. F. (2006). The qualitative research interview. Medical Education, 40(4), 314–321. https://doi.org/10.1111/j.1365-2929.2006.02418.x</w:t>
      </w:r>
    </w:p>
    <w:p>
      <w:pPr>
        <w:spacing w:before="40" w:after="80"/>
        <w:ind w:left="283"/>
      </w:pPr>
      <w:r>
        <w:rPr>
          <w:rFonts w:ascii="Arial" w:hAnsi="Arial"/>
          <w:b/>
          <w:color w:val="15803D"/>
          <w:sz w:val="18"/>
        </w:rPr>
        <w:t xml:space="preserve">[7]  </w:t>
      </w:r>
      <w:r>
        <w:rPr>
          <w:rFonts w:ascii="Arial" w:hAnsi="Arial"/>
          <w:color w:val="475569"/>
          <w:sz w:val="18"/>
        </w:rPr>
        <w:t>Braun, V., &amp; Clarke, V. (2006). Using thematic analysis in psychology. Qualitative Research in Psychology, 3(2), 77–101. https://doi.org/10.1191/1478088706qp063oa</w:t>
      </w:r>
    </w:p>
    <w:p>
      <w:pPr>
        <w:spacing w:before="40" w:after="80"/>
        <w:ind w:left="283"/>
      </w:pPr>
      <w:r>
        <w:rPr>
          <w:rFonts w:ascii="Arial" w:hAnsi="Arial"/>
          <w:b/>
          <w:color w:val="15803D"/>
          <w:sz w:val="18"/>
        </w:rPr>
        <w:t xml:space="preserve">[8]  </w:t>
      </w:r>
      <w:r>
        <w:rPr>
          <w:rFonts w:ascii="Arial" w:hAnsi="Arial"/>
          <w:color w:val="475569"/>
          <w:sz w:val="18"/>
        </w:rPr>
        <w:t>Hair, J. F., Ringle, C. M., &amp; Sarstedt, M. (2011). PLS-SEM: Indeed a silver bullet. Journal of Marketing Theory and Practice, 19(2), 139–152.</w:t>
      </w:r>
    </w:p>
    <w:p>
      <w:pPr>
        <w:spacing w:before="40" w:after="80"/>
        <w:ind w:left="283"/>
      </w:pPr>
      <w:r>
        <w:rPr>
          <w:rFonts w:ascii="Arial" w:hAnsi="Arial"/>
          <w:b/>
          <w:color w:val="15803D"/>
          <w:sz w:val="18"/>
        </w:rPr>
        <w:t xml:space="preserve">[9]  </w:t>
      </w:r>
      <w:r>
        <w:rPr>
          <w:rFonts w:ascii="Arial" w:hAnsi="Arial"/>
          <w:color w:val="475569"/>
          <w:sz w:val="18"/>
        </w:rPr>
        <w:t>Nielsen, J. (1994). Usability engineering. Morgan Kaufmann. [Heuristic evaluation framework — benchmark for usability quality thresholds]</w:t>
      </w:r>
    </w:p>
    <w:p>
      <w:pPr>
        <w:spacing w:before="40" w:after="80"/>
        <w:ind w:left="283"/>
      </w:pPr>
      <w:r>
        <w:rPr>
          <w:rFonts w:ascii="Arial" w:hAnsi="Arial"/>
          <w:b/>
          <w:color w:val="15803D"/>
          <w:sz w:val="18"/>
        </w:rPr>
        <w:t xml:space="preserve">[10]  </w:t>
      </w:r>
      <w:r>
        <w:rPr>
          <w:rFonts w:ascii="Arial" w:hAnsi="Arial"/>
          <w:color w:val="475569"/>
          <w:sz w:val="18"/>
        </w:rPr>
        <w:t>Sauro, J., &amp; Lewis, J. R. (2016). Quantifying the user experience: Practical statistics for user research (2nd ed.). Morgan Kaufmann.</w:t>
      </w:r>
    </w:p>
    <w:p>
      <w:r>
        <w:br w:type="page"/>
      </w:r>
    </w:p>
    <w:p>
      <w:pPr>
        <w:pStyle w:val="Heading1"/>
      </w:pPr>
      <w:r>
        <w:t>8.  Multimedia Outreach &amp; Video Tutorial Development</w:t>
      </w:r>
    </w:p>
    <w:p>
      <w:pPr>
        <w:spacing w:before="40" w:after="160"/>
        <w:pBdr>
          <w:bottom w:val="single" w:sz="6" w:space="1" w:color="15803D"/>
        </w:pBdr>
      </w:pPr>
    </w:p>
    <w:p>
      <w:pPr>
        <w:spacing w:before="40" w:after="120"/>
      </w:pPr>
      <w:r>
        <w:rPr>
          <w:rFonts w:ascii="Arial" w:hAnsi="Arial"/>
          <w:b w:val="0"/>
          <w:i w:val="0"/>
          <w:color w:val="475569"/>
          <w:sz w:val="21"/>
        </w:rPr>
        <w:t>A subsequent development phase will involve creating short-format instructional videos demonstrating the use of BiocharHub — supplementing the offline written manual with accessible, visual content published on YouTube and other open platforms. Short-form video tutorials reduce the learning curve for new users, increase platform visibility in the research community, and provide an additional communication channel for non-English-speaking audiences through subtitles and voice-overs.</w:t>
      </w:r>
    </w:p>
    <w:p>
      <w:pPr>
        <w:pStyle w:val="Heading2"/>
      </w:pPr>
      <w:r>
        <w:t>8.1  Rationale &amp; Scientific Basis</w:t>
      </w:r>
    </w:p>
    <w:p>
      <w:pPr>
        <w:spacing w:before="40" w:after="120"/>
      </w:pPr>
      <w:r>
        <w:rPr>
          <w:rFonts w:ascii="Arial" w:hAnsi="Arial"/>
          <w:b w:val="0"/>
          <w:i w:val="0"/>
          <w:color w:val="475569"/>
          <w:sz w:val="21"/>
        </w:rPr>
        <w:t>Short-form instructional video (1–8 minutes) has been shown to significantly improve task performance and learning retention in STEM domains compared to text-only manuals (Merrill, 2002; Mayer, 2009). The Multimedia Learning Theory (Mayer, 2009) demonstrates that simultaneous audio narration and screen-capture video activates dual-channel cognitive processing — verbal and pictorial — leading to deeper understanding than text alone.</w:t>
      </w:r>
    </w:p>
    <w:p>
      <w:pPr>
        <w:spacing w:before="40" w:after="120"/>
      </w:pPr>
      <w:r>
        <w:rPr>
          <w:rFonts w:ascii="Arial" w:hAnsi="Arial"/>
          <w:b w:val="0"/>
          <w:i w:val="0"/>
          <w:color w:val="475569"/>
          <w:sz w:val="21"/>
        </w:rPr>
        <w:t>In academic contexts, YouTube tutorials for scientific software (e.g., VESTA for crystal structure visualisation, ORCA for computational chemistry, and Galaxy for bioinformatics) have demonstrated measurable increases in tool adoption among researchers who might otherwise perceive the learning barrier as too high (Cock et al., 2010; Afgan et al., 2018). Short-form video (&lt; 5 minutes) achieves higher completion rates than longer tutorials (Guo et al., 2014 — MIT/edX study of 6.9 million MOOC videos).</w:t>
      </w:r>
    </w:p>
    <w:p>
      <w:pPr>
        <w:spacing w:before="40" w:after="120"/>
      </w:pPr>
      <w:r>
        <w:rPr>
          <w:rFonts w:ascii="Arial" w:hAnsi="Arial"/>
          <w:b w:val="0"/>
          <w:i w:val="0"/>
          <w:color w:val="475569"/>
          <w:sz w:val="21"/>
        </w:rPr>
        <w:t>For a bilingual platform serving Thai and international audiences, adding Thai-language narration tracks and subtitles aligns with UNESCO guidance on mother-tongue instruction for digital literacy (UNESCO, 2016) and extends platform reach to users with lower English proficiency.</w:t>
      </w:r>
    </w:p>
    <w:p>
      <w:pPr>
        <w:pStyle w:val="Heading2"/>
      </w:pPr>
      <w:r>
        <w:t>8.2  Proposed Video Content Plan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850"/>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Video #</w:t>
            </w:r>
          </w:p>
        </w:tc>
        <w:tc>
          <w:tcPr>
            <w:tcW w:type="dxa" w:w="3402"/>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Title</w:t>
            </w:r>
          </w:p>
        </w:tc>
        <w:tc>
          <w:tcPr>
            <w:tcW w:type="dxa" w:w="1134"/>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Duration</w:t>
            </w:r>
          </w:p>
        </w:tc>
        <w:tc>
          <w:tcPr>
            <w:tcW w:type="dxa" w:w="1984"/>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Target Audience</w:t>
            </w:r>
          </w:p>
        </w:tc>
        <w:tc>
          <w:tcPr>
            <w:tcW w:type="dxa" w:w="1701"/>
            <w:shd w:val="clear" w:color="auto" w:fill="15803D"/>
            <w:tcBorders>
              <w:top w:val="single" w:sz="4" w:space="0" w:color="1A6B3A"/>
              <w:left w:val="single" w:sz="4" w:space="0" w:color="1A6B3A"/>
              <w:bottom w:val="single" w:sz="4" w:space="0" w:color="1A6B3A"/>
              <w:right w:val="single" w:sz="4" w:space="0" w:color="1A6B3A"/>
            </w:tcBorders>
          </w:tcPr>
          <w:p>
            <w:pPr>
              <w:jc w:val="center"/>
            </w:pPr>
            <w:r>
              <w:rPr>
                <w:rFonts w:ascii="Arial" w:hAnsi="Arial"/>
                <w:b/>
                <w:color w:val="FFFFFF"/>
                <w:sz w:val="19"/>
              </w:rPr>
              <w:t>Platform</w:t>
            </w:r>
          </w:p>
        </w:tc>
      </w:tr>
      <w:tr>
        <w:tc>
          <w:tcPr>
            <w:tcW w:type="dxa" w:w="850"/>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V01</w:t>
            </w:r>
          </w:p>
        </w:tc>
        <w:tc>
          <w:tcPr>
            <w:tcW w:type="dxa" w:w="340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What is BiocharHub? — Platform Overview</w:t>
            </w:r>
          </w:p>
        </w:tc>
        <w:tc>
          <w:tcPr>
            <w:tcW w:type="dxa" w:w="113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2–3 min</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General / new users</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YouTube · Website embed</w:t>
            </w:r>
          </w:p>
        </w:tc>
      </w:tr>
      <w:tr>
        <w:tc>
          <w:tcPr>
            <w:tcW w:type="dxa" w:w="850"/>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V02</w:t>
            </w:r>
          </w:p>
        </w:tc>
        <w:tc>
          <w:tcPr>
            <w:tcW w:type="dxa" w:w="3402"/>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Searching the Database — Filters, Export &amp; DOI Links</w:t>
            </w:r>
          </w:p>
        </w:tc>
        <w:tc>
          <w:tcPr>
            <w:tcW w:type="dxa" w:w="113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3–4 min</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Researchers / students</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YouTube · Website embed</w:t>
            </w:r>
          </w:p>
        </w:tc>
      </w:tr>
      <w:tr>
        <w:tc>
          <w:tcPr>
            <w:tcW w:type="dxa" w:w="850"/>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V03</w:t>
            </w:r>
          </w:p>
        </w:tc>
        <w:tc>
          <w:tcPr>
            <w:tcW w:type="dxa" w:w="340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CO₂ Predictor — Step-by-Step Walkthrough</w:t>
            </w:r>
          </w:p>
        </w:tc>
        <w:tc>
          <w:tcPr>
            <w:tcW w:type="dxa" w:w="113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4–5 min</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ML tool users</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YouTube · FAQ page</w:t>
            </w:r>
          </w:p>
        </w:tc>
      </w:tr>
      <w:tr>
        <w:tc>
          <w:tcPr>
            <w:tcW w:type="dxa" w:w="850"/>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V04</w:t>
            </w:r>
          </w:p>
        </w:tc>
        <w:tc>
          <w:tcPr>
            <w:tcW w:type="dxa" w:w="3402"/>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Property Estimator — Structural Property Prediction</w:t>
            </w:r>
          </w:p>
        </w:tc>
        <w:tc>
          <w:tcPr>
            <w:tcW w:type="dxa" w:w="113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3–4 min</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Materials scientists</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YouTube · FAQ page</w:t>
            </w:r>
          </w:p>
        </w:tc>
      </w:tr>
      <w:tr>
        <w:tc>
          <w:tcPr>
            <w:tcW w:type="dxa" w:w="850"/>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V05</w:t>
            </w:r>
          </w:p>
        </w:tc>
        <w:tc>
          <w:tcPr>
            <w:tcW w:type="dxa" w:w="340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Materials Advisor — Finding Optimal Production Conditions</w:t>
            </w:r>
          </w:p>
        </w:tc>
        <w:tc>
          <w:tcPr>
            <w:tcW w:type="dxa" w:w="113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4–5 min</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Engineers / designers</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YouTube · FAQ page</w:t>
            </w:r>
          </w:p>
        </w:tc>
      </w:tr>
      <w:tr>
        <w:tc>
          <w:tcPr>
            <w:tcW w:type="dxa" w:w="850"/>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V06</w:t>
            </w:r>
          </w:p>
        </w:tc>
        <w:tc>
          <w:tcPr>
            <w:tcW w:type="dxa" w:w="3402"/>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Export Reports — Download &amp; Cite Your Results</w:t>
            </w:r>
          </w:p>
        </w:tc>
        <w:tc>
          <w:tcPr>
            <w:tcW w:type="dxa" w:w="113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2–3 min</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All users</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YouTube</w:t>
            </w:r>
          </w:p>
        </w:tc>
      </w:tr>
      <w:tr>
        <w:tc>
          <w:tcPr>
            <w:tcW w:type="dxa" w:w="850"/>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V07</w:t>
            </w:r>
          </w:p>
        </w:tc>
        <w:tc>
          <w:tcPr>
            <w:tcW w:type="dxa" w:w="340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Understanding the Science — Biochar &amp; CO₂ Adsorption Basics</w:t>
            </w:r>
          </w:p>
        </w:tc>
        <w:tc>
          <w:tcPr>
            <w:tcW w:type="dxa" w:w="113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5–6 min</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Students / policymakers</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YouTube · Education</w:t>
            </w:r>
          </w:p>
        </w:tc>
      </w:tr>
      <w:tr>
        <w:tc>
          <w:tcPr>
            <w:tcW w:type="dxa" w:w="850"/>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V08</w:t>
            </w:r>
          </w:p>
        </w:tc>
        <w:tc>
          <w:tcPr>
            <w:tcW w:type="dxa" w:w="3402"/>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Full Workflow Tutorial — Property → CO₂ → Advisor Chain</w:t>
            </w:r>
          </w:p>
        </w:tc>
        <w:tc>
          <w:tcPr>
            <w:tcW w:type="dxa" w:w="113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6–8 min</w:t>
            </w:r>
          </w:p>
        </w:tc>
        <w:tc>
          <w:tcPr>
            <w:tcW w:type="dxa" w:w="1984"/>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Advanced / research users</w:t>
            </w:r>
          </w:p>
        </w:tc>
        <w:tc>
          <w:tcPr>
            <w:tcW w:type="dxa" w:w="1701"/>
            <w:shd w:val="clear" w:color="auto" w:fill="FFFFFF"/>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YouTube · Course</w:t>
            </w:r>
          </w:p>
        </w:tc>
      </w:tr>
      <w:tr>
        <w:tc>
          <w:tcPr>
            <w:tcW w:type="dxa" w:w="850"/>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V09</w:t>
            </w:r>
          </w:p>
        </w:tc>
        <w:tc>
          <w:tcPr>
            <w:tcW w:type="dxa" w:w="3402"/>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BiocharHub สำหรับผู้ใช้ภาษาไทย (TH Language Tutorial)</w:t>
            </w:r>
          </w:p>
        </w:tc>
        <w:tc>
          <w:tcPr>
            <w:tcW w:type="dxa" w:w="113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3–4 min</w:t>
            </w:r>
          </w:p>
        </w:tc>
        <w:tc>
          <w:tcPr>
            <w:tcW w:type="dxa" w:w="1984"/>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Thai-speaking audience</w:t>
            </w:r>
          </w:p>
        </w:tc>
        <w:tc>
          <w:tcPr>
            <w:tcW w:type="dxa" w:w="1701"/>
            <w:shd w:val="clear" w:color="auto" w:fill="F0FDF4"/>
            <w:tcBorders>
              <w:top w:val="single" w:sz="4" w:space="0" w:color="D1FAE5"/>
              <w:left w:val="single" w:sz="4" w:space="0" w:color="D1FAE5"/>
              <w:bottom w:val="single" w:sz="4" w:space="0" w:color="D1FAE5"/>
              <w:right w:val="single" w:sz="4" w:space="0" w:color="D1FAE5"/>
            </w:tcBorders>
          </w:tcPr>
          <w:p>
            <w:r>
              <w:rPr>
                <w:rFonts w:ascii="Arial" w:hAnsi="Arial"/>
                <w:color w:val="475569"/>
                <w:sz w:val="19"/>
              </w:rPr>
              <w:t>YouTube (TH channel)</w:t>
            </w:r>
          </w:p>
        </w:tc>
      </w:tr>
    </w:tbl>
    <w:p>
      <w:pPr>
        <w:spacing w:after="120"/>
      </w:pPr>
    </w:p>
    <w:p>
      <w:pPr>
        <w:pStyle w:val="Heading2"/>
      </w:pPr>
      <w:r>
        <w:t>8.3  Production Workflow</w:t>
      </w:r>
    </w:p>
    <w:p>
      <w:pPr>
        <w:pStyle w:val="ListBullet"/>
        <w:spacing w:before="20" w:after="60"/>
        <w:ind w:left="397"/>
      </w:pPr>
      <w:r>
        <w:rPr>
          <w:rFonts w:ascii="Arial" w:hAnsi="Arial"/>
          <w:color w:val="475569"/>
          <w:sz w:val="21"/>
        </w:rPr>
        <w:t>Screen recording — OBS Studio or Loom for high-resolution (1080p) screen capture with system audio</w:t>
      </w:r>
    </w:p>
    <w:p>
      <w:pPr>
        <w:pStyle w:val="ListBullet"/>
        <w:spacing w:before="20" w:after="60"/>
        <w:ind w:left="397"/>
      </w:pPr>
      <w:r>
        <w:rPr>
          <w:rFonts w:ascii="Arial" w:hAnsi="Arial"/>
          <w:color w:val="475569"/>
          <w:sz w:val="21"/>
        </w:rPr>
        <w:t>Narration — professional script written for each video; bilingual EN/TH versions recorded separately</w:t>
      </w:r>
    </w:p>
    <w:p>
      <w:pPr>
        <w:pStyle w:val="ListBullet"/>
        <w:spacing w:before="20" w:after="60"/>
        <w:ind w:left="397"/>
      </w:pPr>
      <w:r>
        <w:rPr>
          <w:rFonts w:ascii="Arial" w:hAnsi="Arial"/>
          <w:color w:val="475569"/>
          <w:sz w:val="21"/>
        </w:rPr>
        <w:t>Editing — DaVinci Resolve or CapCut for trim, annotation overlays, zoom-in highlights on key UI elements</w:t>
      </w:r>
    </w:p>
    <w:p>
      <w:pPr>
        <w:pStyle w:val="ListBullet"/>
        <w:spacing w:before="20" w:after="60"/>
        <w:ind w:left="397"/>
      </w:pPr>
      <w:r>
        <w:rPr>
          <w:rFonts w:ascii="Arial" w:hAnsi="Arial"/>
          <w:color w:val="475569"/>
          <w:sz w:val="21"/>
        </w:rPr>
        <w:t>Subtitles — auto-generated via YouTube captions, manually verified for scientific terminology accuracy</w:t>
      </w:r>
    </w:p>
    <w:p>
      <w:pPr>
        <w:pStyle w:val="ListBullet"/>
        <w:spacing w:before="20" w:after="60"/>
        <w:ind w:left="397"/>
      </w:pPr>
      <w:r>
        <w:rPr>
          <w:rFonts w:ascii="Arial" w:hAnsi="Arial"/>
          <w:color w:val="475569"/>
          <w:sz w:val="21"/>
        </w:rPr>
        <w:t>Metadata — keyword-optimised titles and descriptions for discoverability (biochar, CO₂ capture, kNN, machine learning, carbon sequestration)</w:t>
      </w:r>
    </w:p>
    <w:p>
      <w:pPr>
        <w:pStyle w:val="ListBullet"/>
        <w:spacing w:before="20" w:after="60"/>
        <w:ind w:left="397"/>
      </w:pPr>
      <w:r>
        <w:rPr>
          <w:rFonts w:ascii="Arial" w:hAnsi="Arial"/>
          <w:color w:val="475569"/>
          <w:sz w:val="21"/>
        </w:rPr>
        <w:t>Analytics — YouTube Studio metrics (watch time, average view duration, click-through rate) monitored quarterly to improve subsequent videos</w:t>
      </w:r>
    </w:p>
    <w:p>
      <w:pPr>
        <w:pStyle w:val="Heading2"/>
      </w:pPr>
      <w:r>
        <w:t>8.4  Integration with Platform</w:t>
      </w:r>
    </w:p>
    <w:p>
      <w:pPr>
        <w:pStyle w:val="ListBullet"/>
        <w:spacing w:before="20" w:after="60"/>
        <w:ind w:left="397"/>
      </w:pPr>
      <w:r>
        <w:rPr>
          <w:rFonts w:ascii="Arial" w:hAnsi="Arial"/>
          <w:color w:val="475569"/>
          <w:sz w:val="21"/>
        </w:rPr>
        <w:t>Embed relevant video thumbnails and iframes in the FAQ/Help Centre section of BiocharHub</w:t>
      </w:r>
    </w:p>
    <w:p>
      <w:pPr>
        <w:pStyle w:val="ListBullet"/>
        <w:spacing w:before="20" w:after="60"/>
        <w:ind w:left="397"/>
      </w:pPr>
      <w:r>
        <w:rPr>
          <w:rFonts w:ascii="Arial" w:hAnsi="Arial"/>
          <w:color w:val="475569"/>
          <w:sz w:val="21"/>
        </w:rPr>
        <w:t>Link video cards to the corresponding tool page (CO₂ Predictor, Property Estimator, Materials Advisor)</w:t>
      </w:r>
    </w:p>
    <w:p>
      <w:pPr>
        <w:pStyle w:val="ListBullet"/>
        <w:spacing w:before="20" w:after="60"/>
        <w:ind w:left="397"/>
      </w:pPr>
      <w:r>
        <w:rPr>
          <w:rFonts w:ascii="Arial" w:hAnsi="Arial"/>
          <w:color w:val="475569"/>
          <w:sz w:val="21"/>
        </w:rPr>
        <w:t>Include playlist QR code in the printed/PDF User Guide offline manual for offline-to-online bridging</w:t>
      </w:r>
    </w:p>
    <w:p>
      <w:pPr>
        <w:pStyle w:val="ListBullet"/>
        <w:spacing w:before="20" w:after="60"/>
        <w:ind w:left="397"/>
      </w:pPr>
      <w:r>
        <w:rPr>
          <w:rFonts w:ascii="Arial" w:hAnsi="Arial"/>
          <w:color w:val="475569"/>
          <w:sz w:val="21"/>
        </w:rPr>
        <w:t>Create a dedicated 'BiocharHub Tutorials' YouTube playlist with chapter timestamps for each section</w:t>
      </w:r>
    </w:p>
    <w:p>
      <w:pPr>
        <w:pStyle w:val="Heading2"/>
      </w:pPr>
      <w:r>
        <w:t>8.5  Scientific References — Multimedia Learning &amp; Video Tutorials</w:t>
      </w:r>
    </w:p>
    <w:p>
      <w:pPr>
        <w:spacing w:before="40" w:after="80"/>
        <w:ind w:left="283"/>
      </w:pPr>
      <w:r>
        <w:rPr>
          <w:rFonts w:ascii="Arial" w:hAnsi="Arial"/>
          <w:b/>
          <w:color w:val="15803D"/>
          <w:sz w:val="18"/>
        </w:rPr>
        <w:t xml:space="preserve">[11]  </w:t>
      </w:r>
      <w:r>
        <w:rPr>
          <w:rFonts w:ascii="Arial" w:hAnsi="Arial"/>
          <w:color w:val="475569"/>
          <w:sz w:val="18"/>
        </w:rPr>
        <w:t>Mayer, R. E. (2009). Multimedia learning (2nd ed.). Cambridge University Press. https://doi.org/10.1017/CBO9780511811678</w:t>
      </w:r>
    </w:p>
    <w:p>
      <w:pPr>
        <w:spacing w:before="40" w:after="80"/>
        <w:ind w:left="283"/>
      </w:pPr>
      <w:r>
        <w:rPr>
          <w:rFonts w:ascii="Arial" w:hAnsi="Arial"/>
          <w:b/>
          <w:color w:val="15803D"/>
          <w:sz w:val="18"/>
        </w:rPr>
        <w:t xml:space="preserve">[12]  </w:t>
      </w:r>
      <w:r>
        <w:rPr>
          <w:rFonts w:ascii="Arial" w:hAnsi="Arial"/>
          <w:color w:val="475569"/>
          <w:sz w:val="18"/>
        </w:rPr>
        <w:t>Merrill, M. D. (2002). First principles of instruction. Educational Technology Research and Development, 50(3), 43–59.</w:t>
      </w:r>
    </w:p>
    <w:p>
      <w:pPr>
        <w:spacing w:before="40" w:after="80"/>
        <w:ind w:left="283"/>
      </w:pPr>
      <w:r>
        <w:rPr>
          <w:rFonts w:ascii="Arial" w:hAnsi="Arial"/>
          <w:b/>
          <w:color w:val="15803D"/>
          <w:sz w:val="18"/>
        </w:rPr>
        <w:t xml:space="preserve">[13]  </w:t>
      </w:r>
      <w:r>
        <w:rPr>
          <w:rFonts w:ascii="Arial" w:hAnsi="Arial"/>
          <w:color w:val="475569"/>
          <w:sz w:val="18"/>
        </w:rPr>
        <w:t>Guo, P. J., Kim, J., &amp; Rubin, R. (2014). How video production affects student engagement: An empirical study of MOOC videos. Proceedings of the ACM Conference on Learning @ Scale (L@S), 41–50. https://doi.org/10.1145/2556325.2566239</w:t>
      </w:r>
    </w:p>
    <w:p>
      <w:pPr>
        <w:spacing w:before="40" w:after="80"/>
        <w:ind w:left="283"/>
      </w:pPr>
      <w:r>
        <w:rPr>
          <w:rFonts w:ascii="Arial" w:hAnsi="Arial"/>
          <w:b/>
          <w:color w:val="15803D"/>
          <w:sz w:val="18"/>
        </w:rPr>
        <w:t xml:space="preserve">[14]  </w:t>
      </w:r>
      <w:r>
        <w:rPr>
          <w:rFonts w:ascii="Arial" w:hAnsi="Arial"/>
          <w:color w:val="475569"/>
          <w:sz w:val="18"/>
        </w:rPr>
        <w:t>Cock, P. J. A., Antao, T., Chang, J. T., et al. (2010). Biopython: Freely available Python tools for computational molecular biology and bioinformatics. Bioinformatics, 25(11), 1422–1423. [Example of software with open tutorial ecosystem]</w:t>
      </w:r>
    </w:p>
    <w:p>
      <w:pPr>
        <w:spacing w:before="40" w:after="80"/>
        <w:ind w:left="283"/>
      </w:pPr>
      <w:r>
        <w:rPr>
          <w:rFonts w:ascii="Arial" w:hAnsi="Arial"/>
          <w:b/>
          <w:color w:val="15803D"/>
          <w:sz w:val="18"/>
        </w:rPr>
        <w:t xml:space="preserve">[15]  </w:t>
      </w:r>
      <w:r>
        <w:rPr>
          <w:rFonts w:ascii="Arial" w:hAnsi="Arial"/>
          <w:color w:val="475569"/>
          <w:sz w:val="18"/>
        </w:rPr>
        <w:t>Afgan, E., Baker, D., Batut, B., et al. (2018). The Galaxy platform for accessible, reproducible and collaborative biomedical analyses: 2018 update. Nucleic Acids Research, 46(W1), W537–W544. https://doi.org/10.1093/nar/gky379</w:t>
      </w:r>
    </w:p>
    <w:p>
      <w:pPr>
        <w:spacing w:before="40" w:after="80"/>
        <w:ind w:left="283"/>
      </w:pPr>
      <w:r>
        <w:rPr>
          <w:rFonts w:ascii="Arial" w:hAnsi="Arial"/>
          <w:b/>
          <w:color w:val="15803D"/>
          <w:sz w:val="18"/>
        </w:rPr>
        <w:t xml:space="preserve">[16]  </w:t>
      </w:r>
      <w:r>
        <w:rPr>
          <w:rFonts w:ascii="Arial" w:hAnsi="Arial"/>
          <w:color w:val="475569"/>
          <w:sz w:val="18"/>
        </w:rPr>
        <w:t>Sweller, J. (1988). Cognitive load during problem solving: Effects on learning. Cognitive Science, 12(2), 257–285. [Cognitive load theory — basis for chunked short-form video design]</w:t>
      </w:r>
    </w:p>
    <w:p>
      <w:pPr>
        <w:spacing w:before="40" w:after="80"/>
        <w:ind w:left="283"/>
      </w:pPr>
      <w:r>
        <w:rPr>
          <w:rFonts w:ascii="Arial" w:hAnsi="Arial"/>
          <w:b/>
          <w:color w:val="15803D"/>
          <w:sz w:val="18"/>
        </w:rPr>
        <w:t xml:space="preserve">[17]  </w:t>
      </w:r>
      <w:r>
        <w:rPr>
          <w:rFonts w:ascii="Arial" w:hAnsi="Arial"/>
          <w:color w:val="475569"/>
          <w:sz w:val="18"/>
        </w:rPr>
        <w:t>UNESCO (2016). If you don't understand, how can you learn? Policy Paper 24. Paris: UNESCO. [Multilingual/mother-tongue instruction for digital literacy]</w:t>
      </w:r>
    </w:p>
    <w:p>
      <w:pPr>
        <w:spacing w:before="40" w:after="80"/>
        <w:ind w:left="283"/>
      </w:pPr>
      <w:r>
        <w:rPr>
          <w:rFonts w:ascii="Arial" w:hAnsi="Arial"/>
          <w:b/>
          <w:color w:val="15803D"/>
          <w:sz w:val="18"/>
        </w:rPr>
        <w:t xml:space="preserve">[18]  </w:t>
      </w:r>
      <w:r>
        <w:rPr>
          <w:rFonts w:ascii="Arial" w:hAnsi="Arial"/>
          <w:color w:val="475569"/>
          <w:sz w:val="18"/>
        </w:rPr>
        <w:t>Noesgaard, S. S., &amp; Ørngreen, R. (2015). The effectiveness of e-learning: An explorative and integrative review of the definitions, methodologies and factors that promote e-Learning effectiveness. Electronic Journal of e-Learning, 13(4), 278–290.</w:t>
      </w:r>
    </w:p>
    <w:p>
      <w:pPr>
        <w:spacing w:before="40" w:after="80"/>
        <w:ind w:left="283"/>
      </w:pPr>
      <w:r>
        <w:rPr>
          <w:rFonts w:ascii="Arial" w:hAnsi="Arial"/>
          <w:b/>
          <w:color w:val="15803D"/>
          <w:sz w:val="18"/>
        </w:rPr>
        <w:t xml:space="preserve">[19]  </w:t>
      </w:r>
      <w:r>
        <w:rPr>
          <w:rFonts w:ascii="Arial" w:hAnsi="Arial"/>
          <w:color w:val="475569"/>
          <w:sz w:val="18"/>
        </w:rPr>
        <w:t>Hew, K. F., &amp; Cheung, W. S. (2014). Students' and instructors' use of massive open online courses (MOOCs): Motivations and challenges. Educational Research Review, 12, 45–58.</w:t>
      </w:r>
    </w:p>
    <w:p>
      <w:r>
        <w:br w:type="page"/>
      </w:r>
    </w:p>
    <w:p>
      <w:pPr>
        <w:pStyle w:val="Heading1"/>
      </w:pPr>
      <w:r>
        <w:t>9.  Conclusion</w:t>
      </w:r>
    </w:p>
    <w:p>
      <w:pPr>
        <w:spacing w:before="40" w:after="160"/>
        <w:pBdr>
          <w:bottom w:val="single" w:sz="6" w:space="1" w:color="15803D"/>
        </w:pBdr>
      </w:pPr>
    </w:p>
    <w:p>
      <w:pPr>
        <w:spacing w:before="40" w:after="120"/>
      </w:pPr>
      <w:r>
        <w:rPr>
          <w:rFonts w:ascii="Arial" w:hAnsi="Arial"/>
          <w:b w:val="0"/>
          <w:i w:val="0"/>
          <w:color w:val="475569"/>
          <w:sz w:val="21"/>
        </w:rPr>
        <w:t>BiocharHub is positioned to grow from a single-thesis ML demonstration into the world's most comprehensive open-access biochar informatics platform. The three-phase roadmap presented here is grounded in the current dataset of 1,396 experimentally validated records and guided by the broader vision of FAIR, automated, AI-enhanced biochar data science.</w:t>
      </w:r>
    </w:p>
    <w:p>
      <w:pPr>
        <w:spacing w:before="40" w:after="120"/>
      </w:pPr>
      <w:r>
        <w:rPr>
          <w:rFonts w:ascii="Arial" w:hAnsi="Arial"/>
          <w:b w:val="0"/>
          <w:i w:val="0"/>
          <w:color w:val="475569"/>
          <w:sz w:val="21"/>
        </w:rPr>
        <w:t>The convergence of automated literature mining, physics-informed ML models, and collaborative research networks creates a compounding effect: more data improves model accuracy, better models attract more contributors, and a larger community accelerates scientific discovery in carbon capture, sustainable agriculture, and circular biomass economies.</w:t>
      </w:r>
    </w:p>
    <w:p>
      <w:pPr>
        <w:spacing w:before="40" w:after="120"/>
      </w:pPr>
      <w:r>
        <w:rPr>
          <w:rFonts w:ascii="Arial" w:hAnsi="Arial"/>
          <w:b w:val="0"/>
          <w:i w:val="0"/>
          <w:color w:val="475569"/>
          <w:sz w:val="21"/>
        </w:rPr>
        <w:t>The user evaluation strategy (Chapter 7) and multimedia outreach plan (Chapter 8) represent people-centred extensions of the platform vision: ensuring that BiocharHub is not only technically capable but also genuinely accessible, usable, and discoverable by the broadest possible scientific audience — from graduate students in Thailand to research teams worldwide.</w:t>
      </w:r>
    </w:p>
    <w:p>
      <w:pPr>
        <w:spacing w:before="40" w:after="120"/>
      </w:pPr>
      <w:r>
        <w:rPr>
          <w:rFonts w:ascii="Arial" w:hAnsi="Arial"/>
          <w:b w:val="0"/>
          <w:i w:val="0"/>
          <w:color w:val="475569"/>
          <w:sz w:val="21"/>
        </w:rPr>
        <w:t>Every phase of this roadmap is designed to deliver concrete, standalone value to researchers while building toward the larger vision. Phase 1 improvements can be implemented within the existing research project scope; Phases 2 and 3 represent natural extensions for post-thesis research funding applications, collaborative grants, or academic–industry partnerships in the biochar and carbon capture sectors.</w:t>
      </w:r>
    </w:p>
    <w:sectPr w:rsidR="00FC693F" w:rsidRPr="0006063C" w:rsidSect="00034616">
      <w:headerReference w:type="default" r:id="rId9"/>
      <w:footerReference w:type="default" r:id="rId10"/>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CCCCCC"/>
      </w:pBdr>
      <w:jc w:val="center"/>
    </w:pPr>
    <w:r>
      <w:rPr>
        <w:rFonts w:ascii="Arial" w:hAnsi="Arial"/>
        <w:color w:val="475569"/>
        <w:sz w:val="15"/>
      </w:rPr>
      <w:t>BiocharHub  ·  Biochar Informatics &amp; AI Research Platform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15803D"/>
      </w:pBdr>
    </w:pPr>
    <w:r>
      <w:rPr>
        <w:rFonts w:ascii="Arial" w:hAnsi="Arial"/>
        <w:color w:val="475569"/>
        <w:sz w:val="16"/>
      </w:rPr>
      <w:t>BiocharHub Platform  |  Development Plan &amp; Research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15803D"/>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15803D"/>
      <w:sz w:val="32"/>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rial" w:hAnsi="Arial"/>
      <w:b/>
      <w:bCs/>
      <w:color w:val="15803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