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0"/>
        <w:jc w:val="center"/>
      </w:pPr>
      <w:r>
        <w:rPr>
          <w:rFonts w:ascii="Arial" w:hAnsi="Arial"/>
          <w:b/>
          <w:color w:val="15803D"/>
          <w:sz w:val="56"/>
        </w:rPr>
        <w:t>🌱  BiocharHub</w:t>
      </w:r>
    </w:p>
    <w:p>
      <w:pPr>
        <w:spacing w:before="80" w:after="120"/>
        <w:jc w:val="center"/>
      </w:pPr>
      <w:r>
        <w:rPr>
          <w:rFonts w:ascii="Arial" w:hAnsi="Arial"/>
          <w:color w:val="475569"/>
          <w:sz w:val="22"/>
        </w:rPr>
        <w:t>AI-Driven Biochar CO₂ Adsorption Intelligence Platform</w:t>
      </w:r>
    </w:p>
    <w:p>
      <w:pPr>
        <w:spacing w:before="0" w:after="320"/>
        <w:jc w:val="center"/>
      </w:pPr>
      <w:r>
        <w:rPr>
          <w:rFonts w:ascii="Arial" w:hAnsi="Arial"/>
          <w:b/>
          <w:color w:val="16A34A"/>
          <w:sz w:val="19"/>
        </w:rPr>
        <w:t>Biochar Informatics · Data Mining · ML-Enhanced Research</w:t>
      </w:r>
    </w:p>
    <w:p>
      <w:pPr>
        <w:spacing w:before="40" w:after="160"/>
        <w:pBdr>
          <w:bottom w:val="single" w:sz="6" w:space="1" w:color="15803D"/>
        </w:pBdr>
      </w:pPr>
    </w:p>
    <w:p>
      <w:pPr>
        <w:spacing w:before="400" w:after="120"/>
        <w:jc w:val="center"/>
      </w:pPr>
      <w:r>
        <w:rPr>
          <w:rFonts w:ascii="Arial" w:hAnsi="Arial"/>
          <w:b/>
          <w:color w:val="0F172A"/>
          <w:sz w:val="44"/>
        </w:rPr>
        <w:t>Future Development Plan &amp; Research Roadmap</w:t>
      </w:r>
    </w:p>
    <w:p>
      <w:pPr>
        <w:spacing w:before="80" w:after="640"/>
        <w:jc w:val="center"/>
      </w:pPr>
      <w:r>
        <w:rPr>
          <w:rFonts w:ascii="Arial" w:hAnsi="Arial"/>
          <w:i/>
          <w:color w:val="475569"/>
          <w:sz w:val="22"/>
        </w:rPr>
        <w:t>AI-Driven Database Platform for Biochar Informatics &amp; Data Mining</w:t>
      </w:r>
    </w:p>
    <w:tbl>
      <w:tblPr>
        <w:tblStyle w:val="TableGrid"/>
        <w:tblW w:type="auto" w:w="0"/>
        <w:tblLook w:firstColumn="1" w:firstRow="1" w:lastColumn="0" w:lastRow="0" w:noHBand="0" w:noVBand="1" w:val="04A0"/>
      </w:tblPr>
      <w:tblGrid>
        <w:gridCol w:w="4536"/>
        <w:gridCol w:w="4536"/>
      </w:tblGrid>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Document Type</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Research Development Plan &amp; Strategic Roadmap</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Version</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2026 Edition</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Language</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English (EN)</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Platform</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BiocharHub v1.7  ·  Biochar Informatics Platform</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Prepared for</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MS Thesis Research  ·  AI-Driven Biochar Database</w:t>
            </w:r>
          </w:p>
        </w:tc>
      </w:tr>
    </w:tbl>
    <w:p/>
    <w:p>
      <w:r>
        <w:br w:type="page"/>
      </w:r>
    </w:p>
    <w:p>
      <w:pPr>
        <w:pStyle w:val="Heading1"/>
      </w:pPr>
      <w:r>
        <w:t>Executive Summary</w:t>
      </w:r>
    </w:p>
    <w:p>
      <w:pPr>
        <w:spacing w:before="40" w:after="160"/>
        <w:pBdr>
          <w:bottom w:val="single" w:sz="6" w:space="1" w:color="15803D"/>
        </w:pBdr>
      </w:pPr>
    </w:p>
    <w:p>
      <w:pPr>
        <w:spacing w:before="40" w:after="120"/>
      </w:pPr>
      <w:r>
        <w:rPr>
          <w:rFonts w:ascii="Arial" w:hAnsi="Arial"/>
          <w:b w:val="0"/>
          <w:i w:val="0"/>
          <w:color w:val="475569"/>
          <w:sz w:val="21"/>
        </w:rPr>
        <w:t>BiocharHub v1.7 has established a functional open-access intelligence platform aggregating 1,396 peer-reviewed biochar CO₂ adsorption records with three machine-learning prediction tools. This document outlines a strategic three-phase development roadmap to evolve BiocharHub into a comprehensive biochar informatics and data-mining ecosystem — enabling automated literature mining, multi-property prediction, collaborative research networks, and AI-guided experiment design for the global biochar research community.</w:t>
      </w:r>
    </w:p>
    <w:p>
      <w:pPr>
        <w:spacing w:before="40" w:after="120"/>
      </w:pPr>
      <w:r>
        <w:rPr>
          <w:rFonts w:ascii="Arial" w:hAnsi="Arial"/>
          <w:b/>
          <w:i w:val="0"/>
          <w:color w:val="475569"/>
          <w:sz w:val="21"/>
        </w:rPr>
        <w:t>The roadmap is structured across three horizons:</w:t>
      </w:r>
    </w:p>
    <w:tbl>
      <w:tblPr>
        <w:tblStyle w:val="TableGrid"/>
        <w:tblW w:type="auto" w:w="0"/>
        <w:tblLook w:firstColumn="1" w:firstRow="1" w:lastColumn="0" w:lastRow="0" w:noHBand="0" w:noVBand="1" w:val="04A0"/>
      </w:tblPr>
      <w:tblGrid>
        <w:gridCol w:w="2268"/>
        <w:gridCol w:w="2268"/>
        <w:gridCol w:w="2268"/>
        <w:gridCol w:w="2268"/>
      </w:tblGrid>
      <w:tr>
        <w:tc>
          <w:tcPr>
            <w:tcW w:type="dxa" w:w="113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Phase</w:t>
            </w:r>
          </w:p>
        </w:tc>
        <w:tc>
          <w:tcPr>
            <w:tcW w:type="dxa" w:w="170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Horizon</w:t>
            </w:r>
          </w:p>
        </w:tc>
        <w:tc>
          <w:tcPr>
            <w:tcW w:type="dxa" w:w="5102"/>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Focus</w:t>
            </w:r>
          </w:p>
        </w:tc>
        <w:tc>
          <w:tcPr>
            <w:tcW w:type="dxa" w:w="113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Timeline</w:t>
            </w:r>
          </w:p>
        </w:tc>
      </w:tr>
      <w:tr>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1</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Near-Term</w:t>
            </w:r>
          </w:p>
        </w:tc>
        <w:tc>
          <w:tcPr>
            <w:tcW w:type="dxa" w:w="51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Platform enhancement, API, user submissions</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6–12 months</w:t>
            </w:r>
          </w:p>
        </w:tc>
      </w:tr>
      <w:tr>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2</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Mid-Term</w:t>
            </w:r>
          </w:p>
        </w:tc>
        <w:tc>
          <w:tcPr>
            <w:tcW w:type="dxa" w:w="51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Biochar informatics engine, data mining pipeline</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12–24 months</w:t>
            </w:r>
          </w:p>
        </w:tc>
      </w:tr>
      <w:tr>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3</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Long-Term</w:t>
            </w:r>
          </w:p>
        </w:tc>
        <w:tc>
          <w:tcPr>
            <w:tcW w:type="dxa" w:w="51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Global collaborative network, publication-linked data</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24–36 months</w:t>
            </w:r>
          </w:p>
        </w:tc>
      </w:tr>
    </w:tbl>
    <w:p>
      <w:pPr>
        <w:spacing w:after="120"/>
      </w:pPr>
    </w:p>
    <w:p>
      <w:r>
        <w:br w:type="page"/>
      </w:r>
    </w:p>
    <w:p>
      <w:pPr>
        <w:pStyle w:val="Heading1"/>
      </w:pPr>
      <w:r>
        <w:t>1.  Current Platform Status (v1.7)</w:t>
      </w:r>
    </w:p>
    <w:p>
      <w:pPr>
        <w:spacing w:before="40" w:after="160"/>
        <w:pBdr>
          <w:bottom w:val="single" w:sz="6" w:space="1" w:color="15803D"/>
        </w:pBdr>
      </w:pPr>
    </w:p>
    <w:p>
      <w:pPr>
        <w:spacing w:before="40" w:after="120"/>
      </w:pPr>
      <w:r>
        <w:rPr>
          <w:rFonts w:ascii="Arial" w:hAnsi="Arial"/>
          <w:b w:val="0"/>
          <w:i w:val="0"/>
          <w:color w:val="475569"/>
          <w:sz w:val="21"/>
        </w:rPr>
        <w:t>BiocharHub v1.7 represents the foundation layer of what will become a full biochar informatics platform. The current deployment includes the following capabilities:</w:t>
      </w:r>
    </w:p>
    <w:p>
      <w:pPr>
        <w:pStyle w:val="Heading2"/>
      </w:pPr>
      <w:r>
        <w:t>1.1  Deployed Features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Module</w:t>
            </w:r>
          </w:p>
        </w:tc>
        <w:tc>
          <w:tcPr>
            <w:tcW w:type="dxa" w:w="1417"/>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Status</w:t>
            </w:r>
          </w:p>
        </w:tc>
        <w:tc>
          <w:tcPr>
            <w:tcW w:type="dxa" w:w="5386"/>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Description</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Database Explorer</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Live</w:t>
            </w:r>
          </w:p>
        </w:tc>
        <w:tc>
          <w:tcPr>
            <w:tcW w:type="dxa" w:w="5386"/>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1,396 records, filterable, sortable, CSV export</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CO₂ Predictor</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Live</w:t>
            </w:r>
          </w:p>
        </w:tc>
        <w:tc>
          <w:tcPr>
            <w:tcW w:type="dxa" w:w="5386"/>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kNN-based CO₂ adsorption prediction (mmol/g)</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Property Estimator</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Live</w:t>
            </w:r>
          </w:p>
        </w:tc>
        <w:tc>
          <w:tcPr>
            <w:tcW w:type="dxa" w:w="5386"/>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BET surface area, pore volume, yield prediction</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Materials Advisor</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Live</w:t>
            </w:r>
          </w:p>
        </w:tc>
        <w:tc>
          <w:tcPr>
            <w:tcW w:type="dxa" w:w="5386"/>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Goal-driven feedstock &amp; activator recommendation</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Bilingual UI</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Live</w:t>
            </w:r>
          </w:p>
        </w:tc>
        <w:tc>
          <w:tcPr>
            <w:tcW w:type="dxa" w:w="5386"/>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Full EN / TH interface with theme switching</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Share Data (Admin)</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Beta</w:t>
            </w:r>
          </w:p>
        </w:tc>
        <w:tc>
          <w:tcPr>
            <w:tcW w:type="dxa" w:w="5386"/>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Gated contributor data submission portal</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REST API</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Planned</w:t>
            </w:r>
          </w:p>
        </w:tc>
        <w:tc>
          <w:tcPr>
            <w:tcW w:type="dxa" w:w="5386"/>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Public API for programmatic data access</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Automated Mining</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 Planned</w:t>
            </w:r>
          </w:p>
        </w:tc>
        <w:tc>
          <w:tcPr>
            <w:tcW w:type="dxa" w:w="5386"/>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NLP-driven literature record extraction</w:t>
            </w:r>
          </w:p>
        </w:tc>
      </w:tr>
    </w:tbl>
    <w:p>
      <w:pPr>
        <w:spacing w:after="120"/>
      </w:pPr>
    </w:p>
    <w:p>
      <w:pPr>
        <w:pStyle w:val="Heading2"/>
      </w:pPr>
      <w:r>
        <w:t>1.2  Dataset Coverage</w:t>
      </w:r>
    </w:p>
    <w:tbl>
      <w:tblPr>
        <w:tblStyle w:val="TableGrid"/>
        <w:tblW w:type="auto" w:w="0"/>
        <w:tblLook w:firstColumn="1" w:firstRow="1" w:lastColumn="0" w:lastRow="0" w:noHBand="0" w:noVBand="1" w:val="04A0"/>
      </w:tblPr>
      <w:tblGrid>
        <w:gridCol w:w="3024"/>
        <w:gridCol w:w="3024"/>
        <w:gridCol w:w="3024"/>
      </w:tblGrid>
      <w:tr>
        <w:tc>
          <w:tcPr>
            <w:tcW w:type="dxa" w:w="311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Metric</w:t>
            </w:r>
          </w:p>
        </w:tc>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Current Value</w:t>
            </w:r>
          </w:p>
        </w:tc>
        <w:tc>
          <w:tcPr>
            <w:tcW w:type="dxa" w:w="3969"/>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Target (Phase 3)</w:t>
            </w:r>
          </w:p>
        </w:tc>
      </w:tr>
      <w:tr>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Total Records</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1,396</w:t>
            </w:r>
          </w:p>
        </w:tc>
        <w:tc>
          <w:tcPr>
            <w:tcW w:type="dxa" w:w="39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5,000+</w:t>
            </w:r>
          </w:p>
        </w:tc>
      </w:tr>
      <w:tr>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Unique Experiments</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59</w:t>
            </w:r>
          </w:p>
        </w:tc>
        <w:tc>
          <w:tcPr>
            <w:tcW w:type="dxa" w:w="39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200+</w:t>
            </w:r>
          </w:p>
        </w:tc>
      </w:tr>
      <w:tr>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Biomass Types Covered</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~40</w:t>
            </w:r>
          </w:p>
        </w:tc>
        <w:tc>
          <w:tcPr>
            <w:tcW w:type="dxa" w:w="39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100+</w:t>
            </w:r>
          </w:p>
        </w:tc>
      </w:tr>
      <w:tr>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Activation Methods</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6</w:t>
            </w:r>
          </w:p>
        </w:tc>
        <w:tc>
          <w:tcPr>
            <w:tcW w:type="dxa" w:w="39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15+</w:t>
            </w:r>
          </w:p>
        </w:tc>
      </w:tr>
      <w:tr>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Journal Sources</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~25</w:t>
            </w:r>
          </w:p>
        </w:tc>
        <w:tc>
          <w:tcPr>
            <w:tcW w:type="dxa" w:w="39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100+</w:t>
            </w:r>
          </w:p>
        </w:tc>
      </w:tr>
      <w:tr>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Publication Year Range</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2010–2024</w:t>
            </w:r>
          </w:p>
        </w:tc>
        <w:tc>
          <w:tcPr>
            <w:tcW w:type="dxa" w:w="39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2000–present (auto-updated)</w:t>
            </w:r>
          </w:p>
        </w:tc>
      </w:tr>
    </w:tbl>
    <w:p>
      <w:pPr>
        <w:spacing w:after="120"/>
      </w:pPr>
    </w:p>
    <w:p>
      <w:pPr>
        <w:pStyle w:val="Heading2"/>
      </w:pPr>
      <w:r>
        <w:t>1.3  Technology Stack</w:t>
      </w:r>
    </w:p>
    <w:tbl>
      <w:tblPr>
        <w:tblStyle w:val="TableGrid"/>
        <w:tblW w:type="auto" w:w="0"/>
        <w:tblLook w:firstColumn="1" w:firstRow="1" w:lastColumn="0" w:lastRow="0" w:noHBand="0" w:noVBand="1" w:val="04A0"/>
      </w:tblPr>
      <w:tblGrid>
        <w:gridCol w:w="4536"/>
        <w:gridCol w:w="4536"/>
      </w:tblGrid>
      <w:tr>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Layer</w:t>
            </w:r>
          </w:p>
        </w:tc>
        <w:tc>
          <w:tcPr>
            <w:tcW w:type="dxa" w:w="7087"/>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Current Technology</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Frontend</w:t>
            </w:r>
          </w:p>
        </w:tc>
        <w:tc>
          <w:tcPr>
            <w:tcW w:type="dxa" w:w="708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React 18 + Vite + Tailwind CSS + Framer Motion</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ML Engine</w:t>
            </w:r>
          </w:p>
        </w:tc>
        <w:tc>
          <w:tcPr>
            <w:tcW w:type="dxa" w:w="708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k-Nearest Neighbour (kNN) similarity search on static dataset</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Database</w:t>
            </w:r>
          </w:p>
        </w:tc>
        <w:tc>
          <w:tcPr>
            <w:tcW w:type="dxa" w:w="708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Static JSON dataset embedded in client bundle</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i18n</w:t>
            </w:r>
          </w:p>
        </w:tc>
        <w:tc>
          <w:tcPr>
            <w:tcW w:type="dxa" w:w="708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react-i18next (EN / TH)</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Deployment</w:t>
            </w:r>
          </w:p>
        </w:tc>
        <w:tc>
          <w:tcPr>
            <w:tcW w:type="dxa" w:w="708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Static site hosting (CDN)</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Backend</w:t>
            </w:r>
          </w:p>
        </w:tc>
        <w:tc>
          <w:tcPr>
            <w:tcW w:type="dxa" w:w="708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None (serverless / client-side only)</w:t>
            </w:r>
          </w:p>
        </w:tc>
      </w:tr>
    </w:tbl>
    <w:p>
      <w:pPr>
        <w:spacing w:after="120"/>
      </w:pPr>
    </w:p>
    <w:p>
      <w:r>
        <w:br w:type="page"/>
      </w:r>
    </w:p>
    <w:p>
      <w:pPr>
        <w:pStyle w:val="Heading1"/>
      </w:pPr>
      <w:r>
        <w:t>2.  Development Roadmap</w:t>
      </w:r>
    </w:p>
    <w:p>
      <w:pPr>
        <w:spacing w:before="40" w:after="160"/>
        <w:pBdr>
          <w:bottom w:val="single" w:sz="6" w:space="1" w:color="15803D"/>
        </w:pBdr>
      </w:pPr>
    </w:p>
    <w:p>
      <w:pPr>
        <w:spacing w:before="40" w:after="120"/>
      </w:pPr>
      <w:r>
        <w:rPr>
          <w:rFonts w:ascii="Arial" w:hAnsi="Arial"/>
          <w:b w:val="0"/>
          <w:i w:val="0"/>
          <w:color w:val="475569"/>
          <w:sz w:val="21"/>
        </w:rPr>
        <w:t>The following three-phase roadmap prioritises enhancements that directly benefit the experimental biochar research community, with each phase building on the previous foundation.</w:t>
      </w:r>
    </w:p>
    <w:p>
      <w:pPr>
        <w:pStyle w:val="Heading2"/>
      </w:pPr>
      <w:r>
        <w:t>2.1  Phase 1 — Platform Enhancement (6–12 Months)</w:t>
      </w:r>
    </w:p>
    <w:tbl>
      <w:tblPr>
        <w:tblStyle w:val="TableGrid"/>
        <w:tblW w:type="auto" w:w="0"/>
        <w:tblLook w:firstColumn="1" w:firstRow="1" w:lastColumn="0" w:lastRow="0" w:noHBand="0" w:noVBand="1" w:val="04A0"/>
      </w:tblPr>
      <w:tblGrid>
        <w:gridCol w:w="9072"/>
      </w:tblGrid>
      <w:tr>
        <w:tc>
          <w:tcPr>
            <w:tcW w:type="dxa" w:w="9072"/>
            <w:shd w:val="clear" w:color="auto" w:fill="ECFDF5"/>
            <w:tcBorders>
              <w:top w:val="single" w:sz="4" w:space="0" w:color="A7F3D0"/>
              <w:left w:val="single" w:sz="4" w:space="0" w:color="A7F3D0"/>
              <w:bottom w:val="single" w:sz="4" w:space="0" w:color="A7F3D0"/>
              <w:right w:val="single" w:sz="4" w:space="0" w:color="A7F3D0"/>
            </w:tcBorders>
          </w:tcPr>
          <w:p>
            <w:r>
              <w:rPr>
                <w:rFonts w:ascii="Arial" w:hAnsi="Arial"/>
                <w:b/>
                <w:color w:val="15803D"/>
                <w:sz w:val="22"/>
              </w:rPr>
              <w:t xml:space="preserve">  Phase 1  ·  Platform Enhancement  ·  6–12 Months</w:t>
            </w:r>
          </w:p>
          <w:p>
            <w:pPr>
              <w:spacing w:before="20" w:after="40"/>
            </w:pPr>
            <w:r>
              <w:rPr>
                <w:rFonts w:ascii="Arial" w:hAnsi="Arial"/>
                <w:color w:val="475569"/>
                <w:sz w:val="20"/>
              </w:rPr>
              <w:t xml:space="preserve">  ✦  Public REST API for programmatic access to all 1,396 records</w:t>
            </w:r>
          </w:p>
          <w:p>
            <w:pPr>
              <w:spacing w:before="20" w:after="40"/>
            </w:pPr>
            <w:r>
              <w:rPr>
                <w:rFonts w:ascii="Arial" w:hAnsi="Arial"/>
                <w:color w:val="475569"/>
                <w:sz w:val="20"/>
              </w:rPr>
              <w:t xml:space="preserve">  ✦  User data submission portal with peer-review validation workflow</w:t>
            </w:r>
          </w:p>
          <w:p>
            <w:pPr>
              <w:spacing w:before="20" w:after="40"/>
            </w:pPr>
            <w:r>
              <w:rPr>
                <w:rFonts w:ascii="Arial" w:hAnsi="Arial"/>
                <w:color w:val="475569"/>
                <w:sz w:val="20"/>
              </w:rPr>
              <w:t xml:space="preserve">  ✦  Advanced filtering: multi-parameter faceted search + range sliders</w:t>
            </w:r>
          </w:p>
          <w:p>
            <w:pPr>
              <w:spacing w:before="20" w:after="40"/>
            </w:pPr>
            <w:r>
              <w:rPr>
                <w:rFonts w:ascii="Arial" w:hAnsi="Arial"/>
                <w:color w:val="475569"/>
                <w:sz w:val="20"/>
              </w:rPr>
              <w:t xml:space="preserve">  ✦  Citation export (BibTeX, RIS, APA) for all database records</w:t>
            </w:r>
          </w:p>
          <w:p>
            <w:pPr>
              <w:spacing w:before="20" w:after="40"/>
            </w:pPr>
            <w:r>
              <w:rPr>
                <w:rFonts w:ascii="Arial" w:hAnsi="Arial"/>
                <w:color w:val="475569"/>
                <w:sz w:val="20"/>
              </w:rPr>
              <w:t xml:space="preserve">  ✦  Interactive scatter plots &amp; heatmaps for exploratory data analysis</w:t>
            </w:r>
          </w:p>
          <w:p>
            <w:pPr>
              <w:spacing w:before="20" w:after="40"/>
            </w:pPr>
            <w:r>
              <w:rPr>
                <w:rFonts w:ascii="Arial" w:hAnsi="Arial"/>
                <w:color w:val="475569"/>
                <w:sz w:val="20"/>
              </w:rPr>
              <w:t xml:space="preserve">  ✦  Improved ML models: Random Forest + Gradient Boosting ensembles</w:t>
            </w:r>
          </w:p>
          <w:p>
            <w:pPr>
              <w:spacing w:before="20" w:after="40"/>
            </w:pPr>
            <w:r>
              <w:rPr>
                <w:rFonts w:ascii="Arial" w:hAnsi="Arial"/>
                <w:color w:val="475569"/>
                <w:sz w:val="20"/>
              </w:rPr>
              <w:t xml:space="preserve">  ✦  Confidence interval visualisation on all prediction outputs</w:t>
            </w:r>
          </w:p>
          <w:p>
            <w:pPr>
              <w:spacing w:before="20" w:after="40"/>
            </w:pPr>
            <w:r>
              <w:rPr>
                <w:rFonts w:ascii="Arial" w:hAnsi="Arial"/>
                <w:color w:val="475569"/>
                <w:sz w:val="20"/>
              </w:rPr>
              <w:t xml:space="preserve">  ✦  Mobile-optimised responsive layout for field researchers</w:t>
            </w:r>
          </w:p>
        </w:tc>
      </w:tr>
    </w:tbl>
    <w:p>
      <w:pPr>
        <w:spacing w:after="120"/>
      </w:pPr>
    </w:p>
    <w:p>
      <w:pPr>
        <w:pStyle w:val="Heading2"/>
      </w:pPr>
      <w:r>
        <w:t>2.2  Phase 2 — Biochar Informatics Engine (12–24 Months)</w:t>
      </w:r>
    </w:p>
    <w:tbl>
      <w:tblPr>
        <w:tblStyle w:val="TableGrid"/>
        <w:tblW w:type="auto" w:w="0"/>
        <w:tblLook w:firstColumn="1" w:firstRow="1" w:lastColumn="0" w:lastRow="0" w:noHBand="0" w:noVBand="1" w:val="04A0"/>
      </w:tblPr>
      <w:tblGrid>
        <w:gridCol w:w="9072"/>
      </w:tblGrid>
      <w:tr>
        <w:tc>
          <w:tcPr>
            <w:tcW w:type="dxa" w:w="9072"/>
            <w:shd w:val="clear" w:color="auto" w:fill="EFF6FF"/>
            <w:tcBorders>
              <w:top w:val="single" w:sz="4" w:space="0" w:color="BFDBFE"/>
              <w:left w:val="single" w:sz="4" w:space="0" w:color="BFDBFE"/>
              <w:bottom w:val="single" w:sz="4" w:space="0" w:color="BFDBFE"/>
              <w:right w:val="single" w:sz="4" w:space="0" w:color="BFDBFE"/>
            </w:tcBorders>
          </w:tcPr>
          <w:p>
            <w:r>
              <w:rPr>
                <w:rFonts w:ascii="Arial" w:hAnsi="Arial"/>
                <w:b/>
                <w:color w:val="15803D"/>
                <w:sz w:val="22"/>
              </w:rPr>
              <w:t xml:space="preserve">  Phase 2  ·  Biochar Informatics Engine  ·  12–24 Months</w:t>
            </w:r>
          </w:p>
          <w:p>
            <w:pPr>
              <w:spacing w:before="20" w:after="40"/>
            </w:pPr>
            <w:r>
              <w:rPr>
                <w:rFonts w:ascii="Arial" w:hAnsi="Arial"/>
                <w:color w:val="475569"/>
                <w:sz w:val="20"/>
              </w:rPr>
              <w:t xml:space="preserve">  ✦  NLP-powered automated literature mining from PubMed, Scopus &amp; Web of Science</w:t>
            </w:r>
          </w:p>
          <w:p>
            <w:pPr>
              <w:spacing w:before="20" w:after="40"/>
            </w:pPr>
            <w:r>
              <w:rPr>
                <w:rFonts w:ascii="Arial" w:hAnsi="Arial"/>
                <w:color w:val="475569"/>
                <w:sz w:val="20"/>
              </w:rPr>
              <w:t xml:space="preserve">  ✦  Semi-automated record extraction: parse experimental tables from PDF papers</w:t>
            </w:r>
          </w:p>
          <w:p>
            <w:pPr>
              <w:spacing w:before="20" w:after="40"/>
            </w:pPr>
            <w:r>
              <w:rPr>
                <w:rFonts w:ascii="Arial" w:hAnsi="Arial"/>
                <w:color w:val="475569"/>
                <w:sz w:val="20"/>
              </w:rPr>
              <w:t xml:space="preserve">  ✦  Multi-property simultaneous prediction (CO₂ uptake + BET + pore volume + yield)</w:t>
            </w:r>
          </w:p>
          <w:p>
            <w:pPr>
              <w:spacing w:before="20" w:after="40"/>
            </w:pPr>
            <w:r>
              <w:rPr>
                <w:rFonts w:ascii="Arial" w:hAnsi="Arial"/>
                <w:color w:val="475569"/>
                <w:sz w:val="20"/>
              </w:rPr>
              <w:t xml:space="preserve">  ✦  Transfer learning models: adapt from well-characterised to rare biomass types</w:t>
            </w:r>
          </w:p>
          <w:p>
            <w:pPr>
              <w:spacing w:before="20" w:after="40"/>
            </w:pPr>
            <w:r>
              <w:rPr>
                <w:rFonts w:ascii="Arial" w:hAnsi="Arial"/>
                <w:color w:val="475569"/>
                <w:sz w:val="20"/>
              </w:rPr>
              <w:t xml:space="preserve">  ✦  Experiment design recommender: suggest optimal conditions for target performance</w:t>
            </w:r>
          </w:p>
          <w:p>
            <w:pPr>
              <w:spacing w:before="20" w:after="40"/>
            </w:pPr>
            <w:r>
              <w:rPr>
                <w:rFonts w:ascii="Arial" w:hAnsi="Arial"/>
                <w:color w:val="475569"/>
                <w:sz w:val="20"/>
              </w:rPr>
              <w:t xml:space="preserve">  ✦  Anomaly detection: flag statistically unusual records for expert review</w:t>
            </w:r>
          </w:p>
          <w:p>
            <w:pPr>
              <w:spacing w:before="20" w:after="40"/>
            </w:pPr>
            <w:r>
              <w:rPr>
                <w:rFonts w:ascii="Arial" w:hAnsi="Arial"/>
                <w:color w:val="475569"/>
                <w:sz w:val="20"/>
              </w:rPr>
              <w:t xml:space="preserve">  ✦  Data quality scoring system for submitted and mined records</w:t>
            </w:r>
          </w:p>
          <w:p>
            <w:pPr>
              <w:spacing w:before="20" w:after="40"/>
            </w:pPr>
            <w:r>
              <w:rPr>
                <w:rFonts w:ascii="Arial" w:hAnsi="Arial"/>
                <w:color w:val="475569"/>
                <w:sz w:val="20"/>
              </w:rPr>
              <w:t xml:space="preserve">  ✦  DOI-linked provenance tracking for every record</w:t>
            </w:r>
          </w:p>
          <w:p>
            <w:pPr>
              <w:spacing w:before="20" w:after="40"/>
            </w:pPr>
            <w:r>
              <w:rPr>
                <w:rFonts w:ascii="Arial" w:hAnsi="Arial"/>
                <w:color w:val="475569"/>
                <w:sz w:val="20"/>
              </w:rPr>
              <w:t xml:space="preserve">  ✦  Comparative analytics: cross-study performance benchmarking tools</w:t>
            </w:r>
          </w:p>
        </w:tc>
      </w:tr>
    </w:tbl>
    <w:p>
      <w:pPr>
        <w:spacing w:after="120"/>
      </w:pPr>
    </w:p>
    <w:p>
      <w:pPr>
        <w:pStyle w:val="Heading2"/>
      </w:pPr>
      <w:r>
        <w:t>2.3  Phase 3 — Global Research Network (24–36 Months)</w:t>
      </w:r>
    </w:p>
    <w:tbl>
      <w:tblPr>
        <w:tblStyle w:val="TableGrid"/>
        <w:tblW w:type="auto" w:w="0"/>
        <w:tblLook w:firstColumn="1" w:firstRow="1" w:lastColumn="0" w:lastRow="0" w:noHBand="0" w:noVBand="1" w:val="04A0"/>
      </w:tblPr>
      <w:tblGrid>
        <w:gridCol w:w="9072"/>
      </w:tblGrid>
      <w:tr>
        <w:tc>
          <w:tcPr>
            <w:tcW w:type="dxa" w:w="9072"/>
            <w:shd w:val="clear" w:color="auto" w:fill="F5F3FF"/>
            <w:tcBorders>
              <w:top w:val="single" w:sz="4" w:space="0" w:color="DDD6FE"/>
              <w:left w:val="single" w:sz="4" w:space="0" w:color="DDD6FE"/>
              <w:bottom w:val="single" w:sz="4" w:space="0" w:color="DDD6FE"/>
              <w:right w:val="single" w:sz="4" w:space="0" w:color="DDD6FE"/>
            </w:tcBorders>
          </w:tcPr>
          <w:p>
            <w:r>
              <w:rPr>
                <w:rFonts w:ascii="Arial" w:hAnsi="Arial"/>
                <w:b/>
                <w:color w:val="15803D"/>
                <w:sz w:val="22"/>
              </w:rPr>
              <w:t xml:space="preserve">  Phase 3  ·  Global Collaborative Research Network  ·  24–36 Months</w:t>
            </w:r>
          </w:p>
          <w:p>
            <w:pPr>
              <w:spacing w:before="20" w:after="40"/>
            </w:pPr>
            <w:r>
              <w:rPr>
                <w:rFonts w:ascii="Arial" w:hAnsi="Arial"/>
                <w:color w:val="475569"/>
                <w:sz w:val="20"/>
              </w:rPr>
              <w:t xml:space="preserve">  ✦  Collaborative multi-institution database with versioned record history</w:t>
            </w:r>
          </w:p>
          <w:p>
            <w:pPr>
              <w:spacing w:before="20" w:after="40"/>
            </w:pPr>
            <w:r>
              <w:rPr>
                <w:rFonts w:ascii="Arial" w:hAnsi="Arial"/>
                <w:color w:val="475569"/>
                <w:sz w:val="20"/>
              </w:rPr>
              <w:t xml:space="preserve">  ✦  Real-time experiment data ingestion from connected lab instruments</w:t>
            </w:r>
          </w:p>
          <w:p>
            <w:pPr>
              <w:spacing w:before="20" w:after="40"/>
            </w:pPr>
            <w:r>
              <w:rPr>
                <w:rFonts w:ascii="Arial" w:hAnsi="Arial"/>
                <w:color w:val="475569"/>
                <w:sz w:val="20"/>
              </w:rPr>
              <w:t xml:space="preserve">  ✦  Publication-linked data: auto-update database when citing papers publish new data</w:t>
            </w:r>
          </w:p>
          <w:p>
            <w:pPr>
              <w:spacing w:before="20" w:after="40"/>
            </w:pPr>
            <w:r>
              <w:rPr>
                <w:rFonts w:ascii="Arial" w:hAnsi="Arial"/>
                <w:color w:val="475569"/>
                <w:sz w:val="20"/>
              </w:rPr>
              <w:t xml:space="preserve">  ✦  FAIR data principles compliance (Findable, Accessible, Interoperable, Reusable)</w:t>
            </w:r>
          </w:p>
          <w:p>
            <w:pPr>
              <w:spacing w:before="20" w:after="40"/>
            </w:pPr>
            <w:r>
              <w:rPr>
                <w:rFonts w:ascii="Arial" w:hAnsi="Arial"/>
                <w:color w:val="475569"/>
                <w:sz w:val="20"/>
              </w:rPr>
              <w:t xml:space="preserve">  ✦  Cross-material transfer: extend platform to activated carbon, MOFs, zeolites</w:t>
            </w:r>
          </w:p>
          <w:p>
            <w:pPr>
              <w:spacing w:before="20" w:after="40"/>
            </w:pPr>
            <w:r>
              <w:rPr>
                <w:rFonts w:ascii="Arial" w:hAnsi="Arial"/>
                <w:color w:val="475569"/>
                <w:sz w:val="20"/>
              </w:rPr>
              <w:t xml:space="preserve">  ✦  Federated query layer: query partner institution databases without centralising data</w:t>
            </w:r>
          </w:p>
          <w:p>
            <w:pPr>
              <w:spacing w:before="20" w:after="40"/>
            </w:pPr>
            <w:r>
              <w:rPr>
                <w:rFonts w:ascii="Arial" w:hAnsi="Arial"/>
                <w:color w:val="475569"/>
                <w:sz w:val="20"/>
              </w:rPr>
              <w:t xml:space="preserve">  ✦  Open API ecosystem with SDKs for Python, R, and MATLAB</w:t>
            </w:r>
          </w:p>
          <w:p>
            <w:pPr>
              <w:spacing w:before="20" w:after="40"/>
            </w:pPr>
            <w:r>
              <w:rPr>
                <w:rFonts w:ascii="Arial" w:hAnsi="Arial"/>
                <w:color w:val="475569"/>
                <w:sz w:val="20"/>
              </w:rPr>
              <w:t xml:space="preserve">  ✦  Community peer-review and annotation layer for each database record</w:t>
            </w:r>
          </w:p>
          <w:p>
            <w:pPr>
              <w:spacing w:before="20" w:after="40"/>
            </w:pPr>
            <w:r>
              <w:rPr>
                <w:rFonts w:ascii="Arial" w:hAnsi="Arial"/>
                <w:color w:val="475569"/>
                <w:sz w:val="20"/>
              </w:rPr>
              <w:t xml:space="preserve">  ✦  Integration with ORCID, DOI, and open research infrastructure</w:t>
            </w:r>
          </w:p>
        </w:tc>
      </w:tr>
    </w:tbl>
    <w:p>
      <w:pPr>
        <w:spacing w:after="120"/>
      </w:pPr>
    </w:p>
    <w:p>
      <w:r>
        <w:br w:type="page"/>
      </w:r>
    </w:p>
    <w:p>
      <w:pPr>
        <w:pStyle w:val="Heading1"/>
      </w:pPr>
      <w:r>
        <w:t>3.  Biochar Informatics &amp; Data Mining</w:t>
      </w:r>
    </w:p>
    <w:p>
      <w:pPr>
        <w:spacing w:before="40" w:after="160"/>
        <w:pBdr>
          <w:bottom w:val="single" w:sz="6" w:space="1" w:color="15803D"/>
        </w:pBdr>
      </w:pPr>
    </w:p>
    <w:p>
      <w:pPr>
        <w:spacing w:before="40" w:after="120"/>
      </w:pPr>
      <w:r>
        <w:rPr>
          <w:rFonts w:ascii="Arial" w:hAnsi="Arial"/>
          <w:b w:val="0"/>
          <w:i w:val="0"/>
          <w:color w:val="475569"/>
          <w:sz w:val="21"/>
        </w:rPr>
        <w:t>Biochar informatics applies computational and data science methods systematically to the study of biochar properties, production conditions, and performance outcomes. The following sub-domains represent the core research opportunities for an AI-driven biochar database platform.</w:t>
      </w:r>
    </w:p>
    <w:p>
      <w:pPr>
        <w:pStyle w:val="Heading2"/>
      </w:pPr>
      <w:r>
        <w:t>3.1  Data Mining Opportunities</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Data Mining Task</w:t>
            </w:r>
          </w:p>
        </w:tc>
        <w:tc>
          <w:tcPr>
            <w:tcW w:type="dxa" w:w="283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Approach</w:t>
            </w:r>
          </w:p>
        </w:tc>
        <w:tc>
          <w:tcPr>
            <w:tcW w:type="dxa" w:w="368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Research Value</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Structure–Property Relationship Mining</w:t>
            </w:r>
          </w:p>
        </w:tc>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Association rule learning on process conditions vs. CO₂ uptake</w:t>
            </w:r>
          </w:p>
        </w:tc>
        <w:tc>
          <w:tcPr>
            <w:tcW w:type="dxa" w:w="368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Discover which parameter combinations consistently yield high performance</w:t>
            </w:r>
          </w:p>
        </w:tc>
      </w:tr>
      <w:tr>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Feedstock Clustering</w:t>
            </w:r>
          </w:p>
        </w:tc>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Unsupervised clustering (k-means, HDBSCAN) on biomass composition</w:t>
            </w:r>
          </w:p>
        </w:tc>
        <w:tc>
          <w:tcPr>
            <w:tcW w:type="dxa" w:w="368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Group biomass types by predicted adsorption behaviour</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Outlier &amp; Champion Record Detection</w:t>
            </w:r>
          </w:p>
        </w:tc>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Isolation Forest + statistical z-score analysis</w:t>
            </w:r>
          </w:p>
        </w:tc>
        <w:tc>
          <w:tcPr>
            <w:tcW w:type="dxa" w:w="368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Identify exceptional materials worthy of further investigation</w:t>
            </w:r>
          </w:p>
        </w:tc>
      </w:tr>
      <w:tr>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Activation Method Effectiveness</w:t>
            </w:r>
          </w:p>
        </w:tc>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Multi-variate ANOVA + post-hoc pairwise comparison</w:t>
            </w:r>
          </w:p>
        </w:tc>
        <w:tc>
          <w:tcPr>
            <w:tcW w:type="dxa" w:w="368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Quantify which activators yield the highest BET &amp; CO₂ gains</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Publication Bias Analysis</w:t>
            </w:r>
          </w:p>
        </w:tc>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Funnel plot analysis on reported CO₂ values across studies</w:t>
            </w:r>
          </w:p>
        </w:tc>
        <w:tc>
          <w:tcPr>
            <w:tcW w:type="dxa" w:w="368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Assess whether positive results are over-represented in literature</w:t>
            </w:r>
          </w:p>
        </w:tc>
      </w:tr>
      <w:tr>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Temporal Trend Mining</w:t>
            </w:r>
          </w:p>
        </w:tc>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Time-series regression on dataset by publication year</w:t>
            </w:r>
          </w:p>
        </w:tc>
        <w:tc>
          <w:tcPr>
            <w:tcW w:type="dxa" w:w="368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Track how reported CO₂ uptake values have changed over 15 years</w:t>
            </w:r>
          </w:p>
        </w:tc>
      </w:tr>
    </w:tbl>
    <w:p>
      <w:pPr>
        <w:spacing w:after="120"/>
      </w:pPr>
    </w:p>
    <w:p>
      <w:pPr>
        <w:pStyle w:val="Heading2"/>
      </w:pPr>
      <w:r>
        <w:t>3.2  ML Model Enhancement Roadmap</w:t>
      </w:r>
    </w:p>
    <w:p>
      <w:pPr>
        <w:spacing w:before="40" w:after="120"/>
      </w:pPr>
      <w:r>
        <w:rPr>
          <w:rFonts w:ascii="Arial" w:hAnsi="Arial"/>
          <w:b w:val="0"/>
          <w:i w:val="0"/>
          <w:color w:val="475569"/>
          <w:sz w:val="21"/>
        </w:rPr>
        <w:t>The current BiocharHub ML engine uses k-Nearest Neighbour (kNN) similarity search on a static JSON dataset. While kNN provides interpretable, record-matched predictions well-suited to the current database scale, it lacks generalisation beyond observed data distributions and cannot quantify prediction uncertainty. The roadmap below defines a phased transition toward increasingly capable models, each grounded in peer-reviewed machine-learning literature.</w:t>
      </w:r>
    </w:p>
    <w:tbl>
      <w:tblPr>
        <w:tblStyle w:val="TableGrid"/>
        <w:tblW w:type="auto" w:w="0"/>
        <w:tblLook w:firstColumn="1" w:firstRow="1" w:lastColumn="0" w:lastRow="0" w:noHBand="0" w:noVBand="1" w:val="04A0"/>
      </w:tblPr>
      <w:tblGrid>
        <w:gridCol w:w="2268"/>
        <w:gridCol w:w="2268"/>
        <w:gridCol w:w="2268"/>
        <w:gridCol w:w="2268"/>
      </w:tblGrid>
      <w:tr>
        <w:tc>
          <w:tcPr>
            <w:tcW w:type="dxa" w:w="283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Model</w:t>
            </w:r>
          </w:p>
        </w:tc>
        <w:tc>
          <w:tcPr>
            <w:tcW w:type="dxa" w:w="113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Phase</w:t>
            </w:r>
          </w:p>
        </w:tc>
        <w:tc>
          <w:tcPr>
            <w:tcW w:type="dxa" w:w="170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Target MAE</w:t>
            </w:r>
          </w:p>
        </w:tc>
        <w:tc>
          <w:tcPr>
            <w:tcW w:type="dxa" w:w="3402"/>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Key Advantage</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k-Nearest Neighbour (current)</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v1.7</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&lt; 1.2 mmol/g</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Interpretable; no training required; record-matched output</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Random Forest Ensemble</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1</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&lt; 0.8 mmol/g</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Variance reduction via bagging; built-in feature importance</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Gradient Boosting (XGBoost/LGB)</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1</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&lt; 0.6 mmol/g</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Sequential residual correction; state-of-the-art on tabular data</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Gaussian Process Regression (GPR)</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1</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&lt; 0.7 mmol/g</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Calibrated uncertainty bands; principled Bayesian inference</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Graph Neural Network (GNN)</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2</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&lt; 0.4 mmol/g</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Feature-interaction graph; captures non-linear process synergies</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Physics-Informed Neural Network</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2</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Interpretable</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Langmuir/Freundlich isotherm constraints embedded in loss function</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Transformer / Attention Model</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2</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&lt; 0.35 mmol/g</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Self-attention over tabular features; strong benchmark record</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LLM fine-tune (literature mining)</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Phase 3</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Qualitative</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Auto-extract experimental data from PDF papers at scale</w:t>
            </w:r>
          </w:p>
        </w:tc>
      </w:tr>
    </w:tbl>
    <w:p>
      <w:pPr>
        <w:spacing w:after="120"/>
      </w:pPr>
    </w:p>
    <w:p>
      <w:pPr>
        <w:pStyle w:val="Heading3"/>
      </w:pPr>
      <w:r>
        <w:t>3.2.1  Phase 1 — Ensemble &amp; Probabilistic Methods</w:t>
      </w:r>
    </w:p>
    <w:p>
      <w:pPr>
        <w:spacing w:before="40" w:after="120"/>
      </w:pPr>
      <w:r>
        <w:rPr>
          <w:rFonts w:ascii="Arial" w:hAnsi="Arial"/>
          <w:b w:val="0"/>
          <w:i w:val="0"/>
          <w:color w:val="475569"/>
          <w:sz w:val="21"/>
        </w:rPr>
        <w:t>Random Forest [1] builds an ensemble of decision trees on bootstrap samples of the training data (bagging) and random feature subsets at each split. Averaging across diverse trees reduces variance without increasing bias — a well-proven approach for small-to-medium materials property datasets. A leave-one-study-out cross-validation (LOSOCV) strategy will be applied, partitioning test sets by publication source to quantify generalisation across independent research groups and detect overfitting to specific laboratory conditions.</w:t>
      </w:r>
    </w:p>
    <w:p>
      <w:pPr>
        <w:spacing w:before="40" w:after="120"/>
      </w:pPr>
      <w:r>
        <w:rPr>
          <w:rFonts w:ascii="Arial" w:hAnsi="Arial"/>
          <w:b w:val="0"/>
          <w:i w:val="0"/>
          <w:color w:val="475569"/>
          <w:sz w:val="21"/>
        </w:rPr>
        <w:t>Gradient Boosting via XGBoost [2] and LightGBM [3] trains trees sequentially, each correcting residuals of the prior ensemble. XGBoost introduces second-order gradient statistics and L1/L2 regularisation to control overfitting; LightGBM uses histogram-based leaf-wise tree growth for computational efficiency on large feature spaces. Both have achieved state-of-the-art performance on tabular regression benchmarks. Hyperparameter tuning will use Optuna [12] with a Tree-structured Parzen Estimator (TPE), 150-trial budget, tuning learning rate, max depth, feature subsampling fraction, and regularisation coefficients simultaneously.</w:t>
      </w:r>
    </w:p>
    <w:p>
      <w:pPr>
        <w:spacing w:before="40" w:after="120"/>
      </w:pPr>
      <w:r>
        <w:rPr>
          <w:rFonts w:ascii="Arial" w:hAnsi="Arial"/>
          <w:b w:val="0"/>
          <w:i w:val="0"/>
          <w:color w:val="475569"/>
          <w:sz w:val="21"/>
        </w:rPr>
        <w:t>Gaussian Process Regression (GPR) [4] provides a full posterior predictive distribution — yielding both a mean prediction and a calibrated uncertainty interval (credible interval) for every query. GPR is particularly suited to datasets under 2,000 records and is the recommended approach for adding prediction confidence bands to the BiocharHub CO₂ Predictor UI. A Matérn 5/2 kernel with automatic relevance determination (ARD) will be benchmarked against a composite RBF + polynomial kernel; kernel hyperparameters are optimised by maximising the log marginal likelihood, and calibration will be verified by comparing empirical coverage probability against the nominal 95% level on the held-out test set.</w:t>
      </w:r>
    </w:p>
    <w:p>
      <w:pPr>
        <w:pStyle w:val="Heading3"/>
      </w:pPr>
      <w:r>
        <w:t>3.2.2  Phase 2 — Graph &amp; Physics-Informed Models</w:t>
      </w:r>
    </w:p>
    <w:p>
      <w:pPr>
        <w:spacing w:before="40" w:after="120"/>
      </w:pPr>
      <w:r>
        <w:rPr>
          <w:rFonts w:ascii="Arial" w:hAnsi="Arial"/>
          <w:b w:val="0"/>
          <w:i w:val="0"/>
          <w:color w:val="475569"/>
          <w:sz w:val="21"/>
        </w:rPr>
        <w:t>Graph Neural Networks (GNNs) [6, 7] represent biochar synthesis as a heterogeneous graph where nodes encode feature variables — biomass type, activator species, pyrolysis temperature, residence time — and edges capture known physicochemical interactions, e.g., temperature × activator synergy on micropore development. Message-passing operations allow the GNN to learn higher-order interaction effects that flat tabular models cannot explicitly represent. SchNet-style architectures [8], originally developed for quantum chemistry atomisation energy prediction, will be adapted for biochar property prediction by treating each process parameter as a pseudo-atomic embedding, enabling the model to learn composite structure–property relationships across the full experimental space.</w:t>
      </w:r>
    </w:p>
    <w:p>
      <w:pPr>
        <w:spacing w:before="40" w:after="120"/>
      </w:pPr>
      <w:r>
        <w:rPr>
          <w:rFonts w:ascii="Arial" w:hAnsi="Arial"/>
          <w:b w:val="0"/>
          <w:i w:val="0"/>
          <w:color w:val="475569"/>
          <w:sz w:val="21"/>
        </w:rPr>
        <w:t>Physics-Informed Neural Networks (PINNs) [5] embed domain knowledge directly into the training objective via physics-based penalty terms. For CO₂ adsorption on biochar, the Langmuir isotherm (Q = Q_max · K_L · P / (1 + K_L · P)) and the Freundlich isotherm (Q = K_F · P^(1/n)) define the theoretical equilibrium relationship between adsorption capacity, surface binding energy, and partial pressure. Adding isotherm residual terms to the neural network loss function enforces physical consistency — ensuring that predictions in data-sparse regions (rare biomasses, extreme temperatures) remain theoretically bounded rather than extrapolating arbitrarily. This directly addresses the out-of-distribution failure mode of purely data-driven models and is especially important for predicting Thai-specific biomass species with limited peer-reviewed records.</w:t>
      </w:r>
    </w:p>
    <w:p>
      <w:pPr>
        <w:spacing w:before="40" w:after="120"/>
      </w:pPr>
      <w:r>
        <w:rPr>
          <w:rFonts w:ascii="Arial" w:hAnsi="Arial"/>
          <w:b w:val="0"/>
          <w:i w:val="0"/>
          <w:color w:val="475569"/>
          <w:sz w:val="21"/>
        </w:rPr>
        <w:t>Feature engineering for Phase 2 will incorporate van Krevelen H/C and O/C atomic ratios derived from elemental analysis, aromaticity index proxies from pyrolysis temperature (higher temperature → higher aromaticity → higher surface stability), and activation energy descriptors computed from activator-to-biomass ratio and activation duration. SHAP [11] will provide model-agnostic feature attribution for all Phase 2 models, ensuring that interpretability is maintained as model architectural complexity increases. SHAP waterfall plots will be embedded in the BiocharHub prediction result UI to display which input features contributed most to each prediction.</w:t>
      </w:r>
    </w:p>
    <w:p>
      <w:pPr>
        <w:pStyle w:val="Heading3"/>
      </w:pPr>
      <w:r>
        <w:t>3.2.3  Model Evaluation Protocol</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Metric</w:t>
            </w:r>
          </w:p>
        </w:tc>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Definition</w:t>
            </w:r>
          </w:p>
        </w:tc>
        <w:tc>
          <w:tcPr>
            <w:tcW w:type="dxa" w:w="4819"/>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Role in Biochar ML Assessment</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MAE</w:t>
            </w:r>
          </w:p>
        </w:tc>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Mean |ŷ − y| across test set</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Primary metric — direct error in mmol/g; robust to outliers</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RMSE</w:t>
            </w:r>
          </w:p>
        </w:tc>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√Mean (ŷ − y)²</w:t>
            </w:r>
          </w:p>
        </w:tc>
        <w:tc>
          <w:tcPr>
            <w:tcW w:type="dxa" w:w="481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Secondary — penalises large errors; critical for high-uptake predictions</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R²</w:t>
            </w:r>
          </w:p>
        </w:tc>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 SS_res / SS_tot</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Proportion of variance explained; target R² ≥ 0.85 for production</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Coverage Prob.</w:t>
            </w:r>
          </w:p>
        </w:tc>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P(y ∈ [ŷ ± 1.96σ])</w:t>
            </w:r>
          </w:p>
        </w:tc>
        <w:tc>
          <w:tcPr>
            <w:tcW w:type="dxa" w:w="481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GPR calibration check — should equal ~95% on held-out test set</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LOSOCV score</w:t>
            </w:r>
          </w:p>
        </w:tc>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MAE on leave-one-study-out splits</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Most rigorous: tests generalisation across independent studies</w:t>
            </w:r>
          </w:p>
        </w:tc>
      </w:tr>
    </w:tbl>
    <w:p>
      <w:pPr>
        <w:spacing w:after="120"/>
      </w:pPr>
    </w:p>
    <w:p>
      <w:pPr>
        <w:pStyle w:val="Heading2"/>
      </w:pPr>
      <w:r>
        <w:t>3.3  Scientific References — Biochar Informatics &amp; ML Models</w:t>
      </w:r>
    </w:p>
    <w:p>
      <w:pPr>
        <w:spacing w:before="40" w:after="80"/>
        <w:ind w:left="283"/>
      </w:pPr>
      <w:r>
        <w:rPr>
          <w:rFonts w:ascii="Arial" w:hAnsi="Arial"/>
          <w:b/>
          <w:color w:val="15803D"/>
          <w:sz w:val="18"/>
        </w:rPr>
        <w:t xml:space="preserve">[1]  </w:t>
      </w:r>
      <w:r>
        <w:rPr>
          <w:rFonts w:ascii="Arial" w:hAnsi="Arial"/>
          <w:color w:val="475569"/>
          <w:sz w:val="18"/>
        </w:rPr>
        <w:t>Breiman, L. (2001). Random forests. Machine Learning, 45(1), 5–32. https://doi.org/10.1023/A:1010933404324</w:t>
      </w:r>
    </w:p>
    <w:p>
      <w:pPr>
        <w:spacing w:before="40" w:after="80"/>
        <w:ind w:left="283"/>
      </w:pPr>
      <w:r>
        <w:rPr>
          <w:rFonts w:ascii="Arial" w:hAnsi="Arial"/>
          <w:b/>
          <w:color w:val="15803D"/>
          <w:sz w:val="18"/>
        </w:rPr>
        <w:t xml:space="preserve">[2]  </w:t>
      </w:r>
      <w:r>
        <w:rPr>
          <w:rFonts w:ascii="Arial" w:hAnsi="Arial"/>
          <w:color w:val="475569"/>
          <w:sz w:val="18"/>
        </w:rPr>
        <w:t>Chen, T., &amp; Guestrin, C. (2016). XGBoost: A scalable tree boosting system. Proceedings of the 22nd ACM SIGKDD International Conference on Knowledge Discovery and Data Mining, 785–794. https://doi.org/10.1145/2939672.2939785</w:t>
      </w:r>
    </w:p>
    <w:p>
      <w:pPr>
        <w:spacing w:before="40" w:after="80"/>
        <w:ind w:left="283"/>
      </w:pPr>
      <w:r>
        <w:rPr>
          <w:rFonts w:ascii="Arial" w:hAnsi="Arial"/>
          <w:b/>
          <w:color w:val="15803D"/>
          <w:sz w:val="18"/>
        </w:rPr>
        <w:t xml:space="preserve">[3]  </w:t>
      </w:r>
      <w:r>
        <w:rPr>
          <w:rFonts w:ascii="Arial" w:hAnsi="Arial"/>
          <w:color w:val="475569"/>
          <w:sz w:val="18"/>
        </w:rPr>
        <w:t>Ke, G., Meng, Q., Finley, T., et al. (2017). LightGBM: A highly efficient gradient boosting decision tree. Advances in Neural Information Processing Systems (NeurIPS), 30, 3146–3154.</w:t>
      </w:r>
    </w:p>
    <w:p>
      <w:pPr>
        <w:spacing w:before="40" w:after="80"/>
        <w:ind w:left="283"/>
      </w:pPr>
      <w:r>
        <w:rPr>
          <w:rFonts w:ascii="Arial" w:hAnsi="Arial"/>
          <w:b/>
          <w:color w:val="15803D"/>
          <w:sz w:val="18"/>
        </w:rPr>
        <w:t xml:space="preserve">[4]  </w:t>
      </w:r>
      <w:r>
        <w:rPr>
          <w:rFonts w:ascii="Arial" w:hAnsi="Arial"/>
          <w:color w:val="475569"/>
          <w:sz w:val="18"/>
        </w:rPr>
        <w:t>Rasmussen, C. E., &amp; Williams, C. K. I. (2006). Gaussian processes for machine learning. MIT Press. ISBN 978-0-262-18253-9.</w:t>
      </w:r>
    </w:p>
    <w:p>
      <w:pPr>
        <w:spacing w:before="40" w:after="80"/>
        <w:ind w:left="283"/>
      </w:pPr>
      <w:r>
        <w:rPr>
          <w:rFonts w:ascii="Arial" w:hAnsi="Arial"/>
          <w:b/>
          <w:color w:val="15803D"/>
          <w:sz w:val="18"/>
        </w:rPr>
        <w:t xml:space="preserve">[5]  </w:t>
      </w:r>
      <w:r>
        <w:rPr>
          <w:rFonts w:ascii="Arial" w:hAnsi="Arial"/>
          <w:color w:val="475569"/>
          <w:sz w:val="18"/>
        </w:rPr>
        <w:t>Raissi, M., Perdikaris, P., &amp; Karniadakis, G. E. (2019). Physics-informed neural networks: A deep learning framework for solving forward and inverse problems involving nonlinear PDEs. Journal of Computational Physics, 378, 686–707. https://doi.org/10.1016/j.jcp.2018.10.045</w:t>
      </w:r>
    </w:p>
    <w:p>
      <w:pPr>
        <w:spacing w:before="40" w:after="80"/>
        <w:ind w:left="283"/>
      </w:pPr>
      <w:r>
        <w:rPr>
          <w:rFonts w:ascii="Arial" w:hAnsi="Arial"/>
          <w:b/>
          <w:color w:val="15803D"/>
          <w:sz w:val="18"/>
        </w:rPr>
        <w:t xml:space="preserve">[6]  </w:t>
      </w:r>
      <w:r>
        <w:rPr>
          <w:rFonts w:ascii="Arial" w:hAnsi="Arial"/>
          <w:color w:val="475569"/>
          <w:sz w:val="18"/>
        </w:rPr>
        <w:t>Scarselli, F., Gori, M., Tsoi, A. C., Hagenbuchner, M., &amp; Monfardini, G. (2009). The graph neural network model. IEEE Transactions on Neural Networks, 20(1), 61–80. https://doi.org/10.1109/TNN.2008.2005605</w:t>
      </w:r>
    </w:p>
    <w:p>
      <w:pPr>
        <w:spacing w:before="40" w:after="80"/>
        <w:ind w:left="283"/>
      </w:pPr>
      <w:r>
        <w:rPr>
          <w:rFonts w:ascii="Arial" w:hAnsi="Arial"/>
          <w:b/>
          <w:color w:val="15803D"/>
          <w:sz w:val="18"/>
        </w:rPr>
        <w:t xml:space="preserve">[7]  </w:t>
      </w:r>
      <w:r>
        <w:rPr>
          <w:rFonts w:ascii="Arial" w:hAnsi="Arial"/>
          <w:color w:val="475569"/>
          <w:sz w:val="18"/>
        </w:rPr>
        <w:t>Kipf, T. N., &amp; Welling, M. (2017). Semi-supervised classification with graph convolutional networks. International Conference on Learning Representations (ICLR). https://arxiv.org/abs/1609.02907</w:t>
      </w:r>
    </w:p>
    <w:p>
      <w:pPr>
        <w:spacing w:before="40" w:after="80"/>
        <w:ind w:left="283"/>
      </w:pPr>
      <w:r>
        <w:rPr>
          <w:rFonts w:ascii="Arial" w:hAnsi="Arial"/>
          <w:b/>
          <w:color w:val="15803D"/>
          <w:sz w:val="18"/>
        </w:rPr>
        <w:t xml:space="preserve">[8]  </w:t>
      </w:r>
      <w:r>
        <w:rPr>
          <w:rFonts w:ascii="Arial" w:hAnsi="Arial"/>
          <w:color w:val="475569"/>
          <w:sz w:val="18"/>
        </w:rPr>
        <w:t>Schütt, K. T., Kindermans, P.-J., Sauceda, H. E., et al. (2018). SchNet — A deep learning architecture for molecules and materials. Journal of Chemical Physics, 148(24), 241722. https://doi.org/10.1063/1.5019779</w:t>
      </w:r>
    </w:p>
    <w:p>
      <w:pPr>
        <w:spacing w:before="40" w:after="80"/>
        <w:ind w:left="283"/>
      </w:pPr>
      <w:r>
        <w:rPr>
          <w:rFonts w:ascii="Arial" w:hAnsi="Arial"/>
          <w:b/>
          <w:color w:val="15803D"/>
          <w:sz w:val="18"/>
        </w:rPr>
        <w:t xml:space="preserve">[9]  </w:t>
      </w:r>
      <w:r>
        <w:rPr>
          <w:rFonts w:ascii="Arial" w:hAnsi="Arial"/>
          <w:color w:val="475569"/>
          <w:sz w:val="18"/>
        </w:rPr>
        <w:t>Butler, K. T., Davies, D. W., Cartwright, H., Isayev, O., &amp; Walsh, A. (2018). Machine learning for molecular and materials science. Nature, 559(7715), 547–555. https://doi.org/10.1038/s41586-018-0337-2</w:t>
      </w:r>
    </w:p>
    <w:p>
      <w:pPr>
        <w:spacing w:before="40" w:after="80"/>
        <w:ind w:left="283"/>
      </w:pPr>
      <w:r>
        <w:rPr>
          <w:rFonts w:ascii="Arial" w:hAnsi="Arial"/>
          <w:b/>
          <w:color w:val="15803D"/>
          <w:sz w:val="18"/>
        </w:rPr>
        <w:t xml:space="preserve">[10]  </w:t>
      </w:r>
      <w:r>
        <w:rPr>
          <w:rFonts w:ascii="Arial" w:hAnsi="Arial"/>
          <w:color w:val="475569"/>
          <w:sz w:val="18"/>
        </w:rPr>
        <w:t>Himanen, L., Geurts, A., Foster, A. S., &amp; Rinke, P. (2019). Data-driven materials science: Status, challenges and perspectives. Advanced Science, 6(21), 1900808. https://doi.org/10.1002/advs.201900808</w:t>
      </w:r>
    </w:p>
    <w:p>
      <w:pPr>
        <w:spacing w:before="40" w:after="80"/>
        <w:ind w:left="283"/>
      </w:pPr>
      <w:r>
        <w:rPr>
          <w:rFonts w:ascii="Arial" w:hAnsi="Arial"/>
          <w:b/>
          <w:color w:val="15803D"/>
          <w:sz w:val="18"/>
        </w:rPr>
        <w:t xml:space="preserve">[11]  </w:t>
      </w:r>
      <w:r>
        <w:rPr>
          <w:rFonts w:ascii="Arial" w:hAnsi="Arial"/>
          <w:color w:val="475569"/>
          <w:sz w:val="18"/>
        </w:rPr>
        <w:t>Lundberg, S. M., &amp; Lee, S.-I. (2017). A unified approach to interpreting model predictions. Advances in Neural Information Processing Systems (NeurIPS), 30.</w:t>
      </w:r>
    </w:p>
    <w:p>
      <w:pPr>
        <w:spacing w:before="40" w:after="80"/>
        <w:ind w:left="283"/>
      </w:pPr>
      <w:r>
        <w:rPr>
          <w:rFonts w:ascii="Arial" w:hAnsi="Arial"/>
          <w:b/>
          <w:color w:val="15803D"/>
          <w:sz w:val="18"/>
        </w:rPr>
        <w:t xml:space="preserve">[12]  </w:t>
      </w:r>
      <w:r>
        <w:rPr>
          <w:rFonts w:ascii="Arial" w:hAnsi="Arial"/>
          <w:color w:val="475569"/>
          <w:sz w:val="18"/>
        </w:rPr>
        <w:t>Akiba, T., Sano, S., Yanase, T., Ohta, T., &amp; Koyama, M. (2019). Optuna: A next-generation hyperparameter optimization framework. Proceedings of the 25th ACM SIGKDD International Conference on Knowledge Discovery and Data Mining, 2623–2631. https://doi.org/10.1145/3292500.3330701</w:t>
      </w:r>
    </w:p>
    <w:p>
      <w:r>
        <w:br w:type="page"/>
      </w:r>
    </w:p>
    <w:p>
      <w:pPr>
        <w:pStyle w:val="Heading1"/>
      </w:pPr>
      <w:r>
        <w:t>4.  Research Opportunities</w:t>
      </w:r>
    </w:p>
    <w:p>
      <w:pPr>
        <w:spacing w:before="40" w:after="160"/>
        <w:pBdr>
          <w:bottom w:val="single" w:sz="6" w:space="1" w:color="15803D"/>
        </w:pBdr>
      </w:pPr>
    </w:p>
    <w:p>
      <w:pPr>
        <w:spacing w:before="40" w:after="120"/>
      </w:pPr>
      <w:r>
        <w:rPr>
          <w:rFonts w:ascii="Arial" w:hAnsi="Arial"/>
          <w:b w:val="0"/>
          <w:i w:val="0"/>
          <w:color w:val="475569"/>
          <w:sz w:val="21"/>
        </w:rPr>
        <w:t>The BiocharHub platform opens multiple original research avenues that combine data science, materials informatics, and environmental engineering. The following represent high-priority research questions that the platform is uniquely positioned to address.</w:t>
      </w:r>
    </w:p>
    <w:p>
      <w:pPr>
        <w:pStyle w:val="Heading2"/>
      </w:pPr>
      <w:r>
        <w:t>4.1  Priority Research Questions</w:t>
      </w:r>
    </w:p>
    <w:p>
      <w:pPr>
        <w:spacing w:before="160" w:after="40"/>
      </w:pPr>
      <w:r>
        <w:rPr>
          <w:rFonts w:ascii="Arial" w:hAnsi="Arial"/>
          <w:b/>
          <w:color w:val="15803D"/>
          <w:sz w:val="21"/>
        </w:rPr>
        <w:t>[R1]  Generalised ML Model for Biochar CO₂ Uptake</w:t>
      </w:r>
    </w:p>
    <w:p>
      <w:pPr>
        <w:spacing w:before="40" w:after="120"/>
      </w:pPr>
      <w:r>
        <w:rPr>
          <w:rFonts w:ascii="Arial" w:hAnsi="Arial"/>
          <w:b w:val="0"/>
          <w:i w:val="0"/>
          <w:color w:val="475569"/>
          <w:sz w:val="21"/>
        </w:rPr>
        <w:t>Can a generalised ML model trained on 1,396+ records outperform individual study regression models? What are the universal process–performance relationships?</w:t>
      </w:r>
    </w:p>
    <w:p>
      <w:pPr>
        <w:spacing w:before="40" w:after="160"/>
        <w:pBdr>
          <w:bottom w:val="single" w:sz="6" w:space="1" w:color="E2E8F0"/>
        </w:pBdr>
      </w:pPr>
    </w:p>
    <w:p>
      <w:pPr>
        <w:spacing w:before="160" w:after="40"/>
      </w:pPr>
      <w:r>
        <w:rPr>
          <w:rFonts w:ascii="Arial" w:hAnsi="Arial"/>
          <w:b/>
          <w:color w:val="15803D"/>
          <w:sz w:val="21"/>
        </w:rPr>
        <w:t>[R2]  Automated Biochar Literature Mining at Scale</w:t>
      </w:r>
    </w:p>
    <w:p>
      <w:pPr>
        <w:spacing w:before="40" w:after="120"/>
      </w:pPr>
      <w:r>
        <w:rPr>
          <w:rFonts w:ascii="Arial" w:hAnsi="Arial"/>
          <w:b w:val="0"/>
          <w:i w:val="0"/>
          <w:color w:val="475569"/>
          <w:sz w:val="21"/>
        </w:rPr>
        <w:t>Can NLP models reliably extract tabular experimental data from full-text PDF papers at &gt;90% accuracy, enabling database scale-up from 1,396 to 10,000+ records?</w:t>
      </w:r>
    </w:p>
    <w:p>
      <w:pPr>
        <w:spacing w:before="40" w:after="160"/>
        <w:pBdr>
          <w:bottom w:val="single" w:sz="6" w:space="1" w:color="E2E8F0"/>
        </w:pBdr>
      </w:pPr>
    </w:p>
    <w:p>
      <w:pPr>
        <w:spacing w:before="160" w:after="40"/>
      </w:pPr>
      <w:r>
        <w:rPr>
          <w:rFonts w:ascii="Arial" w:hAnsi="Arial"/>
          <w:b/>
          <w:color w:val="15803D"/>
          <w:sz w:val="21"/>
        </w:rPr>
        <w:t>[R3]  Experiment Design Optimisation via Bayesian Methods</w:t>
      </w:r>
    </w:p>
    <w:p>
      <w:pPr>
        <w:spacing w:before="40" w:after="120"/>
      </w:pPr>
      <w:r>
        <w:rPr>
          <w:rFonts w:ascii="Arial" w:hAnsi="Arial"/>
          <w:b w:val="0"/>
          <w:i w:val="0"/>
          <w:color w:val="475569"/>
          <w:sz w:val="21"/>
        </w:rPr>
        <w:t>Can Bayesian optimisation over the existing data space suggest novel, untested production conditions with a predicted CO₂ uptake exceeding current maximum values (&gt;7.5 mmol/g)?</w:t>
      </w:r>
    </w:p>
    <w:p>
      <w:pPr>
        <w:spacing w:before="40" w:after="160"/>
        <w:pBdr>
          <w:bottom w:val="single" w:sz="6" w:space="1" w:color="E2E8F0"/>
        </w:pBdr>
      </w:pPr>
    </w:p>
    <w:p>
      <w:pPr>
        <w:spacing w:before="160" w:after="40"/>
      </w:pPr>
      <w:r>
        <w:rPr>
          <w:rFonts w:ascii="Arial" w:hAnsi="Arial"/>
          <w:b/>
          <w:color w:val="15803D"/>
          <w:sz w:val="21"/>
        </w:rPr>
        <w:t>[R4]  Transfer Learning Across Biomass Families</w:t>
      </w:r>
    </w:p>
    <w:p>
      <w:pPr>
        <w:spacing w:before="40" w:after="120"/>
      </w:pPr>
      <w:r>
        <w:rPr>
          <w:rFonts w:ascii="Arial" w:hAnsi="Arial"/>
          <w:b w:val="0"/>
          <w:i w:val="0"/>
          <w:color w:val="475569"/>
          <w:sz w:val="21"/>
        </w:rPr>
        <w:t>Can models trained on well-represented biomasses (rice husk, corn straw) transfer performance to rare or regionally-specific Thai biomasses with limited data points?</w:t>
      </w:r>
    </w:p>
    <w:p>
      <w:pPr>
        <w:spacing w:before="40" w:after="160"/>
        <w:pBdr>
          <w:bottom w:val="single" w:sz="6" w:space="1" w:color="E2E8F0"/>
        </w:pBdr>
      </w:pPr>
    </w:p>
    <w:p>
      <w:pPr>
        <w:spacing w:before="160" w:after="40"/>
      </w:pPr>
      <w:r>
        <w:rPr>
          <w:rFonts w:ascii="Arial" w:hAnsi="Arial"/>
          <w:b/>
          <w:color w:val="15803D"/>
          <w:sz w:val="21"/>
        </w:rPr>
        <w:t>[R5]  Cross-Property Prediction &amp; Trade-off Analysis</w:t>
      </w:r>
    </w:p>
    <w:p>
      <w:pPr>
        <w:spacing w:before="40" w:after="120"/>
      </w:pPr>
      <w:r>
        <w:rPr>
          <w:rFonts w:ascii="Arial" w:hAnsi="Arial"/>
          <w:b w:val="0"/>
          <w:i w:val="0"/>
          <w:color w:val="475569"/>
          <w:sz w:val="21"/>
        </w:rPr>
        <w:t>What are the fundamental trade-offs between CO₂ adsorption, BET surface area, pore volume, and biochar yield? Can multi-objective optimisation identify Pareto-optimal production conditions?</w:t>
      </w:r>
    </w:p>
    <w:p>
      <w:pPr>
        <w:spacing w:before="40" w:after="160"/>
        <w:pBdr>
          <w:bottom w:val="single" w:sz="6" w:space="1" w:color="E2E8F0"/>
        </w:pBdr>
      </w:pPr>
    </w:p>
    <w:p>
      <w:pPr>
        <w:spacing w:before="160" w:after="40"/>
      </w:pPr>
      <w:r>
        <w:rPr>
          <w:rFonts w:ascii="Arial" w:hAnsi="Arial"/>
          <w:b/>
          <w:color w:val="15803D"/>
          <w:sz w:val="21"/>
        </w:rPr>
        <w:t>[R6]  Climate Impact Assessment of Optimal Biochar Routes</w:t>
      </w:r>
    </w:p>
    <w:p>
      <w:pPr>
        <w:spacing w:before="40" w:after="120"/>
      </w:pPr>
      <w:r>
        <w:rPr>
          <w:rFonts w:ascii="Arial" w:hAnsi="Arial"/>
          <w:b w:val="0"/>
          <w:i w:val="0"/>
          <w:color w:val="475569"/>
          <w:sz w:val="21"/>
        </w:rPr>
        <w:t>Integrating the ML predictions with life-cycle assessment (LCA) data: which production routes maximise CO₂ capture while minimising production-phase emissions?</w:t>
      </w:r>
    </w:p>
    <w:p>
      <w:pPr>
        <w:spacing w:before="40" w:after="160"/>
        <w:pBdr>
          <w:bottom w:val="single" w:sz="6" w:space="1" w:color="E2E8F0"/>
        </w:pBdr>
      </w:pPr>
    </w:p>
    <w:p>
      <w:pPr>
        <w:pStyle w:val="Heading2"/>
      </w:pPr>
      <w:r>
        <w:t>4.2  Scientific References — Research Opportunities</w:t>
      </w:r>
    </w:p>
    <w:p>
      <w:pPr>
        <w:spacing w:before="40" w:after="80"/>
        <w:ind w:left="283"/>
      </w:pPr>
      <w:r>
        <w:rPr>
          <w:rFonts w:ascii="Arial" w:hAnsi="Arial"/>
          <w:b/>
          <w:color w:val="15803D"/>
          <w:sz w:val="18"/>
        </w:rPr>
        <w:t xml:space="preserve">[1]  </w:t>
      </w:r>
      <w:r>
        <w:rPr>
          <w:rFonts w:ascii="Arial" w:hAnsi="Arial"/>
          <w:color w:val="475569"/>
          <w:sz w:val="18"/>
        </w:rPr>
        <w:t>Butler, K. T., Davies, D. W., Cartwright, H., Isayev, O., &amp; Walsh, A. (2018). Machine learning for molecular and materials science. Nature, 559(7715), 547–555. https://doi.org/10.1038/s41586-018-0337-2 [R1 — benchmark for generalised ML across materials property datasets]</w:t>
      </w:r>
    </w:p>
    <w:p>
      <w:pPr>
        <w:spacing w:before="40" w:after="80"/>
        <w:ind w:left="283"/>
      </w:pPr>
      <w:r>
        <w:rPr>
          <w:rFonts w:ascii="Arial" w:hAnsi="Arial"/>
          <w:b/>
          <w:color w:val="15803D"/>
          <w:sz w:val="18"/>
        </w:rPr>
        <w:t xml:space="preserve">[2]  </w:t>
      </w:r>
      <w:r>
        <w:rPr>
          <w:rFonts w:ascii="Arial" w:hAnsi="Arial"/>
          <w:color w:val="475569"/>
          <w:sz w:val="18"/>
        </w:rPr>
        <w:t>Jain, A., Ong, S. P., Hautier, G., et al. (2013). Commentary: The Materials Project: A materials genome approach to accelerating materials innovation. APL Materials, 1(1), 011002. https://doi.org/10.1063/1.4812323 [R1 — exemplar large-scale ML materials database]</w:t>
      </w:r>
    </w:p>
    <w:p>
      <w:pPr>
        <w:spacing w:before="40" w:after="80"/>
        <w:ind w:left="283"/>
      </w:pPr>
      <w:r>
        <w:rPr>
          <w:rFonts w:ascii="Arial" w:hAnsi="Arial"/>
          <w:b/>
          <w:color w:val="15803D"/>
          <w:sz w:val="18"/>
        </w:rPr>
        <w:t xml:space="preserve">[3]  </w:t>
      </w:r>
      <w:r>
        <w:rPr>
          <w:rFonts w:ascii="Arial" w:hAnsi="Arial"/>
          <w:color w:val="475569"/>
          <w:sz w:val="18"/>
        </w:rPr>
        <w:t>Swain, M. C., &amp; Cole, J. M. (2016). ChemDataExtractor: A toolkit for automated extraction of chemical information from the scientific literature. Journal of Chemical Information and Modeling, 56(10), 1894–1904. https://doi.org/10.1021/acs.jcim.6b00207 [R2 — NLP-based chemical data extraction from PDF literature]</w:t>
      </w:r>
    </w:p>
    <w:p>
      <w:pPr>
        <w:spacing w:before="40" w:after="80"/>
        <w:ind w:left="283"/>
      </w:pPr>
      <w:r>
        <w:rPr>
          <w:rFonts w:ascii="Arial" w:hAnsi="Arial"/>
          <w:b/>
          <w:color w:val="15803D"/>
          <w:sz w:val="18"/>
        </w:rPr>
        <w:t xml:space="preserve">[4]  </w:t>
      </w:r>
      <w:r>
        <w:rPr>
          <w:rFonts w:ascii="Arial" w:hAnsi="Arial"/>
          <w:color w:val="475569"/>
          <w:sz w:val="18"/>
        </w:rPr>
        <w:t>Weston, L., Tshitoyan, V., Dagdelen, J., et al. (2019). Named entity recognition and normalization applied to large-scale information extraction from the materials science literature. Journal of Chemical Information and Modeling, 59(9), 3692–3702. https://doi.org/10.1021/acs.jcim.9b00470 [R2 — NLP for automated materials data mining]</w:t>
      </w:r>
    </w:p>
    <w:p>
      <w:pPr>
        <w:spacing w:before="40" w:after="80"/>
        <w:ind w:left="283"/>
      </w:pPr>
      <w:r>
        <w:rPr>
          <w:rFonts w:ascii="Arial" w:hAnsi="Arial"/>
          <w:b/>
          <w:color w:val="15803D"/>
          <w:sz w:val="18"/>
        </w:rPr>
        <w:t xml:space="preserve">[5]  </w:t>
      </w:r>
      <w:r>
        <w:rPr>
          <w:rFonts w:ascii="Arial" w:hAnsi="Arial"/>
          <w:color w:val="475569"/>
          <w:sz w:val="18"/>
        </w:rPr>
        <w:t>Shahriari, B., Swersky, K., Wang, Z., Adams, R. P., &amp; de Freitas, N. (2016). Taking the human out of the loop: A review of Bayesian optimization. Proceedings of the IEEE, 104(1), 148–175. https://doi.org/10.1109/JPROC.2015.2494218 [R3 — Bayesian optimisation for experiment design]</w:t>
      </w:r>
    </w:p>
    <w:p>
      <w:pPr>
        <w:spacing w:before="40" w:after="80"/>
        <w:ind w:left="283"/>
      </w:pPr>
      <w:r>
        <w:rPr>
          <w:rFonts w:ascii="Arial" w:hAnsi="Arial"/>
          <w:b/>
          <w:color w:val="15803D"/>
          <w:sz w:val="18"/>
        </w:rPr>
        <w:t xml:space="preserve">[6]  </w:t>
      </w:r>
      <w:r>
        <w:rPr>
          <w:rFonts w:ascii="Arial" w:hAnsi="Arial"/>
          <w:color w:val="475569"/>
          <w:sz w:val="18"/>
        </w:rPr>
        <w:t>Frazier, P. I. (2018). A tutorial on Bayesian optimization. arXiv preprint arXiv:1807.02811. https://arxiv.org/abs/1807.02811 [R3 — accessible introduction to BO applied to materials discovery]</w:t>
      </w:r>
    </w:p>
    <w:p>
      <w:pPr>
        <w:spacing w:before="40" w:after="80"/>
        <w:ind w:left="283"/>
      </w:pPr>
      <w:r>
        <w:rPr>
          <w:rFonts w:ascii="Arial" w:hAnsi="Arial"/>
          <w:b/>
          <w:color w:val="15803D"/>
          <w:sz w:val="18"/>
        </w:rPr>
        <w:t xml:space="preserve">[7]  </w:t>
      </w:r>
      <w:r>
        <w:rPr>
          <w:rFonts w:ascii="Arial" w:hAnsi="Arial"/>
          <w:color w:val="475569"/>
          <w:sz w:val="18"/>
        </w:rPr>
        <w:t>Pan, S. J., &amp; Yang, Q. (2010). A survey on transfer learning. IEEE Transactions on Knowledge and Data Engineering, 22(10), 1345–1359. https://doi.org/10.1109/TKDE.2009.191 [R4 — theoretical framework for transfer learning across biomass families]</w:t>
      </w:r>
    </w:p>
    <w:p>
      <w:pPr>
        <w:spacing w:before="40" w:after="80"/>
        <w:ind w:left="283"/>
      </w:pPr>
      <w:r>
        <w:rPr>
          <w:rFonts w:ascii="Arial" w:hAnsi="Arial"/>
          <w:b/>
          <w:color w:val="15803D"/>
          <w:sz w:val="18"/>
        </w:rPr>
        <w:t xml:space="preserve">[8]  </w:t>
      </w:r>
      <w:r>
        <w:rPr>
          <w:rFonts w:ascii="Arial" w:hAnsi="Arial"/>
          <w:color w:val="475569"/>
          <w:sz w:val="18"/>
        </w:rPr>
        <w:t>Yamada, H., Liu, C., Wu, S., et al. (2019). Predicting materials properties with little data using shotgun transfer learning. ACS Central Science, 5(10), 1717–1730. https://doi.org/10.1021/acscentsci.9b00804 [R4 — transfer learning for materials with limited experimental records]</w:t>
      </w:r>
    </w:p>
    <w:p>
      <w:pPr>
        <w:spacing w:before="40" w:after="80"/>
        <w:ind w:left="283"/>
      </w:pPr>
      <w:r>
        <w:rPr>
          <w:rFonts w:ascii="Arial" w:hAnsi="Arial"/>
          <w:b/>
          <w:color w:val="15803D"/>
          <w:sz w:val="18"/>
        </w:rPr>
        <w:t xml:space="preserve">[9]  </w:t>
      </w:r>
      <w:r>
        <w:rPr>
          <w:rFonts w:ascii="Arial" w:hAnsi="Arial"/>
          <w:color w:val="475569"/>
          <w:sz w:val="18"/>
        </w:rPr>
        <w:t>Deb, K., Pratap, A., Agarwal, S., &amp; Meyarivan, T. (2002). A fast and elitist multiobjective genetic algorithm: NSGA-II. IEEE Transactions on Evolutionary Computation, 6(2), 182–197. https://doi.org/10.1109/4235.996017 [R5 — Pareto-front multi-objective optimisation for CO₂/BET/yield trade-off]</w:t>
      </w:r>
    </w:p>
    <w:p>
      <w:pPr>
        <w:spacing w:before="40" w:after="80"/>
        <w:ind w:left="283"/>
      </w:pPr>
      <w:r>
        <w:rPr>
          <w:rFonts w:ascii="Arial" w:hAnsi="Arial"/>
          <w:b/>
          <w:color w:val="15803D"/>
          <w:sz w:val="18"/>
        </w:rPr>
        <w:t xml:space="preserve">[10]  </w:t>
      </w:r>
      <w:r>
        <w:rPr>
          <w:rFonts w:ascii="Arial" w:hAnsi="Arial"/>
          <w:color w:val="475569"/>
          <w:sz w:val="18"/>
        </w:rPr>
        <w:t>Woolf, D., Amonette, J. E., Street-Perrott, F. A., Lehmann, J., &amp; Joseph, S. (2010). Sustainable biochar to mitigate global climate change. Nature Communications, 1, 56. https://doi.org/10.1038/ncomms1053 [R6 — LCA and climate impact quantification for biochar production routes]</w:t>
      </w:r>
    </w:p>
    <w:p>
      <w:pPr>
        <w:spacing w:before="40" w:after="80"/>
        <w:ind w:left="283"/>
      </w:pPr>
      <w:r>
        <w:rPr>
          <w:rFonts w:ascii="Arial" w:hAnsi="Arial"/>
          <w:b/>
          <w:color w:val="15803D"/>
          <w:sz w:val="18"/>
        </w:rPr>
        <w:t xml:space="preserve">[11]  </w:t>
      </w:r>
      <w:r>
        <w:rPr>
          <w:rFonts w:ascii="Arial" w:hAnsi="Arial"/>
          <w:color w:val="475569"/>
          <w:sz w:val="18"/>
        </w:rPr>
        <w:t>Lehmann, J., &amp; Joseph, S. (Eds.) (2015). Biochar for environmental management: Science, technology and implementation (2nd ed.). Routledge. [R6 — comprehensive biochar reference covering production, carbon accounting, and life-cycle analysis]</w:t>
      </w:r>
    </w:p>
    <w:p>
      <w:pPr>
        <w:spacing w:before="40" w:after="80"/>
        <w:ind w:left="283"/>
      </w:pPr>
      <w:r>
        <w:rPr>
          <w:rFonts w:ascii="Arial" w:hAnsi="Arial"/>
          <w:b/>
          <w:color w:val="15803D"/>
          <w:sz w:val="18"/>
        </w:rPr>
        <w:t xml:space="preserve">[12]  </w:t>
      </w:r>
      <w:r>
        <w:rPr>
          <w:rFonts w:ascii="Arial" w:hAnsi="Arial"/>
          <w:color w:val="475569"/>
          <w:sz w:val="18"/>
        </w:rPr>
        <w:t>Himanen, L., Geurts, A., Foster, A. S., &amp; Rinke, P. (2019). Data-driven materials science: Status, challenges and perspectives. Advanced Science, 6(21), 1900808. https://doi.org/10.1002/advs.201900808 [R5 — multi-property prediction and cross-property trade-off analysis in materials informatics]</w:t>
      </w:r>
    </w:p>
    <w:p>
      <w:r>
        <w:br w:type="page"/>
      </w:r>
    </w:p>
    <w:p>
      <w:pPr>
        <w:pStyle w:val="Heading1"/>
      </w:pPr>
      <w:r>
        <w:t>5.  Technical Architecture Evolution</w:t>
      </w:r>
    </w:p>
    <w:p>
      <w:pPr>
        <w:spacing w:before="40" w:after="160"/>
        <w:pBdr>
          <w:bottom w:val="single" w:sz="6" w:space="1" w:color="15803D"/>
        </w:pBdr>
      </w:pPr>
    </w:p>
    <w:p>
      <w:pPr>
        <w:pStyle w:val="Heading2"/>
      </w:pPr>
      <w:r>
        <w:t>5.1  Target Architecture (Phase 2+)</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Layer</w:t>
            </w:r>
          </w:p>
        </w:tc>
        <w:tc>
          <w:tcPr>
            <w:tcW w:type="dxa" w:w="311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Current (v1.7)</w:t>
            </w:r>
          </w:p>
        </w:tc>
        <w:tc>
          <w:tcPr>
            <w:tcW w:type="dxa" w:w="4252"/>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Target (Phase 2)</w:t>
            </w:r>
          </w:p>
        </w:tc>
      </w:tr>
      <w:tr>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Frontend</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React + Vite + Tailwind (static)</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React + Vite (unchanged) + GraphQL client</w:t>
            </w:r>
          </w:p>
        </w:tc>
      </w:tr>
      <w:tr>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API Layer</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None (client-side only)</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FastAPI (Python) REST + GraphQL endpoint</w:t>
            </w:r>
          </w:p>
        </w:tc>
      </w:tr>
      <w:tr>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ML Engine</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kNN on static JSON</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Scikit-learn + XGBoost + PyTorch pipeline</w:t>
            </w:r>
          </w:p>
        </w:tc>
      </w:tr>
      <w:tr>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Database</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Static JSON bundle (1,396 records)</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PostgreSQL + pgvector for semantic search</w:t>
            </w:r>
          </w:p>
        </w:tc>
      </w:tr>
      <w:tr>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Mining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Manual curation</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Apache Airflow DAG + LLM PDF extractor</w:t>
            </w:r>
          </w:p>
        </w:tc>
      </w:tr>
      <w:tr>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Auth</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None (open access)</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OAuth 2.0 for contributors + admin</w:t>
            </w:r>
          </w:p>
        </w:tc>
      </w:tr>
      <w:tr>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Hosting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Static CDN</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Containerised (Docker) + cloud deployment</w:t>
            </w:r>
          </w:p>
        </w:tc>
      </w:tr>
      <w:tr>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Monitoring</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None</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Prometheus + Grafana dashboard</w:t>
            </w:r>
          </w:p>
        </w:tc>
      </w:tr>
    </w:tbl>
    <w:p>
      <w:pPr>
        <w:spacing w:after="120"/>
      </w:pPr>
    </w:p>
    <w:p>
      <w:pPr>
        <w:pStyle w:val="Heading2"/>
      </w:pPr>
      <w:r>
        <w:t>5.2  Data Pipeline Design</w:t>
      </w:r>
    </w:p>
    <w:p>
      <w:pPr>
        <w:spacing w:before="40" w:after="120"/>
      </w:pPr>
      <w:r>
        <w:rPr>
          <w:rFonts w:ascii="Arial" w:hAnsi="Arial"/>
          <w:b w:val="0"/>
          <w:i w:val="0"/>
          <w:color w:val="475569"/>
          <w:sz w:val="21"/>
        </w:rPr>
        <w:t>The Phase 2 data pipeline will automate the full lifecycle of biochar experimental data from literature to prediction:</w:t>
      </w:r>
    </w:p>
    <w:p>
      <w:pPr>
        <w:pStyle w:val="ListBullet"/>
        <w:spacing w:before="20" w:after="60"/>
        <w:ind w:left="397"/>
      </w:pPr>
      <w:r>
        <w:rPr>
          <w:rFonts w:ascii="Arial" w:hAnsi="Arial"/>
          <w:color w:val="475569"/>
          <w:sz w:val="21"/>
        </w:rPr>
        <w:t>Ingestion — RSS/API feeds from PubMed, Scopus, Web of Science for new biochar papers</w:t>
      </w:r>
    </w:p>
    <w:p>
      <w:pPr>
        <w:pStyle w:val="ListBullet"/>
        <w:spacing w:before="20" w:after="60"/>
        <w:ind w:left="397"/>
      </w:pPr>
      <w:r>
        <w:rPr>
          <w:rFonts w:ascii="Arial" w:hAnsi="Arial"/>
          <w:color w:val="475569"/>
          <w:sz w:val="21"/>
        </w:rPr>
        <w:t>Extraction — LLM-based PDF parser extracts experimental tables, conditions, and results</w:t>
      </w:r>
    </w:p>
    <w:p>
      <w:pPr>
        <w:pStyle w:val="ListBullet"/>
        <w:spacing w:before="20" w:after="60"/>
        <w:ind w:left="397"/>
      </w:pPr>
      <w:r>
        <w:rPr>
          <w:rFonts w:ascii="Arial" w:hAnsi="Arial"/>
          <w:color w:val="475569"/>
          <w:sz w:val="21"/>
        </w:rPr>
        <w:t>Validation — Statistical range checks + human-in-the-loop review queue for flagged records</w:t>
      </w:r>
    </w:p>
    <w:p>
      <w:pPr>
        <w:pStyle w:val="ListBullet"/>
        <w:spacing w:before="20" w:after="60"/>
        <w:ind w:left="397"/>
      </w:pPr>
      <w:r>
        <w:rPr>
          <w:rFonts w:ascii="Arial" w:hAnsi="Arial"/>
          <w:color w:val="475569"/>
          <w:sz w:val="21"/>
        </w:rPr>
        <w:t>Enrichment — Auto-link DOI, author ORCID, biomass taxonomy, and activation classification</w:t>
      </w:r>
    </w:p>
    <w:p>
      <w:pPr>
        <w:pStyle w:val="ListBullet"/>
        <w:spacing w:before="20" w:after="60"/>
        <w:ind w:left="397"/>
      </w:pPr>
      <w:r>
        <w:rPr>
          <w:rFonts w:ascii="Arial" w:hAnsi="Arial"/>
          <w:color w:val="475569"/>
          <w:sz w:val="21"/>
        </w:rPr>
        <w:t>Training — Nightly ML model retraining when new validated records exceed a threshold (50+)</w:t>
      </w:r>
    </w:p>
    <w:p>
      <w:pPr>
        <w:pStyle w:val="ListBullet"/>
        <w:spacing w:before="20" w:after="60"/>
        <w:ind w:left="397"/>
      </w:pPr>
      <w:r>
        <w:rPr>
          <w:rFonts w:ascii="Arial" w:hAnsi="Arial"/>
          <w:color w:val="475569"/>
          <w:sz w:val="21"/>
        </w:rPr>
        <w:t>Serving — Model served via FastAPI with cached predictions for common parameter combinations</w:t>
      </w:r>
    </w:p>
    <w:p>
      <w:r>
        <w:br w:type="page"/>
      </w:r>
    </w:p>
    <w:p>
      <w:pPr>
        <w:pStyle w:val="Heading1"/>
      </w:pPr>
      <w:r>
        <w:t>6.  Resource Requirements &amp; Timeline</w:t>
      </w:r>
    </w:p>
    <w:p>
      <w:pPr>
        <w:spacing w:before="40" w:after="160"/>
        <w:pBdr>
          <w:bottom w:val="single" w:sz="6" w:space="1" w:color="15803D"/>
        </w:pBdr>
      </w:pPr>
    </w:p>
    <w:p>
      <w:pPr>
        <w:pStyle w:val="Heading2"/>
      </w:pPr>
      <w:r>
        <w:t>6.1  Human Resources</w:t>
      </w:r>
    </w:p>
    <w:tbl>
      <w:tblPr>
        <w:tblStyle w:val="TableGrid"/>
        <w:tblW w:type="auto" w:w="0"/>
        <w:tblLook w:firstColumn="1" w:firstRow="1" w:lastColumn="0" w:lastRow="0" w:noHBand="0" w:noVBand="1" w:val="04A0"/>
      </w:tblPr>
      <w:tblGrid>
        <w:gridCol w:w="2268"/>
        <w:gridCol w:w="2268"/>
        <w:gridCol w:w="2268"/>
        <w:gridCol w:w="2268"/>
      </w:tblGrid>
      <w:tr>
        <w:tc>
          <w:tcPr>
            <w:tcW w:type="dxa" w:w="283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Role</w:t>
            </w:r>
          </w:p>
        </w:tc>
        <w:tc>
          <w:tcPr>
            <w:tcW w:type="dxa" w:w="170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Phase 1</w:t>
            </w:r>
          </w:p>
        </w:tc>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Phase 2</w:t>
            </w:r>
          </w:p>
        </w:tc>
        <w:tc>
          <w:tcPr>
            <w:tcW w:type="dxa" w:w="255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Phase 3</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ML / Data Scientist</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(part-time)</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(full-time)</w:t>
            </w:r>
          </w:p>
        </w:tc>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 (full-time)</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Full-Stack Developer</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(part-time)</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(full-time)</w:t>
            </w:r>
          </w:p>
        </w:tc>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(full-time)</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Domain Expert (Biochar)</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(advisor)</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(advisor)</w:t>
            </w:r>
          </w:p>
        </w:tc>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 (advisory board)</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 Curator / Literature</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(part-time)</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 (part-time)</w:t>
            </w:r>
          </w:p>
        </w:tc>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Automated (LLM)</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DevOps / Cloud Engineer</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0</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(part-time)</w:t>
            </w:r>
          </w:p>
        </w:tc>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(full-time)</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UX / Frontend Designer</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0</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(contract)</w:t>
            </w:r>
          </w:p>
        </w:tc>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 (part-time)</w:t>
            </w:r>
          </w:p>
        </w:tc>
      </w:tr>
    </w:tbl>
    <w:p>
      <w:pPr>
        <w:spacing w:after="120"/>
      </w:pPr>
    </w:p>
    <w:p>
      <w:pPr>
        <w:pStyle w:val="Heading2"/>
      </w:pPr>
      <w:r>
        <w:t>6.2  Key Milestones</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Milestone</w:t>
            </w:r>
          </w:p>
        </w:tc>
        <w:tc>
          <w:tcPr>
            <w:tcW w:type="dxa" w:w="1417"/>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Target Date</w:t>
            </w:r>
          </w:p>
        </w:tc>
        <w:tc>
          <w:tcPr>
            <w:tcW w:type="dxa" w:w="4819"/>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Deliverable</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M1  REST API Launch</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6</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Public API with full 1,396-record access + docs</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M2  Ensemble ML Upgrade</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9</w:t>
            </w:r>
          </w:p>
        </w:tc>
        <w:tc>
          <w:tcPr>
            <w:tcW w:type="dxa" w:w="481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Random Forest + XGBoost replacing kNN baseline</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M3  User Submission Portal</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12</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Open contributor portal with validation pipeline</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M4  Automated Miner (Alpha)</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18</w:t>
            </w:r>
          </w:p>
        </w:tc>
        <w:tc>
          <w:tcPr>
            <w:tcW w:type="dxa" w:w="481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NLP extractor processing 50+ papers per month</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M5  5,000 Record Milestone</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24</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Database expanded to 5,000+ validated records</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M6  Multi-Property Predictor</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24</w:t>
            </w:r>
          </w:p>
        </w:tc>
        <w:tc>
          <w:tcPr>
            <w:tcW w:type="dxa" w:w="481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Simultaneous prediction of 5 biochar properties</w:t>
            </w:r>
          </w:p>
        </w:tc>
      </w:tr>
      <w:tr>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M7  Global Partner Network</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30</w:t>
            </w:r>
          </w:p>
        </w:tc>
        <w:tc>
          <w:tcPr>
            <w:tcW w:type="dxa" w:w="481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 institutional partners contributing data</w:t>
            </w:r>
          </w:p>
        </w:tc>
      </w:tr>
      <w:tr>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M8  FAIR Data Certification</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Month 36</w:t>
            </w:r>
          </w:p>
        </w:tc>
        <w:tc>
          <w:tcPr>
            <w:tcW w:type="dxa" w:w="481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Full FAIR compliance and open data publication</w:t>
            </w:r>
          </w:p>
        </w:tc>
      </w:tr>
    </w:tbl>
    <w:p>
      <w:pPr>
        <w:spacing w:after="120"/>
      </w:pPr>
    </w:p>
    <w:p>
      <w:pPr>
        <w:pStyle w:val="Heading2"/>
      </w:pPr>
      <w:r>
        <w:t>6.3  Recommended Tools &amp; Frameworks</w:t>
      </w:r>
    </w:p>
    <w:tbl>
      <w:tblPr>
        <w:tblStyle w:val="TableGrid"/>
        <w:tblW w:type="auto" w:w="0"/>
        <w:tblLook w:firstColumn="1" w:firstRow="1" w:lastColumn="0" w:lastRow="0" w:noHBand="0" w:noVBand="1" w:val="04A0"/>
      </w:tblPr>
      <w:tblGrid>
        <w:gridCol w:w="4536"/>
        <w:gridCol w:w="4536"/>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Domain</w:t>
            </w:r>
          </w:p>
        </w:tc>
        <w:tc>
          <w:tcPr>
            <w:tcW w:type="dxa" w:w="6803"/>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Recommended Tools</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ML / Modelling</w:t>
            </w:r>
          </w:p>
        </w:tc>
        <w:tc>
          <w:tcPr>
            <w:tcW w:type="dxa" w:w="6803"/>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Scikit-learn, XGBoost, LightGBM, PyTorch, Optuna (HPO)</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NLP / Mining</w:t>
            </w:r>
          </w:p>
        </w:tc>
        <w:tc>
          <w:tcPr>
            <w:tcW w:type="dxa" w:w="6803"/>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spaCy, Hugging Face Transformers, Grobid (PDF parsing), LangChain</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Database</w:t>
            </w:r>
          </w:p>
        </w:tc>
        <w:tc>
          <w:tcPr>
            <w:tcW w:type="dxa" w:w="6803"/>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PostgreSQL + pgvector, Redis (cache), Apache Parquet (data lake)</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Pipeline / Orchestration</w:t>
            </w:r>
          </w:p>
        </w:tc>
        <w:tc>
          <w:tcPr>
            <w:tcW w:type="dxa" w:w="6803"/>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Apache Airflow, Prefect, or Dagster</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API</w:t>
            </w:r>
          </w:p>
        </w:tc>
        <w:tc>
          <w:tcPr>
            <w:tcW w:type="dxa" w:w="6803"/>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FastAPI (Python), Pydantic, GraphQL (Strawberry)</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Visualisation</w:t>
            </w:r>
          </w:p>
        </w:tc>
        <w:tc>
          <w:tcPr>
            <w:tcW w:type="dxa" w:w="6803"/>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Recharts (frontend), Plotly, Seaborn (analysis notebooks)</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DevOps</w:t>
            </w:r>
          </w:p>
        </w:tc>
        <w:tc>
          <w:tcPr>
            <w:tcW w:type="dxa" w:w="6803"/>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Docker, GitHub Actions CI/CD, AWS / GCP / Azure</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 Standards</w:t>
            </w:r>
          </w:p>
        </w:tc>
        <w:tc>
          <w:tcPr>
            <w:tcW w:type="dxa" w:w="6803"/>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schema.org/Dataset, DataCite, FAIR principles, Dublin Core</w:t>
            </w:r>
          </w:p>
        </w:tc>
      </w:tr>
    </w:tbl>
    <w:p>
      <w:pPr>
        <w:spacing w:after="120"/>
      </w:pPr>
    </w:p>
    <w:p>
      <w:r>
        <w:br w:type="page"/>
      </w:r>
    </w:p>
    <w:p>
      <w:pPr>
        <w:pStyle w:val="Heading1"/>
      </w:pPr>
      <w:r>
        <w:t>7.  User Evaluation &amp; Feedback Strategy</w:t>
      </w:r>
    </w:p>
    <w:p>
      <w:pPr>
        <w:spacing w:before="40" w:after="160"/>
        <w:pBdr>
          <w:bottom w:val="single" w:sz="6" w:space="1" w:color="15803D"/>
        </w:pBdr>
      </w:pPr>
    </w:p>
    <w:p>
      <w:pPr>
        <w:spacing w:before="40" w:after="120"/>
      </w:pPr>
      <w:r>
        <w:rPr>
          <w:rFonts w:ascii="Arial" w:hAnsi="Arial"/>
          <w:b w:val="0"/>
          <w:i w:val="0"/>
          <w:color w:val="475569"/>
          <w:sz w:val="21"/>
        </w:rPr>
        <w:t>A critical next phase of BiocharHub's development involves conducting systematic user evaluation studies — spanning surveys, questionnaires, and in-depth interviews — across a spectrum of user profiles, from individual researchers and graduate students to commercial operators and policy analysts. Collecting and analysing user feedback in a structured way is essential to assess the platform's applicability, identify usability gaps, and prioritise improvements that maximise real-world impact.</w:t>
      </w:r>
    </w:p>
    <w:p>
      <w:pPr>
        <w:pStyle w:val="Heading2"/>
      </w:pPr>
      <w:r>
        <w:t>7.1  Rationale &amp; Scientific Basis</w:t>
      </w:r>
    </w:p>
    <w:p>
      <w:pPr>
        <w:spacing w:before="40" w:after="120"/>
      </w:pPr>
      <w:r>
        <w:rPr>
          <w:rFonts w:ascii="Arial" w:hAnsi="Arial"/>
          <w:b w:val="0"/>
          <w:i w:val="0"/>
          <w:color w:val="475569"/>
          <w:sz w:val="21"/>
        </w:rPr>
        <w:t>Structured user evaluation of web-based scientific tools has well-established methodological foundations. The Technology Acceptance Model (TAM) [1] provides a validated framework for assessing perceived usefulness and perceived ease of use — the two primary determinants of user adoption for information systems. For web-based research platforms, prior studies confirm that TAM constructs reliably predict adoption intention among academic users [2].</w:t>
      </w:r>
    </w:p>
    <w:p>
      <w:pPr>
        <w:spacing w:before="40" w:after="120"/>
      </w:pPr>
      <w:r>
        <w:rPr>
          <w:rFonts w:ascii="Arial" w:hAnsi="Arial"/>
          <w:b w:val="0"/>
          <w:i w:val="0"/>
          <w:color w:val="475569"/>
          <w:sz w:val="21"/>
        </w:rPr>
        <w:t>The System Usability Scale (SUS) [3] offers a standardised 10-item questionnaire yielding a composite usability score (0–100) that has been applied to evaluate scientific software across domains including bioinformatics databases [4] and ML-powered materials science tools [5]. SUS benchmarks indicate scores &gt; 68 represent above-average usability.</w:t>
      </w:r>
    </w:p>
    <w:p>
      <w:pPr>
        <w:spacing w:before="40" w:after="120"/>
      </w:pPr>
      <w:r>
        <w:rPr>
          <w:rFonts w:ascii="Arial" w:hAnsi="Arial"/>
          <w:b w:val="0"/>
          <w:i w:val="0"/>
          <w:color w:val="475569"/>
          <w:sz w:val="21"/>
        </w:rPr>
        <w:t>Qualitative in-depth interviews following a semi-structured protocol [6] allow participants to articulate needs and workflows that closed-ended surveys cannot capture — a critical complement when evaluating domain-specific tools with expert user bases.</w:t>
      </w:r>
    </w:p>
    <w:p>
      <w:pPr>
        <w:pStyle w:val="Heading2"/>
      </w:pPr>
      <w:r>
        <w:t>7.2  User Evaluation Framework</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Evaluation Level</w:t>
            </w:r>
          </w:p>
        </w:tc>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Target Audience</w:t>
            </w:r>
          </w:p>
        </w:tc>
        <w:tc>
          <w:tcPr>
            <w:tcW w:type="dxa" w:w="283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Method</w:t>
            </w:r>
          </w:p>
        </w:tc>
        <w:tc>
          <w:tcPr>
            <w:tcW w:type="dxa" w:w="170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Key Metrics</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Personal / Academic</w:t>
            </w:r>
          </w:p>
        </w:tc>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Graduate students, researchers, academic staff</w:t>
            </w:r>
          </w:p>
        </w:tc>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Online survey (SUS + TAM) + think-aloud usability session</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SUS score, task completion rate, perceived usefulness</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Institutional / Lab</w:t>
            </w:r>
          </w:p>
        </w:tc>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Research group leaders, lab managers, data curators</w:t>
            </w:r>
          </w:p>
        </w:tc>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Semi-structured interview (45–60 min) + scenario walkthrough</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Workflow fit, data accuracy perception, collaboration needs</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Commercial / Industry</w:t>
            </w:r>
          </w:p>
        </w:tc>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Carbon credit analysts, biochar producers, agri-tech firms</w:t>
            </w:r>
          </w:p>
        </w:tc>
        <w:tc>
          <w:tcPr>
            <w:tcW w:type="dxa" w:w="283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Structured questionnaire + expert focus group (4–6 participants)</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Commercial applicability, feature gaps, API interest</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Policy / Government</w:t>
            </w:r>
          </w:p>
        </w:tc>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Environmental regulators, sustainability officers</w:t>
            </w:r>
          </w:p>
        </w:tc>
        <w:tc>
          <w:tcPr>
            <w:tcW w:type="dxa" w:w="283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Questionnaire + structured interview</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 trustworthiness, regulatory utility, reporting format needs</w:t>
            </w:r>
          </w:p>
        </w:tc>
      </w:tr>
    </w:tbl>
    <w:p>
      <w:pPr>
        <w:spacing w:after="120"/>
      </w:pPr>
    </w:p>
    <w:p>
      <w:pPr>
        <w:pStyle w:val="Heading2"/>
      </w:pPr>
      <w:r>
        <w:t>7.3  Survey &amp; Questionnaire Instrument Design</w:t>
      </w:r>
    </w:p>
    <w:p>
      <w:pPr>
        <w:spacing w:before="40" w:after="120"/>
      </w:pPr>
      <w:r>
        <w:rPr>
          <w:rFonts w:ascii="Arial" w:hAnsi="Arial"/>
          <w:b w:val="0"/>
          <w:i w:val="0"/>
          <w:color w:val="475569"/>
          <w:sz w:val="21"/>
        </w:rPr>
        <w:t>The evaluation instrument will consist of three integrated sections:</w:t>
      </w:r>
    </w:p>
    <w:p>
      <w:pPr>
        <w:pStyle w:val="ListBullet"/>
        <w:spacing w:before="20" w:after="60"/>
        <w:ind w:left="397"/>
      </w:pPr>
      <w:r>
        <w:rPr>
          <w:rFonts w:ascii="Arial" w:hAnsi="Arial"/>
          <w:color w:val="475569"/>
          <w:sz w:val="21"/>
        </w:rPr>
        <w:t>Section A — Demographic &amp; Context Profile: role, discipline, years of experience with biochar research, frequency of database use, programming proficiency (non-coder / intermediate / expert)</w:t>
      </w:r>
    </w:p>
    <w:p>
      <w:pPr>
        <w:pStyle w:val="ListBullet"/>
        <w:spacing w:before="20" w:after="60"/>
        <w:ind w:left="397"/>
      </w:pPr>
      <w:r>
        <w:rPr>
          <w:rFonts w:ascii="Arial" w:hAnsi="Arial"/>
          <w:color w:val="475569"/>
          <w:sz w:val="21"/>
        </w:rPr>
        <w:t>Section B — System Usability Scale (SUS): the standard 10-item scale with 5-point Likert response (Strongly Disagree → Strongly Agree), yielding a composite score benchmarked against industry norms</w:t>
      </w:r>
    </w:p>
    <w:p>
      <w:pPr>
        <w:pStyle w:val="ListBullet"/>
        <w:spacing w:before="20" w:after="60"/>
        <w:ind w:left="397"/>
      </w:pPr>
      <w:r>
        <w:rPr>
          <w:rFonts w:ascii="Arial" w:hAnsi="Arial"/>
          <w:color w:val="475569"/>
          <w:sz w:val="21"/>
        </w:rPr>
        <w:t>Section C — Domain-Specific Applicability Questions: perceived accuracy of ML predictions, usefulness of individual tools (CO₂ Predictor / Property Estimator / Materials Advisor), data coverage satisfaction, and open-text improvement suggestions</w:t>
      </w:r>
    </w:p>
    <w:p>
      <w:pPr>
        <w:pStyle w:val="ListBullet"/>
        <w:spacing w:before="20" w:after="60"/>
        <w:ind w:left="397"/>
      </w:pPr>
      <w:r>
        <w:rPr>
          <w:rFonts w:ascii="Arial" w:hAnsi="Arial"/>
          <w:color w:val="475569"/>
          <w:sz w:val="21"/>
        </w:rPr>
        <w:t>Section D — Feature Priority Ranking: participants rank 12 planned features (API access, multi-language support, export formats, prediction confidence intervals, etc.) by importance to their workflow</w:t>
      </w:r>
    </w:p>
    <w:p>
      <w:pPr>
        <w:pStyle w:val="Heading2"/>
      </w:pPr>
      <w:r>
        <w:t>7.4  Data Analysis Plan</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Analysis</w:t>
            </w:r>
          </w:p>
        </w:tc>
        <w:tc>
          <w:tcPr>
            <w:tcW w:type="dxa" w:w="311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Method</w:t>
            </w:r>
          </w:p>
        </w:tc>
        <w:tc>
          <w:tcPr>
            <w:tcW w:type="dxa" w:w="3685"/>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Output</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Usability benchmarking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SUS scoring + percentile ranking vs. published norms</w:t>
            </w:r>
          </w:p>
        </w:tc>
        <w:tc>
          <w:tcPr>
            <w:tcW w:type="dxa" w:w="368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Overall usability grade (A–F) + priority fix list</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TAM structural model</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Partial Least Squares SEM (PLS-SEM)</w:t>
            </w:r>
          </w:p>
        </w:tc>
        <w:tc>
          <w:tcPr>
            <w:tcW w:type="dxa" w:w="368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Path coefficients: usefulness → intention to use</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Qualitative coding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Thematic analysis [7] on interview transcripts</w:t>
            </w:r>
          </w:p>
        </w:tc>
        <w:tc>
          <w:tcPr>
            <w:tcW w:type="dxa" w:w="368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Affinity diagram → ranked improvement themes</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Feature prioritisation</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Kano model analysis on ranked features</w:t>
            </w:r>
          </w:p>
        </w:tc>
        <w:tc>
          <w:tcPr>
            <w:tcW w:type="dxa" w:w="3685"/>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Must-have / performance / delight feature classification</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User segmentation</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k-means clustering on survey response patterns</w:t>
            </w:r>
          </w:p>
        </w:tc>
        <w:tc>
          <w:tcPr>
            <w:tcW w:type="dxa" w:w="3685"/>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3–4 distinct user persona profiles</w:t>
            </w:r>
          </w:p>
        </w:tc>
      </w:tr>
    </w:tbl>
    <w:p>
      <w:pPr>
        <w:spacing w:after="120"/>
      </w:pPr>
    </w:p>
    <w:p>
      <w:pPr>
        <w:pStyle w:val="Heading2"/>
      </w:pPr>
      <w:r>
        <w:t>7.5  Scientific References — User Evaluation</w:t>
      </w:r>
    </w:p>
    <w:p>
      <w:pPr>
        <w:spacing w:before="40" w:after="80"/>
        <w:ind w:left="283"/>
      </w:pPr>
      <w:r>
        <w:rPr>
          <w:rFonts w:ascii="Arial" w:hAnsi="Arial"/>
          <w:b/>
          <w:color w:val="15803D"/>
          <w:sz w:val="18"/>
        </w:rPr>
        <w:t xml:space="preserve">[1]  </w:t>
      </w:r>
      <w:r>
        <w:rPr>
          <w:rFonts w:ascii="Arial" w:hAnsi="Arial"/>
          <w:color w:val="475569"/>
          <w:sz w:val="18"/>
        </w:rPr>
        <w:t>Davis, F. D. (1989). Perceived usefulness, perceived ease of use, and user acceptance of information technology. MIS Quarterly, 13(3), 319–340. https://doi.org/10.2307/249008</w:t>
      </w:r>
    </w:p>
    <w:p>
      <w:pPr>
        <w:spacing w:before="40" w:after="80"/>
        <w:ind w:left="283"/>
      </w:pPr>
      <w:r>
        <w:rPr>
          <w:rFonts w:ascii="Arial" w:hAnsi="Arial"/>
          <w:b/>
          <w:color w:val="15803D"/>
          <w:sz w:val="18"/>
        </w:rPr>
        <w:t xml:space="preserve">[2]  </w:t>
      </w:r>
      <w:r>
        <w:rPr>
          <w:rFonts w:ascii="Arial" w:hAnsi="Arial"/>
          <w:color w:val="475569"/>
          <w:sz w:val="18"/>
        </w:rPr>
        <w:t>Venkatesh, V., &amp; Davis, F. D. (2000). A theoretical extension of the technology acceptance model: Four longitudinal field studies. Management Science, 46(2), 186–204.</w:t>
      </w:r>
    </w:p>
    <w:p>
      <w:pPr>
        <w:spacing w:before="40" w:after="80"/>
        <w:ind w:left="283"/>
      </w:pPr>
      <w:r>
        <w:rPr>
          <w:rFonts w:ascii="Arial" w:hAnsi="Arial"/>
          <w:b/>
          <w:color w:val="15803D"/>
          <w:sz w:val="18"/>
        </w:rPr>
        <w:t xml:space="preserve">[3]  </w:t>
      </w:r>
      <w:r>
        <w:rPr>
          <w:rFonts w:ascii="Arial" w:hAnsi="Arial"/>
          <w:color w:val="475569"/>
          <w:sz w:val="18"/>
        </w:rPr>
        <w:t>Brooke, J. (1996). SUS — A quick and dirty usability scale. In P. W. Jordan et al. (Eds.), Usability evaluation in industry (pp. 189–194). Taylor &amp; Francis.</w:t>
      </w:r>
    </w:p>
    <w:p>
      <w:pPr>
        <w:spacing w:before="40" w:after="80"/>
        <w:ind w:left="283"/>
      </w:pPr>
      <w:r>
        <w:rPr>
          <w:rFonts w:ascii="Arial" w:hAnsi="Arial"/>
          <w:b/>
          <w:color w:val="15803D"/>
          <w:sz w:val="18"/>
        </w:rPr>
        <w:t xml:space="preserve">[4]  </w:t>
      </w:r>
      <w:r>
        <w:rPr>
          <w:rFonts w:ascii="Arial" w:hAnsi="Arial"/>
          <w:color w:val="475569"/>
          <w:sz w:val="18"/>
        </w:rPr>
        <w:t>Bolchini, D., Garzotto, F., &amp; Sorce, S. (2009). Investigating user experience quality of web information systems in biomedicine. In Proceedings of the 3rd International Conference on Bioinformatics (pp. 77–85).</w:t>
      </w:r>
    </w:p>
    <w:p>
      <w:pPr>
        <w:spacing w:before="40" w:after="80"/>
        <w:ind w:left="283"/>
      </w:pPr>
      <w:r>
        <w:rPr>
          <w:rFonts w:ascii="Arial" w:hAnsi="Arial"/>
          <w:b/>
          <w:color w:val="15803D"/>
          <w:sz w:val="18"/>
        </w:rPr>
        <w:t xml:space="preserve">[5]  </w:t>
      </w:r>
      <w:r>
        <w:rPr>
          <w:rFonts w:ascii="Arial" w:hAnsi="Arial"/>
          <w:color w:val="475569"/>
          <w:sz w:val="18"/>
        </w:rPr>
        <w:t>Jain, A., Ong, S. P., Hautier, G., et al. (2013). Commentary: The Materials Project: A materials genome approach to accelerating materials innovation. APL Materials, 1(1), 011002. https://doi.org/10.1063/1.4812323</w:t>
      </w:r>
    </w:p>
    <w:p>
      <w:pPr>
        <w:spacing w:before="40" w:after="80"/>
        <w:ind w:left="283"/>
      </w:pPr>
      <w:r>
        <w:rPr>
          <w:rFonts w:ascii="Arial" w:hAnsi="Arial"/>
          <w:b/>
          <w:color w:val="15803D"/>
          <w:sz w:val="18"/>
        </w:rPr>
        <w:t xml:space="preserve">[6]  </w:t>
      </w:r>
      <w:r>
        <w:rPr>
          <w:rFonts w:ascii="Arial" w:hAnsi="Arial"/>
          <w:color w:val="475569"/>
          <w:sz w:val="18"/>
        </w:rPr>
        <w:t>DiCicco-Bloom, B., &amp; Crabtree, B. F. (2006). The qualitative research interview. Medical Education, 40(4), 314–321. https://doi.org/10.1111/j.1365-2929.2006.02418.x</w:t>
      </w:r>
    </w:p>
    <w:p>
      <w:pPr>
        <w:spacing w:before="40" w:after="80"/>
        <w:ind w:left="283"/>
      </w:pPr>
      <w:r>
        <w:rPr>
          <w:rFonts w:ascii="Arial" w:hAnsi="Arial"/>
          <w:b/>
          <w:color w:val="15803D"/>
          <w:sz w:val="18"/>
        </w:rPr>
        <w:t xml:space="preserve">[7]  </w:t>
      </w:r>
      <w:r>
        <w:rPr>
          <w:rFonts w:ascii="Arial" w:hAnsi="Arial"/>
          <w:color w:val="475569"/>
          <w:sz w:val="18"/>
        </w:rPr>
        <w:t>Braun, V., &amp; Clarke, V. (2006). Using thematic analysis in psychology. Qualitative Research in Psychology, 3(2), 77–101. https://doi.org/10.1191/1478088706qp063oa</w:t>
      </w:r>
    </w:p>
    <w:p>
      <w:pPr>
        <w:spacing w:before="40" w:after="80"/>
        <w:ind w:left="283"/>
      </w:pPr>
      <w:r>
        <w:rPr>
          <w:rFonts w:ascii="Arial" w:hAnsi="Arial"/>
          <w:b/>
          <w:color w:val="15803D"/>
          <w:sz w:val="18"/>
        </w:rPr>
        <w:t xml:space="preserve">[8]  </w:t>
      </w:r>
      <w:r>
        <w:rPr>
          <w:rFonts w:ascii="Arial" w:hAnsi="Arial"/>
          <w:color w:val="475569"/>
          <w:sz w:val="18"/>
        </w:rPr>
        <w:t>Hair, J. F., Ringle, C. M., &amp; Sarstedt, M. (2011). PLS-SEM: Indeed a silver bullet. Journal of Marketing Theory and Practice, 19(2), 139–152.</w:t>
      </w:r>
    </w:p>
    <w:p>
      <w:pPr>
        <w:spacing w:before="40" w:after="80"/>
        <w:ind w:left="283"/>
      </w:pPr>
      <w:r>
        <w:rPr>
          <w:rFonts w:ascii="Arial" w:hAnsi="Arial"/>
          <w:b/>
          <w:color w:val="15803D"/>
          <w:sz w:val="18"/>
        </w:rPr>
        <w:t xml:space="preserve">[9]  </w:t>
      </w:r>
      <w:r>
        <w:rPr>
          <w:rFonts w:ascii="Arial" w:hAnsi="Arial"/>
          <w:color w:val="475569"/>
          <w:sz w:val="18"/>
        </w:rPr>
        <w:t>Nielsen, J. (1994). Usability engineering. Morgan Kaufmann. [Heuristic evaluation framework — benchmark for usability quality thresholds]</w:t>
      </w:r>
    </w:p>
    <w:p>
      <w:pPr>
        <w:spacing w:before="40" w:after="80"/>
        <w:ind w:left="283"/>
      </w:pPr>
      <w:r>
        <w:rPr>
          <w:rFonts w:ascii="Arial" w:hAnsi="Arial"/>
          <w:b/>
          <w:color w:val="15803D"/>
          <w:sz w:val="18"/>
        </w:rPr>
        <w:t xml:space="preserve">[10]  </w:t>
      </w:r>
      <w:r>
        <w:rPr>
          <w:rFonts w:ascii="Arial" w:hAnsi="Arial"/>
          <w:color w:val="475569"/>
          <w:sz w:val="18"/>
        </w:rPr>
        <w:t>Sauro, J., &amp; Lewis, J. R. (2016). Quantifying the user experience: Practical statistics for user research (2nd ed.). Morgan Kaufmann.</w:t>
      </w:r>
    </w:p>
    <w:p>
      <w:r>
        <w:br w:type="page"/>
      </w:r>
    </w:p>
    <w:p>
      <w:pPr>
        <w:pStyle w:val="Heading1"/>
      </w:pPr>
      <w:r>
        <w:t>8.  Multimedia Outreach &amp; Video Tutorial Development</w:t>
      </w:r>
    </w:p>
    <w:p>
      <w:pPr>
        <w:spacing w:before="40" w:after="160"/>
        <w:pBdr>
          <w:bottom w:val="single" w:sz="6" w:space="1" w:color="15803D"/>
        </w:pBdr>
      </w:pPr>
    </w:p>
    <w:p>
      <w:pPr>
        <w:spacing w:before="40" w:after="120"/>
      </w:pPr>
      <w:r>
        <w:rPr>
          <w:rFonts w:ascii="Arial" w:hAnsi="Arial"/>
          <w:b w:val="0"/>
          <w:i w:val="0"/>
          <w:color w:val="475569"/>
          <w:sz w:val="21"/>
        </w:rPr>
        <w:t>A subsequent development phase will involve creating short-format instructional videos demonstrating the use of BiocharHub — supplementing the offline written manual with accessible, visual content published on YouTube and other open platforms. Short-form video tutorials reduce the learning curve for new users, increase platform visibility in the research community, and provide an additional communication channel for non-English-speaking audiences through subtitles and voice-overs.</w:t>
      </w:r>
    </w:p>
    <w:p>
      <w:pPr>
        <w:pStyle w:val="Heading2"/>
      </w:pPr>
      <w:r>
        <w:t>8.1  Rationale &amp; Scientific Basis</w:t>
      </w:r>
    </w:p>
    <w:p>
      <w:pPr>
        <w:spacing w:before="40" w:after="120"/>
      </w:pPr>
      <w:r>
        <w:rPr>
          <w:rFonts w:ascii="Arial" w:hAnsi="Arial"/>
          <w:b w:val="0"/>
          <w:i w:val="0"/>
          <w:color w:val="475569"/>
          <w:sz w:val="21"/>
        </w:rPr>
        <w:t>Short-form instructional video (1–8 minutes) has been shown to significantly improve task performance and learning retention in STEM domains compared to text-only manuals [12, 11]. The Multimedia Learning Theory [11] demonstrates that simultaneous audio narration and screen-capture video activates dual-channel cognitive processing — verbal and pictorial — leading to deeper understanding than text alone.</w:t>
      </w:r>
    </w:p>
    <w:p>
      <w:pPr>
        <w:spacing w:before="40" w:after="120"/>
      </w:pPr>
      <w:r>
        <w:rPr>
          <w:rFonts w:ascii="Arial" w:hAnsi="Arial"/>
          <w:b w:val="0"/>
          <w:i w:val="0"/>
          <w:color w:val="475569"/>
          <w:sz w:val="21"/>
        </w:rPr>
        <w:t>In academic contexts, YouTube tutorials for scientific software (e.g., VESTA for crystal structure visualisation, ORCA for computational chemistry, and Galaxy for bioinformatics) have demonstrated measurable increases in tool adoption among researchers who might otherwise perceive the learning barrier as too high [14, 15]. Short-form video (&lt; 5 minutes) achieves higher completion rates than longer tutorials [13].</w:t>
      </w:r>
    </w:p>
    <w:p>
      <w:pPr>
        <w:spacing w:before="40" w:after="120"/>
      </w:pPr>
      <w:r>
        <w:rPr>
          <w:rFonts w:ascii="Arial" w:hAnsi="Arial"/>
          <w:b w:val="0"/>
          <w:i w:val="0"/>
          <w:color w:val="475569"/>
          <w:sz w:val="21"/>
        </w:rPr>
        <w:t>For a bilingual platform serving Thai and international audiences, adding Thai-language narration tracks and subtitles aligns with UNESCO guidance on mother-tongue instruction for digital literacy [17] and extends platform reach to users with lower English proficiency.</w:t>
      </w:r>
    </w:p>
    <w:p>
      <w:pPr>
        <w:pStyle w:val="Heading2"/>
      </w:pPr>
      <w:r>
        <w:t>8.2  Proposed Video Content Plan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50"/>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Video #</w:t>
            </w:r>
          </w:p>
        </w:tc>
        <w:tc>
          <w:tcPr>
            <w:tcW w:type="dxa" w:w="3402"/>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Title</w:t>
            </w:r>
          </w:p>
        </w:tc>
        <w:tc>
          <w:tcPr>
            <w:tcW w:type="dxa" w:w="113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Duration</w:t>
            </w:r>
          </w:p>
        </w:tc>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Target Audience</w:t>
            </w:r>
          </w:p>
        </w:tc>
        <w:tc>
          <w:tcPr>
            <w:tcW w:type="dxa" w:w="170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Platform</w:t>
            </w:r>
          </w:p>
        </w:tc>
      </w:tr>
      <w:tr>
        <w:tc>
          <w:tcPr>
            <w:tcW w:type="dxa" w:w="85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V01</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What is BiocharHub? — Platform Overview</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2–3 min</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General / new users</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Website embed</w:t>
            </w:r>
          </w:p>
        </w:tc>
      </w:tr>
      <w:tr>
        <w:tc>
          <w:tcPr>
            <w:tcW w:type="dxa" w:w="85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V02</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Searching the Database — Filters, Export &amp; DOI Links</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3–4 min</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Researchers / students</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Website embed</w:t>
            </w:r>
          </w:p>
        </w:tc>
      </w:tr>
      <w:tr>
        <w:tc>
          <w:tcPr>
            <w:tcW w:type="dxa" w:w="85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V03</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CO₂ Predictor — Step-by-Step Walkthrough</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4–5 min</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ML tool users</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FAQ page</w:t>
            </w:r>
          </w:p>
        </w:tc>
      </w:tr>
      <w:tr>
        <w:tc>
          <w:tcPr>
            <w:tcW w:type="dxa" w:w="85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V04</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Property Estimator — Structural Property Prediction</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3–4 min</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Materials scientists</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FAQ page</w:t>
            </w:r>
          </w:p>
        </w:tc>
      </w:tr>
      <w:tr>
        <w:tc>
          <w:tcPr>
            <w:tcW w:type="dxa" w:w="85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V05</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Materials Advisor — Finding Optimal Production Conditions</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4–5 min</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Engineers / designers</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FAQ page</w:t>
            </w:r>
          </w:p>
        </w:tc>
      </w:tr>
      <w:tr>
        <w:tc>
          <w:tcPr>
            <w:tcW w:type="dxa" w:w="85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V06</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Export Reports — Download &amp; Cite Your Results</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2–3 min</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All users</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w:t>
            </w:r>
          </w:p>
        </w:tc>
      </w:tr>
      <w:tr>
        <w:tc>
          <w:tcPr>
            <w:tcW w:type="dxa" w:w="85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V07</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Understanding the Science — Biochar &amp; CO₂ Adsorption Basics</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5–6 min</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Students / policymakers</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Education</w:t>
            </w:r>
          </w:p>
        </w:tc>
      </w:tr>
      <w:tr>
        <w:tc>
          <w:tcPr>
            <w:tcW w:type="dxa" w:w="85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V08</w:t>
            </w:r>
          </w:p>
        </w:tc>
        <w:tc>
          <w:tcPr>
            <w:tcW w:type="dxa" w:w="340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Full Workflow Tutorial — Property → CO₂ → Advisor Chain</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6–8 min</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Advanced / research users</w:t>
            </w:r>
          </w:p>
        </w:tc>
        <w:tc>
          <w:tcPr>
            <w:tcW w:type="dxa" w:w="170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 Course</w:t>
            </w:r>
          </w:p>
        </w:tc>
      </w:tr>
      <w:tr>
        <w:tc>
          <w:tcPr>
            <w:tcW w:type="dxa" w:w="85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V09</w:t>
            </w:r>
          </w:p>
        </w:tc>
        <w:tc>
          <w:tcPr>
            <w:tcW w:type="dxa" w:w="340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BiocharHub สำหรับผู้ใช้ภาษาไทย (TH Language Tutorial)</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3–4 min</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Thai-speaking audience</w:t>
            </w:r>
          </w:p>
        </w:tc>
        <w:tc>
          <w:tcPr>
            <w:tcW w:type="dxa" w:w="170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YouTube (TH channel)</w:t>
            </w:r>
          </w:p>
        </w:tc>
      </w:tr>
    </w:tbl>
    <w:p>
      <w:pPr>
        <w:spacing w:after="120"/>
      </w:pPr>
    </w:p>
    <w:p>
      <w:pPr>
        <w:pStyle w:val="Heading2"/>
      </w:pPr>
      <w:r>
        <w:t>8.3  Production Workflow</w:t>
      </w:r>
    </w:p>
    <w:p>
      <w:pPr>
        <w:pStyle w:val="ListBullet"/>
        <w:spacing w:before="20" w:after="60"/>
        <w:ind w:left="397"/>
      </w:pPr>
      <w:r>
        <w:rPr>
          <w:rFonts w:ascii="Arial" w:hAnsi="Arial"/>
          <w:color w:val="475569"/>
          <w:sz w:val="21"/>
        </w:rPr>
        <w:t>Screen recording — OBS Studio or Loom for high-resolution (1080p) screen capture with system audio</w:t>
      </w:r>
    </w:p>
    <w:p>
      <w:pPr>
        <w:pStyle w:val="ListBullet"/>
        <w:spacing w:before="20" w:after="60"/>
        <w:ind w:left="397"/>
      </w:pPr>
      <w:r>
        <w:rPr>
          <w:rFonts w:ascii="Arial" w:hAnsi="Arial"/>
          <w:color w:val="475569"/>
          <w:sz w:val="21"/>
        </w:rPr>
        <w:t>Narration — professional script written for each video; bilingual EN/TH versions recorded separately</w:t>
      </w:r>
    </w:p>
    <w:p>
      <w:pPr>
        <w:pStyle w:val="ListBullet"/>
        <w:spacing w:before="20" w:after="60"/>
        <w:ind w:left="397"/>
      </w:pPr>
      <w:r>
        <w:rPr>
          <w:rFonts w:ascii="Arial" w:hAnsi="Arial"/>
          <w:color w:val="475569"/>
          <w:sz w:val="21"/>
        </w:rPr>
        <w:t>Editing — DaVinci Resolve or CapCut for trim, annotation overlays, zoom-in highlights on key UI elements</w:t>
      </w:r>
    </w:p>
    <w:p>
      <w:pPr>
        <w:pStyle w:val="ListBullet"/>
        <w:spacing w:before="20" w:after="60"/>
        <w:ind w:left="397"/>
      </w:pPr>
      <w:r>
        <w:rPr>
          <w:rFonts w:ascii="Arial" w:hAnsi="Arial"/>
          <w:color w:val="475569"/>
          <w:sz w:val="21"/>
        </w:rPr>
        <w:t>Subtitles — auto-generated via YouTube captions, manually verified for scientific terminology accuracy</w:t>
      </w:r>
    </w:p>
    <w:p>
      <w:pPr>
        <w:pStyle w:val="ListBullet"/>
        <w:spacing w:before="20" w:after="60"/>
        <w:ind w:left="397"/>
      </w:pPr>
      <w:r>
        <w:rPr>
          <w:rFonts w:ascii="Arial" w:hAnsi="Arial"/>
          <w:color w:val="475569"/>
          <w:sz w:val="21"/>
        </w:rPr>
        <w:t>Metadata — keyword-optimised titles and descriptions for discoverability (biochar, CO₂ capture, kNN, machine learning, carbon sequestration)</w:t>
      </w:r>
    </w:p>
    <w:p>
      <w:pPr>
        <w:pStyle w:val="ListBullet"/>
        <w:spacing w:before="20" w:after="60"/>
        <w:ind w:left="397"/>
      </w:pPr>
      <w:r>
        <w:rPr>
          <w:rFonts w:ascii="Arial" w:hAnsi="Arial"/>
          <w:color w:val="475569"/>
          <w:sz w:val="21"/>
        </w:rPr>
        <w:t>Analytics — YouTube Studio metrics (watch time, average view duration, click-through rate) monitored quarterly to improve subsequent videos</w:t>
      </w:r>
    </w:p>
    <w:p>
      <w:pPr>
        <w:pStyle w:val="Heading2"/>
      </w:pPr>
      <w:r>
        <w:t>8.4  Integration with Platform</w:t>
      </w:r>
    </w:p>
    <w:p>
      <w:pPr>
        <w:pStyle w:val="ListBullet"/>
        <w:spacing w:before="20" w:after="60"/>
        <w:ind w:left="397"/>
      </w:pPr>
      <w:r>
        <w:rPr>
          <w:rFonts w:ascii="Arial" w:hAnsi="Arial"/>
          <w:color w:val="475569"/>
          <w:sz w:val="21"/>
        </w:rPr>
        <w:t>Embed relevant video thumbnails and iframes in the FAQ/Help Centre section of BiocharHub</w:t>
      </w:r>
    </w:p>
    <w:p>
      <w:pPr>
        <w:pStyle w:val="ListBullet"/>
        <w:spacing w:before="20" w:after="60"/>
        <w:ind w:left="397"/>
      </w:pPr>
      <w:r>
        <w:rPr>
          <w:rFonts w:ascii="Arial" w:hAnsi="Arial"/>
          <w:color w:val="475569"/>
          <w:sz w:val="21"/>
        </w:rPr>
        <w:t>Link video cards to the corresponding tool page (CO₂ Predictor, Property Estimator, Materials Advisor)</w:t>
      </w:r>
    </w:p>
    <w:p>
      <w:pPr>
        <w:pStyle w:val="ListBullet"/>
        <w:spacing w:before="20" w:after="60"/>
        <w:ind w:left="397"/>
      </w:pPr>
      <w:r>
        <w:rPr>
          <w:rFonts w:ascii="Arial" w:hAnsi="Arial"/>
          <w:color w:val="475569"/>
          <w:sz w:val="21"/>
        </w:rPr>
        <w:t>Include playlist QR code in the printed/PDF User Guide offline manual for offline-to-online bridging</w:t>
      </w:r>
    </w:p>
    <w:p>
      <w:pPr>
        <w:pStyle w:val="ListBullet"/>
        <w:spacing w:before="20" w:after="60"/>
        <w:ind w:left="397"/>
      </w:pPr>
      <w:r>
        <w:rPr>
          <w:rFonts w:ascii="Arial" w:hAnsi="Arial"/>
          <w:color w:val="475569"/>
          <w:sz w:val="21"/>
        </w:rPr>
        <w:t>Create a dedicated 'BiocharHub Tutorials' YouTube playlist with chapter timestamps for each section</w:t>
      </w:r>
    </w:p>
    <w:p>
      <w:pPr>
        <w:pStyle w:val="Heading2"/>
      </w:pPr>
      <w:r>
        <w:t>8.5  Scientific References — Multimedia Learning &amp; Video Tutorials</w:t>
      </w:r>
    </w:p>
    <w:p>
      <w:pPr>
        <w:spacing w:before="40" w:after="80"/>
        <w:ind w:left="283"/>
      </w:pPr>
      <w:r>
        <w:rPr>
          <w:rFonts w:ascii="Arial" w:hAnsi="Arial"/>
          <w:b/>
          <w:color w:val="15803D"/>
          <w:sz w:val="18"/>
        </w:rPr>
        <w:t xml:space="preserve">[11]  </w:t>
      </w:r>
      <w:r>
        <w:rPr>
          <w:rFonts w:ascii="Arial" w:hAnsi="Arial"/>
          <w:color w:val="475569"/>
          <w:sz w:val="18"/>
        </w:rPr>
        <w:t>Mayer, R. E. (2009). Multimedia learning (2nd ed.). Cambridge University Press. https://doi.org/10.1017/CBO9780511811678</w:t>
      </w:r>
    </w:p>
    <w:p>
      <w:pPr>
        <w:spacing w:before="40" w:after="80"/>
        <w:ind w:left="283"/>
      </w:pPr>
      <w:r>
        <w:rPr>
          <w:rFonts w:ascii="Arial" w:hAnsi="Arial"/>
          <w:b/>
          <w:color w:val="15803D"/>
          <w:sz w:val="18"/>
        </w:rPr>
        <w:t xml:space="preserve">[12]  </w:t>
      </w:r>
      <w:r>
        <w:rPr>
          <w:rFonts w:ascii="Arial" w:hAnsi="Arial"/>
          <w:color w:val="475569"/>
          <w:sz w:val="18"/>
        </w:rPr>
        <w:t>Merrill, M. D. (2002). First principles of instruction. Educational Technology Research and Development, 50(3), 43–59.</w:t>
      </w:r>
    </w:p>
    <w:p>
      <w:pPr>
        <w:spacing w:before="40" w:after="80"/>
        <w:ind w:left="283"/>
      </w:pPr>
      <w:r>
        <w:rPr>
          <w:rFonts w:ascii="Arial" w:hAnsi="Arial"/>
          <w:b/>
          <w:color w:val="15803D"/>
          <w:sz w:val="18"/>
        </w:rPr>
        <w:t xml:space="preserve">[13]  </w:t>
      </w:r>
      <w:r>
        <w:rPr>
          <w:rFonts w:ascii="Arial" w:hAnsi="Arial"/>
          <w:color w:val="475569"/>
          <w:sz w:val="18"/>
        </w:rPr>
        <w:t>Guo, P. J., Kim, J., &amp; Rubin, R. (2014). How video production affects student engagement: An empirical study of MOOC videos. Proceedings of the ACM Conference on Learning @ Scale (L@S), 41–50. https://doi.org/10.1145/2556325.2566239</w:t>
      </w:r>
    </w:p>
    <w:p>
      <w:pPr>
        <w:spacing w:before="40" w:after="80"/>
        <w:ind w:left="283"/>
      </w:pPr>
      <w:r>
        <w:rPr>
          <w:rFonts w:ascii="Arial" w:hAnsi="Arial"/>
          <w:b/>
          <w:color w:val="15803D"/>
          <w:sz w:val="18"/>
        </w:rPr>
        <w:t xml:space="preserve">[14]  </w:t>
      </w:r>
      <w:r>
        <w:rPr>
          <w:rFonts w:ascii="Arial" w:hAnsi="Arial"/>
          <w:color w:val="475569"/>
          <w:sz w:val="18"/>
        </w:rPr>
        <w:t>Cock, P. J. A., Antao, T., Chang, J. T., et al. (2010). Biopython: Freely available Python tools for computational molecular biology and bioinformatics. Bioinformatics, 25(11), 1422–1423. [Example of software with open tutorial ecosystem]</w:t>
      </w:r>
    </w:p>
    <w:p>
      <w:pPr>
        <w:spacing w:before="40" w:after="80"/>
        <w:ind w:left="283"/>
      </w:pPr>
      <w:r>
        <w:rPr>
          <w:rFonts w:ascii="Arial" w:hAnsi="Arial"/>
          <w:b/>
          <w:color w:val="15803D"/>
          <w:sz w:val="18"/>
        </w:rPr>
        <w:t xml:space="preserve">[15]  </w:t>
      </w:r>
      <w:r>
        <w:rPr>
          <w:rFonts w:ascii="Arial" w:hAnsi="Arial"/>
          <w:color w:val="475569"/>
          <w:sz w:val="18"/>
        </w:rPr>
        <w:t>Afgan, E., Baker, D., Batut, B., et al. (2018). The Galaxy platform for accessible, reproducible and collaborative biomedical analyses: 2018 update. Nucleic Acids Research, 46(W1), W537–W544. https://doi.org/10.1093/nar/gky379</w:t>
      </w:r>
    </w:p>
    <w:p>
      <w:pPr>
        <w:spacing w:before="40" w:after="80"/>
        <w:ind w:left="283"/>
      </w:pPr>
      <w:r>
        <w:rPr>
          <w:rFonts w:ascii="Arial" w:hAnsi="Arial"/>
          <w:b/>
          <w:color w:val="15803D"/>
          <w:sz w:val="18"/>
        </w:rPr>
        <w:t xml:space="preserve">[16]  </w:t>
      </w:r>
      <w:r>
        <w:rPr>
          <w:rFonts w:ascii="Arial" w:hAnsi="Arial"/>
          <w:color w:val="475569"/>
          <w:sz w:val="18"/>
        </w:rPr>
        <w:t>Sweller, J. (1988). Cognitive load during problem solving: Effects on learning. Cognitive Science, 12(2), 257–285. [Cognitive load theory — basis for chunked short-form video design]</w:t>
      </w:r>
    </w:p>
    <w:p>
      <w:pPr>
        <w:spacing w:before="40" w:after="80"/>
        <w:ind w:left="283"/>
      </w:pPr>
      <w:r>
        <w:rPr>
          <w:rFonts w:ascii="Arial" w:hAnsi="Arial"/>
          <w:b/>
          <w:color w:val="15803D"/>
          <w:sz w:val="18"/>
        </w:rPr>
        <w:t xml:space="preserve">[17]  </w:t>
      </w:r>
      <w:r>
        <w:rPr>
          <w:rFonts w:ascii="Arial" w:hAnsi="Arial"/>
          <w:color w:val="475569"/>
          <w:sz w:val="18"/>
        </w:rPr>
        <w:t>UNESCO (2016). If you don't understand, how can you learn? Policy Paper 24. Paris: UNESCO. [Multilingual/mother-tongue instruction for digital literacy]</w:t>
      </w:r>
    </w:p>
    <w:p>
      <w:pPr>
        <w:spacing w:before="40" w:after="80"/>
        <w:ind w:left="283"/>
      </w:pPr>
      <w:r>
        <w:rPr>
          <w:rFonts w:ascii="Arial" w:hAnsi="Arial"/>
          <w:b/>
          <w:color w:val="15803D"/>
          <w:sz w:val="18"/>
        </w:rPr>
        <w:t xml:space="preserve">[18]  </w:t>
      </w:r>
      <w:r>
        <w:rPr>
          <w:rFonts w:ascii="Arial" w:hAnsi="Arial"/>
          <w:color w:val="475569"/>
          <w:sz w:val="18"/>
        </w:rPr>
        <w:t>Noesgaard, S. S., &amp; Ørngreen, R. (2015). The effectiveness of e-learning: An explorative and integrative review of the definitions, methodologies and factors that promote e-Learning effectiveness. Electronic Journal of e-Learning, 13(4), 278–290.</w:t>
      </w:r>
    </w:p>
    <w:p>
      <w:pPr>
        <w:spacing w:before="40" w:after="80"/>
        <w:ind w:left="283"/>
      </w:pPr>
      <w:r>
        <w:rPr>
          <w:rFonts w:ascii="Arial" w:hAnsi="Arial"/>
          <w:b/>
          <w:color w:val="15803D"/>
          <w:sz w:val="18"/>
        </w:rPr>
        <w:t xml:space="preserve">[19]  </w:t>
      </w:r>
      <w:r>
        <w:rPr>
          <w:rFonts w:ascii="Arial" w:hAnsi="Arial"/>
          <w:color w:val="475569"/>
          <w:sz w:val="18"/>
        </w:rPr>
        <w:t>Hew, K. F., &amp; Cheung, W. S. (2014). Students' and instructors' use of massive open online courses (MOOCs): Motivations and challenges. Educational Research Review, 12, 45–58.</w:t>
      </w:r>
    </w:p>
    <w:p>
      <w:r>
        <w:br w:type="page"/>
      </w:r>
    </w:p>
    <w:p>
      <w:pPr>
        <w:pStyle w:val="Heading1"/>
      </w:pPr>
      <w:r>
        <w:t>9.  Conclusion</w:t>
      </w:r>
    </w:p>
    <w:p>
      <w:pPr>
        <w:spacing w:before="40" w:after="160"/>
        <w:pBdr>
          <w:bottom w:val="single" w:sz="6" w:space="1" w:color="15803D"/>
        </w:pBdr>
      </w:pPr>
    </w:p>
    <w:p>
      <w:pPr>
        <w:spacing w:before="40" w:after="120"/>
      </w:pPr>
      <w:r>
        <w:rPr>
          <w:rFonts w:ascii="Arial" w:hAnsi="Arial"/>
          <w:b w:val="0"/>
          <w:i w:val="0"/>
          <w:color w:val="475569"/>
          <w:sz w:val="21"/>
        </w:rPr>
        <w:t>BiocharHub is positioned to grow from a single-thesis ML demonstration into the world's most comprehensive open-access biochar informatics platform. The three-phase roadmap presented here is grounded in the current dataset of 1,396 experimentally validated records and guided by the broader vision of FAIR, automated, AI-enhanced biochar data science.</w:t>
      </w:r>
    </w:p>
    <w:p>
      <w:pPr>
        <w:spacing w:before="40" w:after="120"/>
      </w:pPr>
      <w:r>
        <w:rPr>
          <w:rFonts w:ascii="Arial" w:hAnsi="Arial"/>
          <w:b w:val="0"/>
          <w:i w:val="0"/>
          <w:color w:val="475569"/>
          <w:sz w:val="21"/>
        </w:rPr>
        <w:t>The convergence of automated literature mining, physics-informed ML models, and collaborative research networks creates a compounding effect: more data improves model accuracy, better models attract more contributors, and a larger community accelerates scientific discovery in carbon capture, sustainable agriculture, and circular biomass economies.</w:t>
      </w:r>
    </w:p>
    <w:p>
      <w:pPr>
        <w:spacing w:before="40" w:after="120"/>
      </w:pPr>
      <w:r>
        <w:rPr>
          <w:rFonts w:ascii="Arial" w:hAnsi="Arial"/>
          <w:b w:val="0"/>
          <w:i w:val="0"/>
          <w:color w:val="475569"/>
          <w:sz w:val="21"/>
        </w:rPr>
        <w:t>The user evaluation strategy (Chapter 7) and multimedia outreach plan (Chapter 8) represent people-centred extensions of the platform vision: ensuring that BiocharHub is not only technically capable but also genuinely accessible, usable, and discoverable by the broadest possible scientific audience — from graduate students in Thailand to research teams worldwide.</w:t>
      </w:r>
    </w:p>
    <w:p>
      <w:pPr>
        <w:spacing w:before="40" w:after="120"/>
      </w:pPr>
      <w:r>
        <w:rPr>
          <w:rFonts w:ascii="Arial" w:hAnsi="Arial"/>
          <w:b w:val="0"/>
          <w:i w:val="0"/>
          <w:color w:val="475569"/>
          <w:sz w:val="21"/>
        </w:rPr>
        <w:t>Every phase of this roadmap is designed to deliver concrete, standalone value to researchers while building toward the larger vision. Phase 1 improvements can be implemented within the existing research project scope; Phases 2 and 3 represent natural extensions for post-thesis research funding applications, collaborative grants, or academic–industry partnerships in the biochar and carbon capture sectors.</w:t>
      </w:r>
    </w:p>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1" w:color="CCCCCC"/>
      </w:pBdr>
      <w:jc w:val="center"/>
    </w:pPr>
    <w:r>
      <w:rPr>
        <w:rFonts w:ascii="Arial" w:hAnsi="Arial"/>
        <w:color w:val="475569"/>
        <w:sz w:val="15"/>
      </w:rPr>
      <w:t>BiocharHub  ·  Biochar Informatics &amp; AI Research Platform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15803D"/>
      </w:pBdr>
    </w:pPr>
    <w:r>
      <w:rPr>
        <w:rFonts w:ascii="Arial" w:hAnsi="Arial"/>
        <w:color w:val="475569"/>
        <w:sz w:val="16"/>
      </w:rPr>
      <w:t>BiocharHub Platform  |  Development Plan &amp; Research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5803D"/>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5803D"/>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5803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