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0"/>
        <w:jc w:val="center"/>
      </w:pPr>
      <w:r>
        <w:rPr>
          <w:rFonts w:ascii="Arial" w:hAnsi="Arial"/>
          <w:b/>
          <w:color w:val="15803D"/>
          <w:sz w:val="56"/>
        </w:rPr>
        <w:t>🌱  BiocharHub</w:t>
      </w:r>
    </w:p>
    <w:p>
      <w:pPr>
        <w:spacing w:before="80" w:after="120"/>
        <w:jc w:val="center"/>
      </w:pPr>
      <w:r>
        <w:rPr>
          <w:rFonts w:ascii="Arial" w:hAnsi="Arial"/>
          <w:color w:val="475569"/>
          <w:sz w:val="22"/>
        </w:rPr>
        <w:t>AI-Driven Biochar CO₂ Adsorption Intelligence Platform</w:t>
      </w:r>
    </w:p>
    <w:p>
      <w:pPr>
        <w:spacing w:before="0" w:after="320"/>
        <w:jc w:val="center"/>
      </w:pPr>
      <w:r>
        <w:rPr>
          <w:rFonts w:ascii="Arial" w:hAnsi="Arial"/>
          <w:b/>
          <w:color w:val="16A34A"/>
          <w:sz w:val="19"/>
        </w:rPr>
        <w:t>Biochar Informatics · Data Mining · ML-Enhanced Research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0" w:after="120"/>
        <w:jc w:val="center"/>
      </w:pPr>
      <w:r>
        <w:rPr>
          <w:rFonts w:ascii="Arial" w:hAnsi="Arial"/>
          <w:b/>
          <w:color w:val="0F172A"/>
          <w:sz w:val="44"/>
        </w:rPr>
        <w:t>แผนพัฒนาในอนาคต &amp; แผนที่นำทางการวิจัย</w:t>
      </w:r>
    </w:p>
    <w:p>
      <w:pPr>
        <w:spacing w:before="80" w:after="640"/>
        <w:jc w:val="center"/>
      </w:pPr>
      <w:r>
        <w:rPr>
          <w:rFonts w:ascii="Arial" w:hAnsi="Arial"/>
          <w:i/>
          <w:color w:val="475569"/>
          <w:sz w:val="22"/>
        </w:rPr>
        <w:t>แพลตฟอร์มฐานข้อมูลเชิงปัญญาประดิษฐ์สำหรับสารสนเทศไบโอชาร์และการทำเหมืองข้อมูล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Document Type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Research Development Plan &amp; Strategic Roadmap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Version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ฉบับปี 2569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Language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ภาษาไทย (TH)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Platform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BiocharHub v1.7  ·  Biochar Informatics Platform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Prepared for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MS Thesis Research  ·  AI-Driven Biochar Database</w:t>
            </w:r>
          </w:p>
        </w:tc>
      </w:tr>
    </w:tbl>
    <w:p/>
    <w:p>
      <w:r>
        <w:br w:type="page"/>
      </w:r>
    </w:p>
    <w:p>
      <w:pPr>
        <w:pStyle w:val="Heading1"/>
      </w:pPr>
      <w:r>
        <w:t>บทสรุปผู้บริหาร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BiocharHub v1.7 ได้สร้างแพลตฟอร์มอัจฉริยะแบบเปิดที่รวบรวมระเบียนการทดลองการดูดซับ CO₂ ของไบโอชาร์ที่ผ่านการตรวจสอบจำนวน 1,396 รายการ พร้อมด้วยเครื่องมือพยากรณ์แบบแมชชีนเลิร์นนิง 3 ชุด เอกสารนี้อธิบายแผนงานพัฒนาเชิงกลยุทธ์สามระยะเพื่อพัฒนา BiocharHub ให้เป็นระบบนิเวศสารสนเทศไบโอชาร์และการทำเหมืองข้อมูลที่ครอบคลุม</w:t>
      </w:r>
    </w:p>
    <w:p>
      <w:pPr>
        <w:spacing w:before="40" w:after="120"/>
      </w:pPr>
      <w:r>
        <w:rPr>
          <w:rFonts w:ascii="Arial" w:hAnsi="Arial"/>
          <w:b/>
          <w:i w:val="0"/>
          <w:color w:val="475569"/>
          <w:sz w:val="21"/>
        </w:rPr>
        <w:t>แผนงานแบ่งออกเป็นสามขอบฟ้า: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ระยะ</w:t>
            </w:r>
          </w:p>
        </w:tc>
        <w:tc>
          <w:tcPr>
            <w:tcW w:type="dxa" w:w="1417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ขอบฟ้า</w:t>
            </w:r>
          </w:p>
        </w:tc>
        <w:tc>
          <w:tcPr>
            <w:tcW w:type="dxa" w:w="510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จุดเน้น</w:t>
            </w:r>
          </w:p>
        </w:tc>
        <w:tc>
          <w:tcPr>
            <w:tcW w:type="dxa" w:w="113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กรอบเวลา</w:t>
            </w:r>
          </w:p>
        </w:tc>
      </w:tr>
      <w:tr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1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ระยะสั้น</w:t>
            </w:r>
          </w:p>
        </w:tc>
        <w:tc>
          <w:tcPr>
            <w:tcW w:type="dxa" w:w="51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ปรับปรุงแพลตฟอร์ม API การส่งข้อมูลผู้ใช้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6–12 เดือน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2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ระยะกลาง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เครื่องมือสารสนเทศไบโอชาร์ ท่อส่งข้อมูล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12–24 เดือน</w:t>
            </w:r>
          </w:p>
        </w:tc>
      </w:tr>
      <w:tr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3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ระยะยาว</w:t>
            </w:r>
          </w:p>
        </w:tc>
        <w:tc>
          <w:tcPr>
            <w:tcW w:type="dxa" w:w="51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เครือข่ายวิจัยระดับโลก ข้อมูลเชื่อมโยงสิ่งพิมพ์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24–36 เดือน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1.  สถานะปัจจุบันของแพลตฟอร์ม (v1.7)</w:t>
      </w:r>
    </w:p>
    <w:p>
      <w:pPr>
        <w:spacing w:before="40" w:after="160"/>
        <w:pBdr>
          <w:bottom w:val="single" w:sz="6" w:space="1" w:color="15803D"/>
        </w:pBdr>
      </w:pPr>
    </w:p>
    <w:p>
      <w:pPr>
        <w:pStyle w:val="Heading2"/>
      </w:pPr>
      <w:r>
        <w:t>1.1  ฟีเจอร์ที่ใช้งานได้ในปัจจุบัน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โมดูล</w:t>
            </w:r>
          </w:p>
        </w:tc>
        <w:tc>
          <w:tcPr>
            <w:tcW w:type="dxa" w:w="1417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510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คำอธิบาย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ระบบสำรวจฐานข้อมูล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✅ ใช้งานได้</w:t>
            </w:r>
          </w:p>
        </w:tc>
        <w:tc>
          <w:tcPr>
            <w:tcW w:type="dxa" w:w="51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1,396 ระเบียน กรองได้ เรียงลำดับได้ ส่งออก CSV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ตัวพยากรณ์ CO₂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✅ ใช้งานได้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การพยากรณ์ kNN สำหรับการดูดซับ CO₂ (mmol/g)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เครื่องมือประเมินคุณสมบัติ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✅ ใช้งานได้</w:t>
            </w:r>
          </w:p>
        </w:tc>
        <w:tc>
          <w:tcPr>
            <w:tcW w:type="dxa" w:w="51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พยากรณ์พื้นที่ผิว BET ปริมาตรรูพรุน ผลได้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ที่ปรึกษาวัสดุ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✅ ใช้งานได้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แนะนำวัตถุดิบและตัวกระตุ้นตามเป้าหมาย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UI สองภาษา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✅ ใช้งานได้</w:t>
            </w:r>
          </w:p>
        </w:tc>
        <w:tc>
          <w:tcPr>
            <w:tcW w:type="dxa" w:w="51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อินเทอร์เฟซ EN / TH ครบถ้วนพร้อมสลับธีม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Share Data (Admin)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🔒 ทดสอบ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พอร์ทัลส่งข้อมูลสำหรับผู้มีส่วนร่วมที่ได้รับอนุญาต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REST API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🔜 วางแผน</w:t>
            </w:r>
          </w:p>
        </w:tc>
        <w:tc>
          <w:tcPr>
            <w:tcW w:type="dxa" w:w="51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API สาธารณะสำหรับการเข้าถึงข้อมูลแบบโปรแกรม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การขุดข้อมูลอัตโนมัติ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🔜 วางแผน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การดึงระเบียนจากวรรณกรรมด้วย NLP</w:t>
            </w:r>
          </w:p>
        </w:tc>
      </w:tr>
    </w:tbl>
    <w:p>
      <w:pPr>
        <w:spacing w:after="120"/>
      </w:pPr>
    </w:p>
    <w:p>
      <w:pPr>
        <w:pStyle w:val="Heading2"/>
      </w:pPr>
      <w:r>
        <w:t>1.2  ความครอบคลุมของชุดข้อมูล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ตัวชี้วัด</w:t>
            </w:r>
          </w:p>
        </w:tc>
        <w:tc>
          <w:tcPr>
            <w:tcW w:type="dxa" w:w="1701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ค่าปัจจุบัน</w:t>
            </w:r>
          </w:p>
        </w:tc>
        <w:tc>
          <w:tcPr>
            <w:tcW w:type="dxa" w:w="3969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เป้าหมาย (ระยะที่ 3)</w:t>
            </w:r>
          </w:p>
        </w:tc>
      </w:tr>
      <w:tr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จำนวนระเบียนทั้งหมด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1,396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5,000+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การทดลองที่ไม่ซ้ำกัน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59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200+</w:t>
            </w:r>
          </w:p>
        </w:tc>
      </w:tr>
      <w:tr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ประเภทชีวมวลที่ครอบคลุม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~40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100+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วิธีการกระตุ้น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6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15+</w:t>
            </w:r>
          </w:p>
        </w:tc>
      </w:tr>
      <w:tr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แหล่งวารสาร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~25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100+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ช่วงปีที่ตีพิมพ์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2010–2024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2000–ปัจจุบัน (อัปเดตอัตโนมัติ)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2.  แผนงานพัฒนา</w:t>
      </w:r>
    </w:p>
    <w:p>
      <w:pPr>
        <w:spacing w:before="40" w:after="160"/>
        <w:pBdr>
          <w:bottom w:val="single" w:sz="6" w:space="1" w:color="15803D"/>
        </w:pBdr>
      </w:pPr>
    </w:p>
    <w:p>
      <w:pPr>
        <w:pStyle w:val="Heading2"/>
      </w:pPr>
      <w:r>
        <w:t>2.1  ระยะที่ 1 — ปรับปรุงแพลตฟอร์ม (6–12 เดือน)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</w:tcPr>
          <w:p>
            <w:r>
              <w:rPr>
                <w:rFonts w:ascii="Arial" w:hAnsi="Arial"/>
                <w:b/>
                <w:color w:val="15803D"/>
                <w:sz w:val="22"/>
              </w:rPr>
              <w:t xml:space="preserve">  Phase 1  ·  ปรับปรุงแพลตฟอร์ม  ·  6–12 เดือน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REST API สาธารณะสำหรับการเข้าถึงระเบียนทั้ง 1,396 รายการแบบโปรแกรม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พอร์ทัลส่งข้อมูลผู้ใช้พร้อมกระบวนการตรวจสอบโดยผู้เชี่ยวชาญ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การกรองขั้นสูง: การค้นหาแบบหลายพารามิเตอร์และตัวเลื่อนช่วง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ส่งออกการอ้างอิง (BibTeX, RIS, APA) สำหรับระเบียนทั้งหมด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กราฟกระจายและแผนที่ความร้อนแบบโต้ตอบสำหรับการวิเคราะห์เชิงสำรวจ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โมเดล ML ที่ปรับปรุงแล้ว: Random Forest + Gradient Boosting ensemble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การแสดงช่วงความเชื่อมั่นบนผลลัพธ์การพยากรณ์ทั้งหมด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เลย์เอาต์ที่ปรับให้เหมาะสมสำหรับมือถือสำหรับนักวิจัยในภาคสนาม</w:t>
            </w:r>
          </w:p>
        </w:tc>
      </w:tr>
    </w:tbl>
    <w:p>
      <w:pPr>
        <w:spacing w:after="120"/>
      </w:pPr>
    </w:p>
    <w:p>
      <w:pPr>
        <w:pStyle w:val="Heading2"/>
      </w:pPr>
      <w:r>
        <w:t>2.2  ระยะที่ 2 — เครื่องมือสารสนเทศไบโอชาร์ (12–24 เดือน)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r>
              <w:rPr>
                <w:rFonts w:ascii="Arial" w:hAnsi="Arial"/>
                <w:b/>
                <w:color w:val="15803D"/>
                <w:sz w:val="22"/>
              </w:rPr>
              <w:t xml:space="preserve">  Phase 2  ·  เครื่องมือสารสนเทศไบโอชาร์  ·  12–24 เดือน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การขุดวรรณกรรมอัตโนมัติด้วย NLP จาก PubMed, Scopus &amp; Web of Science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การดึงระเบียนกึ่งอัตโนมัติ: แยกวิเคราะห์ตารางการทดลองจาก PDF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การพยากรณ์หลายคุณสมบัติพร้อมกัน (CO₂ + BET + ปริมาตรรูพรุน + ผลได้)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โมเดล Transfer Learning: ปรับจากชีวมวลที่มีข้อมูลมากไปยังชนิดหายาก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เครื่องมือแนะนำการออกแบบการทดลอง: แนะนำเงื่อนไขที่เหมาะสมที่สุด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การตรวจจับความผิดปกติ: ระบุระเบียนที่ผิดปกติทางสถิติเพื่อการตรวจสอบ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ระบบการให้คะแนนคุณภาพข้อมูลสำหรับระเบียนที่ส่งและขุดได้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การติดตามแหล่งที่มาที่เชื่อมโยง DOI สำหรับทุกระเบียน</w:t>
            </w:r>
          </w:p>
        </w:tc>
      </w:tr>
    </w:tbl>
    <w:p>
      <w:pPr>
        <w:spacing w:after="120"/>
      </w:pPr>
    </w:p>
    <w:p>
      <w:pPr>
        <w:pStyle w:val="Heading2"/>
      </w:pPr>
      <w:r>
        <w:t>2.3  ระยะที่ 3 — เครือข่ายวิจัยระดับโลก (24–36 เดือน)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F3FF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</w:tcPr>
          <w:p>
            <w:r>
              <w:rPr>
                <w:rFonts w:ascii="Arial" w:hAnsi="Arial"/>
                <w:b/>
                <w:color w:val="15803D"/>
                <w:sz w:val="22"/>
              </w:rPr>
              <w:t xml:space="preserve">  Phase 3  ·  เครือข่ายวิจัยร่วมมือระดับโลก  ·  24–36 เดือน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ฐานข้อมูลหลายสถาบันที่มีประวัติระเบียนแบบมีเวอร์ชัน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การรับข้อมูลการทดลองแบบเรียลไทม์จากเครื่องมือในห้องปฏิบัติการ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ข้อมูลเชื่อมโยงสิ่งพิมพ์: อัปเดตฐานข้อมูลอัตโนมัติเมื่อมีการตีพิมพ์ใหม่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การปฏิบัติตามหลักการข้อมูล FAIR (ค้นหาได้ เข้าถึงได้ ทำงานร่วมกันได้ นำกลับมาใช้ได้)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ขยายไปยังวัสดุอื่น: คาร์บอนกัมมันต์ MOFs ซีโอไลต์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ชั้น Query แบบกระจาย: ค้นหาฐานข้อมูลของสถาบันพันธมิตรโดยไม่รวมศูนย์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ระบบนิเวศ Open API พร้อม SDK สำหรับ Python, R และ MATLAB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475569"/>
                <w:sz w:val="20"/>
              </w:rPr>
              <w:t xml:space="preserve">  ✦  ชั้นตรวจสอบและคำอธิบายประกอบโดยชุมชนสำหรับแต่ละระเบียน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3.  สารสนเทศไบโอชาร์และการทำเหมืองข้อมูล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สารสนเทศไบโอชาร์ (Biochar Informatics) นำวิธีการคำนวณและวิทยาศาสตร์ข้อมูลมาประยุกต์ใช้อย่างเป็นระบบกับการศึกษาคุณสมบัติ เงื่อนไขการผลิต และผลลัพธ์ประสิทธิภาพของไบโอชาร์ โดเมนย่อยต่อไปนี้แสดงโอกาสการวิจัยหลักสำหรับแพลตฟอร์มฐานข้อมูลที่ขับเคลื่อนด้วย AI</w:t>
      </w:r>
    </w:p>
    <w:p>
      <w:pPr>
        <w:pStyle w:val="Heading2"/>
      </w:pPr>
      <w:r>
        <w:t>3.1  โอกาสการทำเหมืองข้อมูล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งานทำเหมืองข้อมูล</w:t>
            </w:r>
          </w:p>
        </w:tc>
        <w:tc>
          <w:tcPr>
            <w:tcW w:type="dxa" w:w="2835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แนวทาง</w:t>
            </w:r>
          </w:p>
        </w:tc>
        <w:tc>
          <w:tcPr>
            <w:tcW w:type="dxa" w:w="340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คุณค่าการวิจัย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การขุดความสัมพันธ์โครงสร้าง-คุณสมบัติ</w:t>
            </w:r>
          </w:p>
        </w:tc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Association rule learning บนเงื่อนไขกระบวนการ vs. การดูดซับ CO₂</w:t>
            </w:r>
          </w:p>
        </w:tc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ค้นพบว่าการรวมพารามิเตอร์ใดที่ให้ประสิทธิภาพสูงอย่างสม่ำเสมอ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การจัดกลุ่มวัตถุดิบ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การจัดกลุ่มแบบไม่มีผู้ดูแล (k-means, HDBSCAN) บนองค์ประกอบชีวมวล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จัดกลุ่มประเภทชีวมวลตามพฤติกรรมการดูดซับที่คาดการณ์ได้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การตรวจจับระเบียนผิดปกติและแชมป์</w:t>
            </w:r>
          </w:p>
        </w:tc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Isolation Forest + การวิเคราะห์ z-score ทางสถิติ</w:t>
            </w:r>
          </w:p>
        </w:tc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ระบุวัสดุที่โดดเด่นที่ควรสืบสวนเพิ่มเติม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ประสิทธิภาพวิธีการกระตุ้น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Multi-variate ANOVA + การเปรียบเทียบแบบจับคู่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วัดปริมาณว่าตัวกระตุ้นใดให้ BET &amp; CO₂ สูงสุด</w:t>
            </w:r>
          </w:p>
        </w:tc>
      </w:tr>
    </w:tbl>
    <w:p>
      <w:pPr>
        <w:spacing w:after="120"/>
      </w:pPr>
    </w:p>
    <w:p>
      <w:pPr>
        <w:pStyle w:val="Heading2"/>
      </w:pPr>
      <w:r>
        <w:t>3.2  แผนงานปรับปรุงโมเดล ML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เครื่องมือ ML ปัจจุบันของ BiocharHub ใช้การค้นหาความคล้ายคลึง k-Nearest Neighbour (kNN) บนชุดข้อมูล JSON แบบ static แม้ kNN จะให้การพยากรณ์ที่ตีความได้และจับคู่กับระเบียนจริง แต่ขาดการวางนัยทั่วไปเกินขอบเขตของข้อมูลที่สังเกตได้และไม่สามารถวัดความไม่แน่นอนของการพยากรณ์ แผนงานต่อไปนี้กำหนดการเปลี่ยนผ่านแบบเป็นระยะไปสู่โมเดลที่มีความสามารถสูงขึ้น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โมเดล</w:t>
            </w:r>
          </w:p>
        </w:tc>
        <w:tc>
          <w:tcPr>
            <w:tcW w:type="dxa" w:w="113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ระยะ</w:t>
            </w:r>
          </w:p>
        </w:tc>
        <w:tc>
          <w:tcPr>
            <w:tcW w:type="dxa" w:w="1701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MAE เป้าหมาย</w:t>
            </w:r>
          </w:p>
        </w:tc>
        <w:tc>
          <w:tcPr>
            <w:tcW w:type="dxa" w:w="3402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ข้อได้เปรียบหลัก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k-Nearest Neighbour (ปัจจุบัน)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v1.7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&lt; 1.2 mmol/g</w:t>
            </w:r>
          </w:p>
        </w:tc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ตีความได้ ไม่ต้องฝึก จับคู่ระเบียนโดยตรง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Random Forest Ensemble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&lt; 0.8 mmol/g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ลดความแปรปรวนด้วย bagging ให้ค่าความสำคัญฟีเจอร์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Gradient Boosting (XGBoost/LGB)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&lt; 0.6 mmol/g</w:t>
            </w:r>
          </w:p>
        </w:tc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แก้ไขค่าตกค้างแบบลำดับ ดีเยี่ยมบนข้อมูลตาราง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Gaussian Process Regression (GPR)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&lt; 0.7 mmol/g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ช่วงความเชื่อมั่นที่คาดเทียบได้ การอนุมาน Bayesian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Graph Neural Network (GNN)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2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&lt; 0.4 mmol/g</w:t>
            </w:r>
          </w:p>
        </w:tc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กราฟปฏิสัมพันธ์ฟีเจอร์ จับความสัมพันธ์ไม่เชิงเส้น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Physics-Informed Neural Network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ตีความได้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ฝัง Langmuir/Freundlich isotherm ในฟังก์ชันการสูญเสีย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Transformer / Attention Model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2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&lt; 0.35 mmol/g</w:t>
            </w:r>
          </w:p>
        </w:tc>
        <w:tc>
          <w:tcPr>
            <w:tcW w:type="dxa" w:w="340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Self-attention บนฟีเจอร์ตาราง ผลเทียบเคียงดีเยี่ยม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LLM fine-tune (ขุดวรรณกรรม)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ระยะที่ 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เชิงคุณภาพ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ดึงข้อมูลการทดลองจาก PDF อัตโนมัติในระดับขนาดใหญ่</w:t>
            </w:r>
          </w:p>
        </w:tc>
      </w:tr>
    </w:tbl>
    <w:p>
      <w:pPr>
        <w:spacing w:after="120"/>
      </w:pPr>
    </w:p>
    <w:p>
      <w:pPr>
        <w:pStyle w:val="Heading3"/>
      </w:pPr>
      <w:r>
        <w:t>3.2.1  ระยะที่ 1 — วิธีการ Ensemble และ Probabilistic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Random Forest [1] สร้าง ensemble ของ decision tree บน bootstrap samples และ random feature subsets การเฉลี่ยทั่วทั้ง tree หลากหลายลดความแปรปรวนโดยไม่เพิ่ม bias — แนวทางที่พิสูจน์แล้วสำหรับชุดข้อมูลคุณสมบัติวัสดุขนาดเล็กถึงกลาง การตรวจสอบความถูกต้องแบบ Leave-One-Study-Out (LOSOCV) จะถูกใช้ โดยแบ่ง test set ตามแหล่งที่มาของการตีพิมพ์เพื่อวัดการวางนัยทั่วไปข้ามกลุ่มการวิจัยอิสระ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Gradient Boosting ผ่าน XGBoost [2] และ LightGBM [3] ฝึก tree แบบลำดับ โดยแต่ละอันแก้ไขค่าตกค้างของ ensemble ก่อนหน้า XGBoost นำสถิติ gradient อันดับสองและ regularisation L1/L2 มาใช้เพื่อควบคุมการ overfitting การปรับแต่ง hyperparameter จะใช้ Optuna [12] ด้วย Tree-structured Parzen Estimator (TPE) และงบประมาณ 150 การทดลอง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Gaussian Process Regression (GPR) [4] ให้การกระจาย posterior predictive แบบเต็ม — ให้ทั้งค่าเฉลี่ยและช่วงความเชื่อมั่นที่คาดเทียบได้สำหรับทุก query GPR เหมาะอย่างยิ่งสำหรับชุดข้อมูลที่มีน้อยกว่า 2,000 ระเบียน และเป็นแนวทางที่แนะนำในการเพิ่มแถบความเชื่อมั่นให้กับ UI ตัวพยากรณ์ CO₂ ของ BiocharHub</w:t>
      </w:r>
    </w:p>
    <w:p>
      <w:pPr>
        <w:pStyle w:val="Heading3"/>
      </w:pPr>
      <w:r>
        <w:t>3.2.2  ระยะที่ 2 — โมเดล Graph และ Physics-Informed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Graph Neural Networks (GNNs) [6, 7] แสดงการสังเคราะห์ไบโอชาร์เป็นกราฟ heterogeneous ที่โหนดเข้ารหัสตัวแปรฟีเจอร์ — ชนิดชีวมวล ตัวกระตุ้น อุณหภูมิไพโรไลซิส เวลาพัก — และขอบจับภาพปฏิสัมพันธ์ทางเคมีฟิสิกส์ที่รู้จัก เช่น ผลสอดประสาน อุณหภูมิ × ตัวกระตุ้น ต่อการพัฒนา micropore การดำเนินการ message-passing ระหว่างโหนดช่วยให้ GNN เรียนรู้ผลปฏิสัมพันธ์อันดับสูงที่โมเดลตารางแบน flat ไม่สามารถแสดงได้อย่างชัดเจน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Physics-Informed Neural Networks (PINNs) [5] ฝังความรู้ domain โดยตรงในวัตถุประสงค์การฝึกผ่านเทอมโทษฟิสิกส์ สำหรับการดูดซับ CO₂ บนไบโอชาร์ Langmuir isotherm (Q = Q_max · K_L · P / (1 + K_L · P)) และ Freundlich isotherm (Q = K_F · P^(1/n)) กำหนดความสัมพันธ์สมดุลเชิงทฤษฎีระหว่างความจุการดูดซับ พลังงานพื้นผิว และความดันบางส่วน การเพิ่มเทอมตกค้าง isotherm ในฟังก์ชันการสูญเสียทำให้มั่นใจได้ว่าการพยากรณ์ในพื้นที่ข้อมูลบาง (ชีวมวลหายาก อุณหภูมิสุดขั้ว) จะยังคงถูกจำกัดทางทฤษฎีแทนที่จะ extrapolate โดยพลการ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Feature engineering สำหรับระยะที่ 2 จะรวม H/C และ O/C atomic ratio จาก van Krevelen diagram ดัชนี aromaticity จากอุณหภูมิไพโรไลซิส และตัวพรรณนาพลังงานกระตุ้นจากอัตราส่วนตัวกระตุ้น SHAP [11] จะให้การระบุแหล่งที่มาของฟีเจอร์ที่ไม่ขึ้นกับโมเดลสำหรับโมเดลระยะที่ 2 ทั้งหมด เพื่อให้มั่นใจว่าความสามารถในการตีความยังคงอยู่</w:t>
      </w:r>
    </w:p>
    <w:p>
      <w:pPr>
        <w:pStyle w:val="Heading3"/>
      </w:pPr>
      <w:r>
        <w:t>3.2.3  โปรโตคอลการประเมินโมเดล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ตัวชี้วัด</w:t>
            </w:r>
          </w:p>
        </w:tc>
        <w:tc>
          <w:tcPr>
            <w:tcW w:type="dxa" w:w="226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นิยาม</w:t>
            </w:r>
          </w:p>
        </w:tc>
        <w:tc>
          <w:tcPr>
            <w:tcW w:type="dxa" w:w="4819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บทบาทในการประเมิน ML ไบโอชาร์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MAE</w:t>
            </w:r>
          </w:p>
        </w:tc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Mean |ŷ − y|</w:t>
            </w:r>
          </w:p>
        </w:tc>
        <w:tc>
          <w:tcPr>
            <w:tcW w:type="dxa" w:w="481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ตัวชี้วัดหลัก — ค่าความผิดพลาดตรงใน mmol/g; ทนทานต่อ outlier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RMSE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√Mean (ŷ − y)²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ตัวชี้วัดรอง — ลงโทษความผิดพลาดขนาดใหญ่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R²</w:t>
            </w:r>
          </w:p>
        </w:tc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1 − SS_res / SS_tot</w:t>
            </w:r>
          </w:p>
        </w:tc>
        <w:tc>
          <w:tcPr>
            <w:tcW w:type="dxa" w:w="481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สัดส่วนความแปรปรวนที่อธิบายได้; เป้าหมาย R² ≥ 0.85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Coverage Prob.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P(y ∈ [ŷ ± 1.96σ])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การตรวจสอบการคาดเทียบ GPR — ควรเท่ากับ ~95%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LOSOCV</w:t>
            </w:r>
          </w:p>
        </w:tc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MAE บน leave-one-study-out</w:t>
            </w:r>
          </w:p>
        </w:tc>
        <w:tc>
          <w:tcPr>
            <w:tcW w:type="dxa" w:w="481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การทดสอบที่เข้มงวดที่สุด: การวางนัยทั่วไปข้ามการศึกษา</w:t>
            </w:r>
          </w:p>
        </w:tc>
      </w:tr>
    </w:tbl>
    <w:p>
      <w:pPr>
        <w:spacing w:after="120"/>
      </w:pPr>
    </w:p>
    <w:p>
      <w:pPr>
        <w:pStyle w:val="Heading2"/>
      </w:pPr>
      <w:r>
        <w:t>3.3  เอกสารอ้างอิงทางวิทยาศาสตร์ — สารสนเทศไบโอชาร์และโมเดล ML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[1]  </w:t>
      </w:r>
      <w:r>
        <w:rPr>
          <w:rFonts w:ascii="Arial" w:hAnsi="Arial"/>
          <w:color w:val="475569"/>
          <w:sz w:val="18"/>
        </w:rPr>
        <w:t>Breiman, L. (2001). Random forests. Machine Learning, 45(1), 5–32. https://doi.org/10.1023/A:1010933404324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[2]  </w:t>
      </w:r>
      <w:r>
        <w:rPr>
          <w:rFonts w:ascii="Arial" w:hAnsi="Arial"/>
          <w:color w:val="475569"/>
          <w:sz w:val="18"/>
        </w:rPr>
        <w:t>Chen, T., &amp; Guestrin, C. (2016). XGBoost: A scalable tree boosting system. Proceedings of the 22nd ACM SIGKDD International Conference on Knowledge Discovery and Data Mining, 785–794. https://doi.org/10.1145/2939672.2939785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[3]  </w:t>
      </w:r>
      <w:r>
        <w:rPr>
          <w:rFonts w:ascii="Arial" w:hAnsi="Arial"/>
          <w:color w:val="475569"/>
          <w:sz w:val="18"/>
        </w:rPr>
        <w:t>Ke, G., Meng, Q., Finley, T., et al. (2017). LightGBM: A highly efficient gradient boosting decision tree. Advances in Neural Information Processing Systems (NeurIPS), 30, 3146–3154.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[4]  </w:t>
      </w:r>
      <w:r>
        <w:rPr>
          <w:rFonts w:ascii="Arial" w:hAnsi="Arial"/>
          <w:color w:val="475569"/>
          <w:sz w:val="18"/>
        </w:rPr>
        <w:t>Rasmussen, C. E., &amp; Williams, C. K. I. (2006). Gaussian processes for machine learning. MIT Press. ISBN 978-0-262-18253-9.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[5]  </w:t>
      </w:r>
      <w:r>
        <w:rPr>
          <w:rFonts w:ascii="Arial" w:hAnsi="Arial"/>
          <w:color w:val="475569"/>
          <w:sz w:val="18"/>
        </w:rPr>
        <w:t>Raissi, M., Perdikaris, P., &amp; Karniadakis, G. E. (2019). Physics-informed neural networks: A deep learning framework for solving forward and inverse problems involving nonlinear PDEs. Journal of Computational Physics, 378, 686–707. https://doi.org/10.1016/j.jcp.2018.10.045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[6]  </w:t>
      </w:r>
      <w:r>
        <w:rPr>
          <w:rFonts w:ascii="Arial" w:hAnsi="Arial"/>
          <w:color w:val="475569"/>
          <w:sz w:val="18"/>
        </w:rPr>
        <w:t>Scarselli, F., Gori, M., Tsoi, A. C., Hagenbuchner, M., &amp; Monfardini, G. (2009). The graph neural network model. IEEE Transactions on Neural Networks, 20(1), 61–80. https://doi.org/10.1109/TNN.2008.2005605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[7]  </w:t>
      </w:r>
      <w:r>
        <w:rPr>
          <w:rFonts w:ascii="Arial" w:hAnsi="Arial"/>
          <w:color w:val="475569"/>
          <w:sz w:val="18"/>
        </w:rPr>
        <w:t>Kipf, T. N., &amp; Welling, M. (2017). Semi-supervised classification with graph convolutional networks. International Conference on Learning Representations (ICLR). https://arxiv.org/abs/1609.02907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[8]  </w:t>
      </w:r>
      <w:r>
        <w:rPr>
          <w:rFonts w:ascii="Arial" w:hAnsi="Arial"/>
          <w:color w:val="475569"/>
          <w:sz w:val="18"/>
        </w:rPr>
        <w:t>Schütt, K. T., Kindermans, P.-J., Sauceda, H. E., et al. (2018). SchNet — A deep learning architecture for molecules and materials. Journal of Chemical Physics, 148(24), 241722. https://doi.org/10.1063/1.5019779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[9]  </w:t>
      </w:r>
      <w:r>
        <w:rPr>
          <w:rFonts w:ascii="Arial" w:hAnsi="Arial"/>
          <w:color w:val="475569"/>
          <w:sz w:val="18"/>
        </w:rPr>
        <w:t>Butler, K. T., Davies, D. W., Cartwright, H., Isayev, O., &amp; Walsh, A. (2018). Machine learning for molecular and materials science. Nature, 559(7715), 547–555. https://doi.org/10.1038/s41586-018-0337-2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[10]  </w:t>
      </w:r>
      <w:r>
        <w:rPr>
          <w:rFonts w:ascii="Arial" w:hAnsi="Arial"/>
          <w:color w:val="475569"/>
          <w:sz w:val="18"/>
        </w:rPr>
        <w:t>Himanen, L., Geurts, A., Foster, A. S., &amp; Rinke, P. (2019). Data-driven materials science: Status, challenges and perspectives. Advanced Science, 6(21), 1900808. https://doi.org/10.1002/advs.201900808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[11]  </w:t>
      </w:r>
      <w:r>
        <w:rPr>
          <w:rFonts w:ascii="Arial" w:hAnsi="Arial"/>
          <w:color w:val="475569"/>
          <w:sz w:val="18"/>
        </w:rPr>
        <w:t>Lundberg, S. M., &amp; Lee, S.-I. (2017). A unified approach to interpreting model predictions. Advances in Neural Information Processing Systems (NeurIPS), 30.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[12]  </w:t>
      </w:r>
      <w:r>
        <w:rPr>
          <w:rFonts w:ascii="Arial" w:hAnsi="Arial"/>
          <w:color w:val="475569"/>
          <w:sz w:val="18"/>
        </w:rPr>
        <w:t>Akiba, T., Sano, S., Yanase, T., Ohta, T., &amp; Koyama, M. (2019). Optuna: A next-generation hyperparameter optimization framework. Proceedings of the 25th ACM SIGKDD, 2623–2631. https://doi.org/10.1145/3292500.3330701</w:t>
      </w:r>
    </w:p>
    <w:p>
      <w:r>
        <w:br w:type="page"/>
      </w:r>
    </w:p>
    <w:p>
      <w:pPr>
        <w:pStyle w:val="Heading1"/>
      </w:pPr>
      <w:r>
        <w:t>4.  โอกาสการวิจัย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แพลตฟอร์ม BiocharHub เปิดแนวทางการวิจัยต้นฉบับหลายแนวที่ผสมผสานวิทยาศาสตร์ข้อมูล สารสนเทศวัสดุ และวิศวกรรมสิ่งแวดล้อม ต่อไปนี้คือคำถามการวิจัยที่มีความสำคัญสูงซึ่งแพลตฟอร์มมีตำแหน่งพิเศษในการตอบ</w:t>
      </w: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[R1]  โมเดล ML ทั่วไปสำหรับการดูดซับ CO₂ ของไบโอชาร์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โมเดล ML ทั่วไปที่ฝึกบนระเบียน 1,396+ รายการสามารถเอาชนะโมเดลถดถอยของแต่ละการศึกษาได้หรือไม่? ความสัมพันธ์กระบวนการ-ประสิทธิภาพสากลมีอะไรบ้าง?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[R2]  การขุดวรรณกรรมไบโอชาร์อัตโนมัติในระดับขนาดใหญ่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โมเดล NLP สามารถดึงข้อมูลตารางการทดลองจากบทความ PDF แบบข้อความเต็มได้อย่างน่าเชื่อถือ &gt;90% เพื่อขยายฐานข้อมูลจาก 1,396 เป็น 10,000+ ระเบียนหรือไม่?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[R3]  การเพิ่มประสิทธิภาพการออกแบบการทดลองด้วยวิธี Bayesian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การเพิ่มประสิทธิภาพ Bayesian บนพื้นที่ข้อมูลที่มีอยู่สามารถแนะนำเงื่อนไขการผลิตใหม่ที่ยังไม่ได้ทดสอบ โดยมี CO₂ uptake ที่คาดการณ์เกินค่าสูงสุดปัจจุบัน (&gt;7.5 mmol/g) ได้หรือไม่?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[R4]  Transfer Learning ข้ามตระกูลชีวมวล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โมเดลที่ฝึกบนชีวมวลที่มีตัวแทนดี (แกลบข้าว ฟางข้าวโพด) สามารถถ่ายโอนประสิทธิภาพไปยังชีวมวลไทยหายากหรือเฉพาะภูมิภาคที่มีจุดข้อมูลน้อยได้หรือไม่?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[R5]  การพยากรณ์หลายคุณสมบัติและการวิเคราะห์การแลกเปลี่ยน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การแลกเปลี่ยนพื้นฐานระหว่างการดูดซับ CO₂ พื้นที่ผิว BET ปริมาตรรูพรุน และผลได้ไบโอชาร์มีอะไรบ้าง? การเพิ่มประสิทธิภาพหลายวัตถุประสงค์สามารถระบุเงื่อนไขการผลิตที่เหมาะสมแบบ Pareto ได้หรือไม่?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160" w:after="40"/>
      </w:pPr>
      <w:r>
        <w:rPr>
          <w:rFonts w:ascii="Arial" w:hAnsi="Arial"/>
          <w:b/>
          <w:color w:val="15803D"/>
          <w:sz w:val="21"/>
        </w:rPr>
        <w:t>[R6]  การประเมินผลกระทบต่อสภาพภูมิอากาศของเส้นทางไบโอชาร์ที่เหมาะสมที่สุด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การผสานการพยากรณ์ ML กับข้อมูล LCA (Life-Cycle Assessment): เส้นทางการผลิตใดที่เพิ่มการดักจับ CO₂ ให้สูงสุดในขณะที่ลดการปล่อยก๊าซในระยะการผลิตให้น้อยที่สุด?</w:t>
      </w:r>
    </w:p>
    <w:p>
      <w:pPr>
        <w:spacing w:before="40" w:after="160"/>
        <w:pBdr>
          <w:bottom w:val="single" w:sz="6" w:space="1" w:color="E2E8F0"/>
        </w:pBdr>
      </w:pPr>
    </w:p>
    <w:p>
      <w:pPr>
        <w:pStyle w:val="Heading2"/>
      </w:pPr>
      <w:r>
        <w:t>4.2  เอกสารอ้างอิงทางวิทยาศาสตร์ — โอกาสการวิจัย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[1]  </w:t>
      </w:r>
      <w:r>
        <w:rPr>
          <w:rFonts w:ascii="Arial" w:hAnsi="Arial"/>
          <w:color w:val="475569"/>
          <w:sz w:val="18"/>
        </w:rPr>
        <w:t>Butler, K. T., Davies, D. W., Cartwright, H., Isayev, O., &amp; Walsh, A. (2018). Machine learning for molecular and materials science. Nature, 559(7715), 547–555. https://doi.org/10.1038/s41586-018-0337-2 [R1 — ML ทั่วไปสำหรับชุดข้อมูลคุณสมบัติวัสดุขนาดใหญ่]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[2]  </w:t>
      </w:r>
      <w:r>
        <w:rPr>
          <w:rFonts w:ascii="Arial" w:hAnsi="Arial"/>
          <w:color w:val="475569"/>
          <w:sz w:val="18"/>
        </w:rPr>
        <w:t>Jain, A., Ong, S. P., Hautier, G., et al. (2013). Commentary: The Materials Project: A materials genome approach to accelerating materials innovation. APL Materials, 1(1), 011002. https://doi.org/10.1063/1.4812323 [R1 — ตัวอย่างฐานข้อมูลวัสดุ ML ขนาดใหญ่]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[3]  </w:t>
      </w:r>
      <w:r>
        <w:rPr>
          <w:rFonts w:ascii="Arial" w:hAnsi="Arial"/>
          <w:color w:val="475569"/>
          <w:sz w:val="18"/>
        </w:rPr>
        <w:t>Swain, M. C., &amp; Cole, J. M. (2016). ChemDataExtractor: A toolkit for automated extraction of chemical information from the scientific literature. Journal of Chemical Information and Modeling, 56(10), 1894–1904. https://doi.org/10.1021/acs.jcim.6b00207 [R2 — การขุดข้อมูลเคมีจากวรรณกรรม PDF ด้วย NLP]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[4]  </w:t>
      </w:r>
      <w:r>
        <w:rPr>
          <w:rFonts w:ascii="Arial" w:hAnsi="Arial"/>
          <w:color w:val="475569"/>
          <w:sz w:val="18"/>
        </w:rPr>
        <w:t>Weston, L., Tshitoyan, V., Dagdelen, J., et al. (2019). Named entity recognition and normalization applied to large-scale information extraction from the materials science literature. Journal of Chemical Information and Modeling, 59(9), 3692–3702. https://doi.org/10.1021/acs.jcim.9b00470 [R2 — NLP สำหรับการขุดข้อมูลวัสดุอัตโนมัติ]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[5]  </w:t>
      </w:r>
      <w:r>
        <w:rPr>
          <w:rFonts w:ascii="Arial" w:hAnsi="Arial"/>
          <w:color w:val="475569"/>
          <w:sz w:val="18"/>
        </w:rPr>
        <w:t>Shahriari, B., Swersky, K., Wang, Z., Adams, R. P., &amp; de Freitas, N. (2016). Taking the human out of the loop: A review of Bayesian optimization. Proceedings of the IEEE, 104(1), 148–175. https://doi.org/10.1109/JPROC.2015.2494218 [R3 — Bayesian optimisation สำหรับการออกแบบการทดลอง]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[6]  </w:t>
      </w:r>
      <w:r>
        <w:rPr>
          <w:rFonts w:ascii="Arial" w:hAnsi="Arial"/>
          <w:color w:val="475569"/>
          <w:sz w:val="18"/>
        </w:rPr>
        <w:t>Frazier, P. I. (2018). A tutorial on Bayesian optimization. arXiv preprint arXiv:1807.02811. https://arxiv.org/abs/1807.02811 [R3 — คู่มือ BO สำหรับการค้นพบวัสดุ]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[7]  </w:t>
      </w:r>
      <w:r>
        <w:rPr>
          <w:rFonts w:ascii="Arial" w:hAnsi="Arial"/>
          <w:color w:val="475569"/>
          <w:sz w:val="18"/>
        </w:rPr>
        <w:t>Pan, S. J., &amp; Yang, Q. (2010). A survey on transfer learning. IEEE Transactions on Knowledge and Data Engineering, 22(10), 1345–1359. https://doi.org/10.1109/TKDE.2009.191 [R4 — กรอบทฤษฎี transfer learning ข้ามตระกูลชีวมวล]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[9]  </w:t>
      </w:r>
      <w:r>
        <w:rPr>
          <w:rFonts w:ascii="Arial" w:hAnsi="Arial"/>
          <w:color w:val="475569"/>
          <w:sz w:val="18"/>
        </w:rPr>
        <w:t>Deb, K., Pratap, A., Agarwal, S., &amp; Meyarivan, T. (2002). A fast and elitist multiobjective genetic algorithm: NSGA-II. IEEE Transactions on Evolutionary Computation, 6(2), 182-197. https://doi.org/10.1109/4235.996017 [R5 - Pareto multi-objective optimisation for CO2/BET/yield]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[10]  </w:t>
      </w:r>
      <w:r>
        <w:rPr>
          <w:rFonts w:ascii="Arial" w:hAnsi="Arial"/>
          <w:color w:val="475569"/>
          <w:sz w:val="18"/>
        </w:rPr>
        <w:t>Woolf, D., Amonette, J. E., Street-Perrott, F. A., Lehmann, J., &amp; Joseph, S. (2010). Sustainable biochar to mitigate global climate change. Nature Communications, 1, 56. https://doi.org/10.1038/ncomms1053 [R6 - LCA and climate impact of biochar production routes]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[11]  </w:t>
      </w:r>
      <w:r>
        <w:rPr>
          <w:rFonts w:ascii="Arial" w:hAnsi="Arial"/>
          <w:color w:val="475569"/>
          <w:sz w:val="18"/>
        </w:rPr>
        <w:t>Lehmann, J., &amp; Joseph, S. (Eds.) (2015). Biochar for environmental management: Science, technology and implementation (2nd ed.). Routledge. [R6 - comprehensive biochar reference covering carbon accounting and LCA]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[12]  </w:t>
      </w:r>
      <w:r>
        <w:rPr>
          <w:rFonts w:ascii="Arial" w:hAnsi="Arial"/>
          <w:color w:val="475569"/>
          <w:sz w:val="18"/>
        </w:rPr>
        <w:t>Himanen, L., Geurts, A., Foster, A. S., &amp; Rinke, P. (2019). Data-driven materials science: Status, challenges and perspectives. Advanced Science, 6(21), 1900808. https://doi.org/10.1002/advs.201900808 [R5 - multi-property prediction and cross-property trade-off in materials informatics]</w:t>
      </w:r>
    </w:p>
    <w:p>
      <w:r>
        <w:br w:type="page"/>
      </w:r>
    </w:p>
    <w:p>
      <w:pPr>
        <w:pStyle w:val="Heading1"/>
      </w:pPr>
      <w:r>
        <w:t>5.  วิวัฒนาการสถาปัตยกรรมทางเทคนิค</w:t>
      </w:r>
    </w:p>
    <w:p>
      <w:pPr>
        <w:spacing w:before="40" w:after="160"/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ชั้น</w:t>
            </w:r>
          </w:p>
        </w:tc>
        <w:tc>
          <w:tcPr>
            <w:tcW w:type="dxa" w:w="311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ปัจจุบัน (v1.7)</w:t>
            </w:r>
          </w:p>
        </w:tc>
        <w:tc>
          <w:tcPr>
            <w:tcW w:type="dxa" w:w="3969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เป้าหมาย (ระยะที่ 2)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React + Vite + Tailwind (แบบ static)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React + Vite (เดิม) + GraphQL client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API Layer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ไม่มี (client-side เท่านั้น)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FastAPI (Python) REST + GraphQL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ML Engine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kNN บน static JSON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Scikit-learn + XGBoost + PyTorch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Database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Static JSON bundle (1,396 ระเบียน)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PostgreSQL + pgvector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การขุดข้อมูล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การจัดการด้วยมือ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Apache Airflow + LLM PDF extractor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Auth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ไม่มี (เปิดสาธารณะ)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OAuth 2.0 สำหรับผู้มีส่วนร่วม + admin</w:t>
            </w:r>
          </w:p>
        </w:tc>
      </w:tr>
      <w:tr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Hosting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Static CDN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Docker container + cloud deployment</w:t>
            </w:r>
          </w:p>
        </w:tc>
      </w:tr>
    </w:tbl>
    <w:p>
      <w:pPr>
        <w:spacing w:after="120"/>
      </w:pPr>
    </w:p>
    <w:p>
      <w:pPr>
        <w:pStyle w:val="Heading2"/>
      </w:pPr>
      <w:r>
        <w:t>5.1  ท่อข้อมูล (Data Pipeline)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การรับข้อมูล — ฟีด RSS/API จาก PubMed, Scopus, Web of Science สำหรับบทความไบโอชาร์ใหม่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การดึงข้อมูล — ตัวแยกวิเคราะห์ PDF ด้วย LLM ดึงตารางการทดลอง เงื่อนไข และผลลัพธ์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การตรวจสอบ — การตรวจสอบช่วงทางสถิติ + คิวตรวจสอบโดยมนุษย์สำหรับระเบียนที่ถูกตั้งค่าสถานะ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การเพิ่มข้อมูล — เชื่อมโยง DOI อัตโนมัติ ORCID ผู้แต่ง อนุกรมวิธานชีวมวล และการจัดประเภทการกระตุ้น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การฝึก — การฝึกโมเดล ML ใหม่ทุกคืนเมื่อระเบียนที่ตรวจสอบแล้วเกินเกณฑ์ (50+)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การให้บริการ — โมเดลให้บริการผ่าน FastAPI พร้อมการแคชการพยากรณ์สำหรับการรวมพารามิเตอร์ทั่วไป</w:t>
      </w:r>
    </w:p>
    <w:p>
      <w:r>
        <w:br w:type="page"/>
      </w:r>
    </w:p>
    <w:p>
      <w:pPr>
        <w:pStyle w:val="Heading1"/>
      </w:pPr>
      <w:r>
        <w:t>6.  ความต้องการทรัพยากรและกรอบเวลา</w:t>
      </w:r>
    </w:p>
    <w:p>
      <w:pPr>
        <w:spacing w:before="40" w:after="160"/>
        <w:pBdr>
          <w:bottom w:val="single" w:sz="6" w:space="1" w:color="15803D"/>
        </w:pBdr>
      </w:pPr>
    </w:p>
    <w:p>
      <w:pPr>
        <w:pStyle w:val="Heading2"/>
      </w:pPr>
      <w:r>
        <w:t>6.1  เหตุการณ์สำคัญ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เหตุการณ์สำคัญ</w:t>
            </w:r>
          </w:p>
        </w:tc>
        <w:tc>
          <w:tcPr>
            <w:tcW w:type="dxa" w:w="1417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วันที่เป้าหมาย</w:t>
            </w:r>
          </w:p>
        </w:tc>
        <w:tc>
          <w:tcPr>
            <w:tcW w:type="dxa" w:w="4535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ผลส่งมอบ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M1  เปิดตัว REST API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6</w:t>
            </w:r>
          </w:p>
        </w:tc>
        <w:tc>
          <w:tcPr>
            <w:tcW w:type="dxa" w:w="45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API สาธารณพร้อมการเข้าถึง 1,396 ระเบียนและเอกสาร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M2  อัปเกรด ML แบบ Ensemble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9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Random Forest + XGBoost แทนที่ kNN เดิม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M3  พอร์ทัลส่งข้อมูลผู้ใช้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12</w:t>
            </w:r>
          </w:p>
        </w:tc>
        <w:tc>
          <w:tcPr>
            <w:tcW w:type="dxa" w:w="45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พอร์ทัลผู้มีส่วนร่วมเปิดพร้อมท่อตรวจสอบ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M4  เครื่องขุดอัตโนมัติ (อัลฟ่า)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18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ตัวดึง NLP ประมวลผล 50+ บทความต่อเดือน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M5  ก้าวถึง 5,000 ระเบียน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24</w:t>
            </w:r>
          </w:p>
        </w:tc>
        <w:tc>
          <w:tcPr>
            <w:tcW w:type="dxa" w:w="45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ฟานข้อมูลขยายเป็น 5,000+ ระเบียนที่ตรวจสอบแล้ว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M6  ตัวพยากรณ์หลายคุณสมบัติ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24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การพยากรณ์พร้อมกันสำหรับ 5 คุณสมบัติไบโอชาร์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M7  เครือข่ายพันธมิตรระดับโลก</w:t>
            </w:r>
          </w:p>
        </w:tc>
        <w:tc>
          <w:tcPr>
            <w:tcW w:type="dxa" w:w="1417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30</w:t>
            </w:r>
          </w:p>
        </w:tc>
        <w:tc>
          <w:tcPr>
            <w:tcW w:type="dxa" w:w="45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สถาบัน 3+ แห่งร่วมส่งข้อมูล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M8  การรับรองข้อมูล FAIR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เดือนที่ 36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การปฏิบัติตาม FAIR ครบถ้วนและการตีพิมพ์ข้อมูลเปิด</w:t>
            </w:r>
          </w:p>
        </w:tc>
      </w:tr>
    </w:tbl>
    <w:p>
      <w:pPr>
        <w:spacing w:after="120"/>
      </w:pPr>
    </w:p>
    <w:p>
      <w:pPr>
        <w:pStyle w:val="Heading2"/>
      </w:pPr>
      <w:r>
        <w:t>6.2  เครื่อมือและกรอบงานที่แนะนำ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โดเมน</w:t>
            </w:r>
          </w:p>
        </w:tc>
        <w:tc>
          <w:tcPr>
            <w:tcW w:type="dxa" w:w="6520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เครื่อมือที่แนะนำ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ML / การสร้างแบบจำลอง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Scikit-learn, XGBoost, LightGBM, PyTorch, Optuna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NLP / การขุด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spaCy, Hugging Face Transformers, Grobid, LangChain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ฐานข้อมูล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PostgreSQL + pgvector, Redis, Apache Parquet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Pipeline / การประสานงาน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Apache Airflow, Prefect หรือ Dagster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API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FastAPI (Python), Pydantic, GraphQL (Strawberry)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การแสดงภาพ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Recharts (frontend), Plotly, Seaborn</w:t>
            </w:r>
          </w:p>
        </w:tc>
      </w:tr>
      <w:tr>
        <w:tc>
          <w:tcPr>
            <w:tcW w:type="dxa" w:w="2551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DevOps</w:t>
            </w:r>
          </w:p>
        </w:tc>
        <w:tc>
          <w:tcPr>
            <w:tcW w:type="dxa" w:w="65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Docker, GitHub Actions CI/CD, AWS / GCP / Azure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มาตรฐานข้อมูล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schema.org/Dataset, DataCite, FAIR, Dublin Core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7.  กลยุทธ์การประเมินผู้ใช้และการรับข้อเสนอแนะ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ระยะต่อไปที่สำคัญในการพัฒนา BiocharHub คือการดำเนินการศึกษาประเมินผู้ใช้อย่างเป็นระบบ ครอบคลุมแบบสำรวจ แบบสอบถาม และการสัมภาษณ์เชิงลึก จากผู้ใช้ทุกระดับตั้งแต่นักวิจัยรายบุคคลไปจนถึงผู้ประกอบการเชิงพาณิชย์และนักวิเคราะห์นโยบาย</w:t>
      </w:r>
    </w:p>
    <w:p>
      <w:pPr>
        <w:pStyle w:val="Heading2"/>
      </w:pPr>
      <w:r>
        <w:t>7.1  เหตุผลและพื้นฐานทางวิทยาศาสตร์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Technology Acceptance Model (TAM) [1] ให้กรอบการประเมินที่ได้รับการพิสูจน์แล้วสำหรับวัดการรับรู้ความมีประโยชน์และความง่ายในการใช้งาน System Usability Scale (SUS) [2] ให้แบบสอบถาม 10 ข้อมาตรฐานที่ให้คะแนนความสามารถในการใช้งานรวม (0-100) ซึ่งใช้ประเมินซอฟต์แวร์วิทยาศาสตร์และเครื่องมือ ML</w:t>
      </w:r>
    </w:p>
    <w:p>
      <w:pPr>
        <w:pStyle w:val="Heading2"/>
      </w:pPr>
      <w:r>
        <w:t>7.2  กรอบการประเมินผู้ใช้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ระดับการประเมิน</w:t>
            </w:r>
          </w:p>
        </w:tc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กลุ่มเป้าหมาย</w:t>
            </w:r>
          </w:p>
        </w:tc>
        <w:tc>
          <w:tcPr>
            <w:tcW w:type="dxa" w:w="2835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วิธีการ</w:t>
            </w:r>
          </w:p>
        </w:tc>
        <w:tc>
          <w:tcPr>
            <w:tcW w:type="dxa" w:w="198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ตัวชี้วัดหลัก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ส่วนบุคคล / วิชาการ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นักศึกษาระดับบัณฑิต นักวิจัย อาจารย์</w:t>
            </w:r>
          </w:p>
        </w:tc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แบบสำรวจออนไลน์ (SUS + TAM) + เซสชัน think-aloud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คะแนน SUS อัตราสำเร็จงาน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สถาบัน / ห้องปฏิบัติการ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หัวหน้ากลุ่มวิจัย ผู้จัดการห้องปฏิบัติการ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การสัมภาษณ์กึ่งมีโครงสร้าง (45-60 นาที) + walkthrough สถานการณ์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ความเหมาะสมกับกระบวนการทำงาน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เชิงพาณิชย์ / อุตสาหกรรม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นักวิเคราะห์คาร์บอนเครดิต ผู้ผลิตไบโอชาร์</w:t>
            </w:r>
          </w:p>
        </w:tc>
        <w:tc>
          <w:tcPr>
            <w:tcW w:type="dxa" w:w="2835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แบบสอบถามเชิงโครงสร้าง + กลุ่มเน้น (4-6 คน)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ความสามารถในการนำไปใช้เชิงพาณิชย์ ช่องว่างฟีเจอร์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นโยบาย / ภาครัฐ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หน่วยงานสิ่งแวดล้อม เจ้าหน้าที่ความยั่งยืน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แบบสอบถาม + การสัมภาษณ์เชิงโครงสร้าง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ความน่าเชื่อถือข้อมูล ประโยชน์ด้านกฎระเบียบ</w:t>
            </w:r>
          </w:p>
        </w:tc>
      </w:tr>
    </w:tbl>
    <w:p>
      <w:pPr>
        <w:spacing w:after="120"/>
      </w:pPr>
    </w:p>
    <w:p>
      <w:pPr>
        <w:pStyle w:val="Heading2"/>
      </w:pPr>
      <w:r>
        <w:t>7.3  การออกแบบเครื่องมือสำรวจและแบบสอบถาม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ส่วน A — โปรไฟล์ประชากรศาสตร์และบริบท: บทบาท สาขาวิชา ประสบการณ์การวิจัย ความถี่ในการเขียนโปรแกรม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ส่วน B — System Usability Scale (SUS): มาตรฐาน  10 ข้อพร้อมการตอบสนอง Likert 5 ระดับ ให้คะแนนรวมเปรียบเทียบกับมาตรฐานอุตสาหกรรม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ส่วน C — คำถามความสามารถใช้งานเฉพาะโดเมน: ความแม่นยำของการพยากรณ์ ML ความเป็นประโยชน์ของเครื่องมือแต่ละชุด และข้อเสนอแนะแบบออเป็นข้อความ</w:t>
      </w:r>
    </w:p>
    <w:p>
      <w:pPr>
        <w:pStyle w:val="ListBullet"/>
        <w:spacing w:before="20" w:after="60"/>
        <w:ind w:left="397"/>
      </w:pPr>
      <w:r>
        <w:rPr>
          <w:rFonts w:ascii="Arial" w:hAnsi="Arial"/>
          <w:color w:val="475569"/>
          <w:sz w:val="21"/>
        </w:rPr>
        <w:t>ส่วน D — การจัดอันดับความสำคัญของฟีเจอร์: ผู้เข้าร่วมจัดอันดับ 12 ฟีเจอร์ที่วางแผน (API, ส่วนติดต่อ, รูปแบบการส่งออก) ตามความสำคัญต่อกระบวนการทำงาน</w:t>
      </w:r>
    </w:p>
    <w:p>
      <w:pPr>
        <w:pStyle w:val="Heading2"/>
      </w:pPr>
      <w:r>
        <w:t>7.4  เอกสารอ้างอิง — การประเมินผู้ใช้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[1]  </w:t>
      </w:r>
      <w:r>
        <w:rPr>
          <w:rFonts w:ascii="Arial" w:hAnsi="Arial"/>
          <w:color w:val="475569"/>
          <w:sz w:val="18"/>
        </w:rPr>
        <w:t>Davis, F. D. (1989). Perceived usefulness, perceived ease of use, and user acceptance of information technology. MIS Quarterly, 13(3), 319-340.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[2]  </w:t>
      </w:r>
      <w:r>
        <w:rPr>
          <w:rFonts w:ascii="Arial" w:hAnsi="Arial"/>
          <w:color w:val="475569"/>
          <w:sz w:val="18"/>
        </w:rPr>
        <w:t>Brooke, J. (1996). SUS -- A quick and dirty usability scale. In P. W. Jordan et al. (Eds.), Usability evaluation in industry (pp. 189-194). Taylor &amp; Francis.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[3]  </w:t>
      </w:r>
      <w:r>
        <w:rPr>
          <w:rFonts w:ascii="Arial" w:hAnsi="Arial"/>
          <w:color w:val="475569"/>
          <w:sz w:val="18"/>
        </w:rPr>
        <w:t>DiCicco-Bloom, B., &amp; Crabtree, B. F. (2006). The qualitative research interview. Medical Education, 40(4), 314-321.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[4]  </w:t>
      </w:r>
      <w:r>
        <w:rPr>
          <w:rFonts w:ascii="Arial" w:hAnsi="Arial"/>
          <w:color w:val="475569"/>
          <w:sz w:val="18"/>
        </w:rPr>
        <w:t>Jain, A., Ong, S. P., Hautier, G., et al. (2013). Commentary: The Materials Project. APL Materials, 1(1), 011002.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[5]  </w:t>
      </w:r>
      <w:r>
        <w:rPr>
          <w:rFonts w:ascii="Arial" w:hAnsi="Arial"/>
          <w:color w:val="475569"/>
          <w:sz w:val="18"/>
        </w:rPr>
        <w:t>Braun, V., &amp; Clarke, V. (2006). Using thematic analysis in psychology. Qualitative Research in Psychology, 3(2), 77-101.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[6]  </w:t>
      </w:r>
      <w:r>
        <w:rPr>
          <w:rFonts w:ascii="Arial" w:hAnsi="Arial"/>
          <w:color w:val="475569"/>
          <w:sz w:val="18"/>
        </w:rPr>
        <w:t>Hair, J. F., Ringle, C. M., &amp; Sarstedt, M. (2011). PLS-SEM: Indeed a silver bullet. Journal of Marketing Theory and Practice, 19(2), 139-152.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[7]  </w:t>
      </w:r>
      <w:r>
        <w:rPr>
          <w:rFonts w:ascii="Arial" w:hAnsi="Arial"/>
          <w:color w:val="475569"/>
          <w:sz w:val="18"/>
        </w:rPr>
        <w:t>Nielsen, J. (1994). Usability engineering. Morgan Kaufmann.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[8]  </w:t>
      </w:r>
      <w:r>
        <w:rPr>
          <w:rFonts w:ascii="Arial" w:hAnsi="Arial"/>
          <w:color w:val="475569"/>
          <w:sz w:val="18"/>
        </w:rPr>
        <w:t>Sauro, J., &amp; Lewis, J. R. (2016). Quantifying the user experience (2nd ed.). Morgan Kaufmann.</w:t>
      </w:r>
    </w:p>
    <w:p>
      <w:r>
        <w:br w:type="page"/>
      </w:r>
    </w:p>
    <w:p>
      <w:pPr>
        <w:pStyle w:val="Heading1"/>
      </w:pPr>
      <w:r>
        <w:t>8.  การพัฒนาสื่อและวิดีโอสอน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ระยะต่อไปจะมีการสร้างวิดีโอสอนสั้นแสดงวิธีใช้งาน BiocharHub บน YouTube สร้างเสริมคู่มือออฟไลน์ด้วยเนื้อหาที่เข้าถึงได้ง่ายบนเวทีแบบเปิด Multimedia Learning Theory [11] แสดงให้เห็นว่าวิดีโอบนหน้าจอพร้อมการบรรยายสดให้ความเข้าใจได้ลึกขึ้นผ่าน dual-channel processing</w:t>
      </w:r>
    </w:p>
    <w:p>
      <w:pPr>
        <w:pStyle w:val="Heading2"/>
      </w:pPr>
      <w:r>
        <w:t>8.1  แผนเนื้อหาวิดีโอที่เสนอแนะ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วิดีโอ #</w:t>
            </w:r>
          </w:p>
        </w:tc>
        <w:tc>
          <w:tcPr>
            <w:tcW w:type="dxa" w:w="3969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ชื่อเรื่อง</w:t>
            </w:r>
          </w:p>
        </w:tc>
        <w:tc>
          <w:tcPr>
            <w:tcW w:type="dxa" w:w="1134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ความยาว</w:t>
            </w:r>
          </w:p>
        </w:tc>
        <w:tc>
          <w:tcPr>
            <w:tcW w:type="dxa" w:w="3118"/>
            <w:shd w:val="clear" w:color="auto" w:fill="15803D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กลุ่มเป้าหมาย</w:t>
            </w:r>
          </w:p>
        </w:tc>
      </w:tr>
      <w:tr>
        <w:tc>
          <w:tcPr>
            <w:tcW w:type="dxa" w:w="85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V01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BiocharHub คืออะไร? — ภาพรวมแพลตฟอร์ม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2-3 นาที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ผู้ใช้ทั่วไป / ใหม่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V02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การค้นหาฟานข้อมูล — ฟิลเตอร์ ส่งออก ลิงก์ DOI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3-4 นาที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นักวิจัย / นักศึกษา</w:t>
            </w:r>
          </w:p>
        </w:tc>
      </w:tr>
      <w:tr>
        <w:tc>
          <w:tcPr>
            <w:tcW w:type="dxa" w:w="85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V03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ตัวพยากรณ์ CO2 — คู่มือทีละขั้นตอน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4-5 นาที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ผู้ใช้เครื่องมือ ML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V04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เครื่องมือประเมินคุณสมบัติ — พื้นที่ผิว BET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3-4 นาที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นักวิทยาศาสตร์วัสดุ</w:t>
            </w:r>
          </w:p>
        </w:tc>
      </w:tr>
      <w:tr>
        <w:tc>
          <w:tcPr>
            <w:tcW w:type="dxa" w:w="85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V05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ที่ปรึกษาวัสดุ — ค้นหาเงื่อนไขที่เหมาะสม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4-5 นาที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วิศวกร / นักออกแบบ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V06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ส่งออกรายงาน — ดาวน์โหลดและอ้างอิงผลลัพธ์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2-3 นาที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ผู้ใช้ทั้งหมด</w:t>
            </w:r>
          </w:p>
        </w:tc>
      </w:tr>
      <w:tr>
        <w:tc>
          <w:tcPr>
            <w:tcW w:type="dxa" w:w="85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V07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ความเข้าใจวิทยาศาสตร์ — ไบโอชาร์และการดูดซับ CO2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5-6 นาที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นักศึกษา / ผู้กำหนดนโยบาย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V08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คู่มือครบวงจร — สายสามเครื่องมือ → CO2 → ที่ปรึกษา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6-8 นาที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ผู้ใช้ขั้นสูง / นักวิจัย</w:t>
            </w:r>
          </w:p>
        </w:tc>
      </w:tr>
      <w:tr>
        <w:tc>
          <w:tcPr>
            <w:tcW w:type="dxa" w:w="85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V09</w:t>
            </w:r>
          </w:p>
        </w:tc>
        <w:tc>
          <w:tcPr>
            <w:tcW w:type="dxa" w:w="3969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BiocharHub สำหรับผู้ใช้ภาษาไทย</w:t>
            </w:r>
          </w:p>
        </w:tc>
        <w:tc>
          <w:tcPr>
            <w:tcW w:type="dxa" w:w="113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3-4 นาที</w:t>
            </w:r>
          </w:p>
        </w:tc>
        <w:tc>
          <w:tcPr>
            <w:tcW w:type="dxa" w:w="311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r>
              <w:rPr>
                <w:rFonts w:ascii="Arial" w:hAnsi="Arial"/>
                <w:color w:val="475569"/>
                <w:sz w:val="19"/>
              </w:rPr>
              <w:t>ผู้ใช้ภาษาไทย</w:t>
            </w:r>
          </w:p>
        </w:tc>
      </w:tr>
    </w:tbl>
    <w:p>
      <w:pPr>
        <w:spacing w:after="120"/>
      </w:pPr>
    </w:p>
    <w:p>
      <w:pPr>
        <w:pStyle w:val="Heading2"/>
      </w:pPr>
      <w:r>
        <w:t>8.2  เอกสารอ้างอิง — การเรียนรู้ด้วยสื่อวิดีโอ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[11]  </w:t>
      </w:r>
      <w:r>
        <w:rPr>
          <w:rFonts w:ascii="Arial" w:hAnsi="Arial"/>
          <w:color w:val="475569"/>
          <w:sz w:val="18"/>
        </w:rPr>
        <w:t>Mayer, R. E. (2009). Multimedia learning (2nd ed.). Cambridge University Press.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[12]  </w:t>
      </w:r>
      <w:r>
        <w:rPr>
          <w:rFonts w:ascii="Arial" w:hAnsi="Arial"/>
          <w:color w:val="475569"/>
          <w:sz w:val="18"/>
        </w:rPr>
        <w:t>Guo, P. J., Kim, J., &amp; Rubin, R. (2014). How video production affects student engagement. Proceedings of L@S, 41-50.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[13]  </w:t>
      </w:r>
      <w:r>
        <w:rPr>
          <w:rFonts w:ascii="Arial" w:hAnsi="Arial"/>
          <w:color w:val="475569"/>
          <w:sz w:val="18"/>
        </w:rPr>
        <w:t>Afgan, E., Baker, D., Batut, B., et al. (2018). The Galaxy platform for accessible, reproducible biomedical analyses. Nucleic Acids Research, 46(W1), W537-W544.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[14]  </w:t>
      </w:r>
      <w:r>
        <w:rPr>
          <w:rFonts w:ascii="Arial" w:hAnsi="Arial"/>
          <w:color w:val="475569"/>
          <w:sz w:val="18"/>
        </w:rPr>
        <w:t>Sweller, J. (1988). Cognitive load during problem solving: Effects on learning. Cognitive Science, 12(2), 257-285.</w:t>
      </w:r>
    </w:p>
    <w:p>
      <w:pPr>
        <w:spacing w:before="40" w:after="80"/>
        <w:ind w:left="283"/>
      </w:pPr>
      <w:r>
        <w:rPr>
          <w:rFonts w:ascii="Arial" w:hAnsi="Arial"/>
          <w:b/>
          <w:color w:val="15803D"/>
          <w:sz w:val="18"/>
        </w:rPr>
        <w:t xml:space="preserve">[15]  </w:t>
      </w:r>
      <w:r>
        <w:rPr>
          <w:rFonts w:ascii="Arial" w:hAnsi="Arial"/>
          <w:color w:val="475569"/>
          <w:sz w:val="18"/>
        </w:rPr>
        <w:t>UNESCO (2016). If you don't understand, how can you learn? Policy Paper 24. Paris: UNESCO.</w:t>
      </w:r>
    </w:p>
    <w:p>
      <w:r>
        <w:br w:type="page"/>
      </w:r>
    </w:p>
    <w:p>
      <w:pPr>
        <w:pStyle w:val="Heading1"/>
      </w:pPr>
      <w:r>
        <w:t>9.  บทสรุป</w:t>
      </w:r>
    </w:p>
    <w:p>
      <w:pPr>
        <w:spacing w:before="40" w:after="160"/>
        <w:pBdr>
          <w:bottom w:val="single" w:sz="6" w:space="1" w:color="15803D"/>
        </w:pBdr>
      </w:pP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BiocharHub ได้รับการวางตำแหน่งเพื่อเติบโตจากแพลตฟอร์มสาธิตของวิทยานิพนธ์เดี่ยวไปเป็นแพลตฟอร์มสารสนเทศไบโอชาร์แบบเปิดที่ครอบคลุมที่สุดในโลก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แผนงานสามระยะที่นำเสนอได้รับการสนับสนุนจากชุดข้อมูลปัจจุบันที่ประกอบด้วยระเบียนที่ได้รับการตรวจสอบจำนวน 1,396 รายการ และเป็นแนวทางโดยวิสัยทัศน์สำหรับวิทยาศาสตร์ข้อมูลไบโอชาร์ที่เป็นธรรม อัตโนมัติ และเฮ้ AI</w:t>
      </w:r>
    </w:p>
    <w:p>
      <w:pPr>
        <w:spacing w:before="40" w:after="120"/>
      </w:pPr>
      <w:r>
        <w:rPr>
          <w:rFonts w:ascii="Arial" w:hAnsi="Arial"/>
          <w:b w:val="0"/>
          <w:i w:val="0"/>
          <w:color w:val="475569"/>
          <w:sz w:val="21"/>
        </w:rPr>
        <w:t>กลยุทธ์การประเมินผู้ใช้ (บทที่ 7) และแผนการเผยแพร่สื่อ (บทที่ 8) เป็นส่วนขยายที่เน้นคนเป็นศูนย์กลาง: มั่นใจว่า BiocharHub ไม่เพียงแต่มีความสามารถทางเทคนิค แต่ยังเข้าถึงได้ ใช้งานได้จริง และค้นหาได้โดยผู้ใช้ที่หลากหลายที่สุด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space="1" w:color="CCCCCC"/>
      </w:pBdr>
      <w:jc w:val="center"/>
    </w:pPr>
    <w:r>
      <w:rPr>
        <w:rFonts w:ascii="Arial" w:hAnsi="Arial"/>
        <w:color w:val="475569"/>
        <w:sz w:val="15"/>
      </w:rPr>
      <w:t>BiocharHub  ·  Biochar Informatics &amp; AI Research Platform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15803D"/>
      </w:pBdr>
    </w:pPr>
    <w:r>
      <w:rPr>
        <w:rFonts w:ascii="Arial" w:hAnsi="Arial"/>
        <w:color w:val="475569"/>
        <w:sz w:val="16"/>
      </w:rPr>
      <w:t>BiocharHub Platform  |  แผนพัฒนาและแผนที่นำทางการวิจัย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80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