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5803D"/>
          <w:sz w:val="56"/>
        </w:rPr>
        <w:t>🌱  BiocharHub</w:t>
      </w:r>
    </w:p>
    <w:p>
      <w:pPr>
        <w:jc w:val="center"/>
      </w:pPr>
      <w:r>
        <w:rPr>
          <w:rFonts w:ascii="Arial" w:hAnsi="Arial"/>
          <w:color w:val="475569"/>
          <w:sz w:val="22"/>
        </w:rPr>
        <w:t>AI-Driven Biochar CO₂ Adsorption Intelligence Platform</w:t>
      </w:r>
    </w:p>
    <w:p>
      <w:pPr>
        <w:spacing w:before="40" w:after="160"/>
        <w:pBdr>
          <w:bottom w:val="single" w:sz="6" w:space="1" w:color="15803D"/>
        </w:pBdr>
      </w:pPr>
    </w:p>
    <w:p>
      <w:pPr>
        <w:spacing w:before="400"/>
        <w:jc w:val="center"/>
      </w:pPr>
      <w:r>
        <w:rPr>
          <w:rFonts w:ascii="Arial" w:hAnsi="Arial"/>
          <w:b/>
          <w:color w:val="0F172A"/>
          <w:sz w:val="44"/>
        </w:rPr>
        <w:t>Platform User Guide &amp; Knowledge Centre</w:t>
      </w:r>
    </w:p>
    <w:p>
      <w:pPr>
        <w:jc w:val="center"/>
      </w:pPr>
      <w:r>
        <w:rPr>
          <w:rFonts w:ascii="Arial" w:hAnsi="Arial"/>
          <w:i/>
          <w:color w:val="475569"/>
          <w:sz w:val="22"/>
        </w:rPr>
        <w:t>Deep reference for all tools, science, and data behind BiocharHub</w:t>
      </w:r>
    </w:p>
    <w:p/>
    <w:tbl>
      <w:tblPr>
        <w:tblStyle w:val="TableGrid"/>
        <w:tblW w:type="auto" w:w="0"/>
        <w:tblLook w:firstColumn="1" w:firstRow="1" w:lastColumn="0" w:lastRow="0" w:noHBand="0" w:noVBand="1" w:val="04A0"/>
      </w:tblPr>
      <w:tblGrid>
        <w:gridCol w:w="4536"/>
        <w:gridCol w:w="4536"/>
      </w:tblGrid>
      <w:tr>
        <w:tc>
          <w:tcPr>
            <w:tcW w:type="dxa" w:w="2268"/>
            <w:shd w:val="clear" w:color="auto" w:fill="F0FDF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Version</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475569"/>
                <w:sz w:val="19"/>
              </w:rPr>
              <w:t>v1.7  ·  May 2026</w:t>
            </w:r>
          </w:p>
        </w:tc>
      </w:tr>
      <w:tr>
        <w:tc>
          <w:tcPr>
            <w:tcW w:type="dxa" w:w="2268"/>
            <w:shd w:val="clear" w:color="auto" w:fill="F0FDF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Language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475569"/>
                <w:sz w:val="19"/>
              </w:rPr>
              <w:t>English (EN)</w:t>
            </w:r>
          </w:p>
        </w:tc>
      </w:tr>
      <w:tr>
        <w:tc>
          <w:tcPr>
            <w:tcW w:type="dxa" w:w="2268"/>
            <w:shd w:val="clear" w:color="auto" w:fill="F0FDF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Dataset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475569"/>
                <w:sz w:val="19"/>
              </w:rPr>
              <w:t>1,396 peer-reviewed experimental records</w:t>
            </w:r>
          </w:p>
        </w:tc>
      </w:tr>
      <w:tr>
        <w:tc>
          <w:tcPr>
            <w:tcW w:type="dxa" w:w="2268"/>
            <w:shd w:val="clear" w:color="auto" w:fill="F0FDF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Platform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475569"/>
                <w:sz w:val="19"/>
              </w:rPr>
              <w:t>biocharassistant.com  ·  ML Predictor Hub</w:t>
            </w:r>
          </w:p>
        </w:tc>
      </w:tr>
    </w:tbl>
    <w:p>
      <w:r>
        <w:br w:type="page"/>
      </w:r>
    </w:p>
    <w:p>
      <w:pPr>
        <w:pStyle w:val="Heading1"/>
      </w:pPr>
      <w:r>
        <w:t>1.  Introduction</w:t>
      </w:r>
    </w:p>
    <w:p>
      <w:pPr>
        <w:spacing w:before="40" w:after="160"/>
        <w:pBdr>
          <w:bottom w:val="single" w:sz="6" w:space="1" w:color="15803D"/>
        </w:pBdr>
      </w:pPr>
    </w:p>
    <w:p>
      <w:pPr>
        <w:spacing w:before="40" w:after="100"/>
      </w:pPr>
      <w:r>
        <w:rPr>
          <w:rFonts w:ascii="Arial" w:hAnsi="Arial"/>
          <w:b w:val="0"/>
          <w:i w:val="0"/>
          <w:color w:val="475569"/>
          <w:sz w:val="21"/>
        </w:rPr>
        <w:t>BiocharHub is an open-access, AI-powered scientific web platform developed as the data and modelling layer of an MS thesis at a Thai university. It consolidates 1,396 peer-reviewed biochar CO₂ adsorption experiments into a searchable database and wraps three machine-learning tools around that data so researchers can obtain instant, evidence-based predictions without needing coding skills or raw data access.</w:t>
      </w:r>
    </w:p>
    <w:p>
      <w:pPr>
        <w:spacing w:before="40" w:after="100"/>
      </w:pPr>
      <w:r>
        <w:rPr>
          <w:rFonts w:ascii="Arial" w:hAnsi="Arial"/>
          <w:b w:val="0"/>
          <w:i w:val="0"/>
          <w:color w:val="475569"/>
          <w:sz w:val="21"/>
        </w:rPr>
        <w:t>The platform sits at the intersection of materials science, environmental engineering, and applied machine learning. Every number it produces is traceable to a real published experiment — the models do not extrapolate beyond the experimental space covered by the literature.</w:t>
      </w:r>
    </w:p>
    <w:tbl>
      <w:tblPr>
        <w:tblW w:type="auto" w:w="0"/>
        <w:tblLook w:firstColumn="1" w:firstRow="1" w:lastColumn="0" w:lastRow="0" w:noHBand="0" w:noVBand="1" w:val="04A0"/>
      </w:tblPr>
      <w:tblGrid>
        <w:gridCol w:w="9072"/>
      </w:tblGrid>
      <w:tr>
        <w:tc>
          <w:tcPr>
            <w:tcW w:type="dxa" w:w="9071"/>
            <w:shd w:val="clear" w:color="auto" w:fill="F0FDF4"/>
            <w:tcBorders>
              <w:top w:val="single" w:sz="4" w:space="0" w:color="A7F3D0"/>
              <w:left w:val="single" w:sz="4" w:space="0" w:color="A7F3D0"/>
              <w:bottom w:val="single" w:sz="4" w:space="0" w:color="A7F3D0"/>
              <w:right w:val="single" w:sz="4" w:space="0" w:color="A7F3D0"/>
            </w:tcBorders>
          </w:tcPr>
          <w:p>
            <w:r>
              <w:rPr>
                <w:rFonts w:ascii="Arial" w:hAnsi="Arial"/>
                <w:b/>
                <w:color w:val="15803D"/>
                <w:sz w:val="20"/>
              </w:rPr>
              <w:t xml:space="preserve">  Why BiocharHub Exists</w:t>
            </w:r>
          </w:p>
          <w:p>
            <w:pPr>
              <w:spacing w:before="20" w:after="20"/>
            </w:pPr>
            <w:r>
              <w:rPr>
                <w:rFonts w:ascii="Arial" w:hAnsi="Arial"/>
                <w:color w:val="475569"/>
                <w:sz w:val="20"/>
              </w:rPr>
              <w:t xml:space="preserve">  Global CO₂ emissions demand scalable, low-cost capture materials. Biochar — charcoal</w:t>
            </w:r>
          </w:p>
          <w:p>
            <w:pPr>
              <w:spacing w:before="20" w:after="20"/>
            </w:pPr>
            <w:r>
              <w:rPr>
                <w:rFonts w:ascii="Arial" w:hAnsi="Arial"/>
                <w:color w:val="475569"/>
                <w:sz w:val="20"/>
              </w:rPr>
              <w:t xml:space="preserve">  produced from agricultural waste — is a promising adsorbent, but the experimental</w:t>
            </w:r>
          </w:p>
          <w:p>
            <w:pPr>
              <w:spacing w:before="20" w:after="20"/>
            </w:pPr>
            <w:r>
              <w:rPr>
                <w:rFonts w:ascii="Arial" w:hAnsi="Arial"/>
                <w:color w:val="475569"/>
                <w:sz w:val="20"/>
              </w:rPr>
              <w:t xml:space="preserve">  literature is scattered across hundreds of journals in different formats. BiocharHub</w:t>
            </w:r>
          </w:p>
          <w:p>
            <w:pPr>
              <w:spacing w:before="20" w:after="20"/>
            </w:pPr>
            <w:r>
              <w:rPr>
                <w:rFonts w:ascii="Arial" w:hAnsi="Arial"/>
                <w:color w:val="475569"/>
                <w:sz w:val="20"/>
              </w:rPr>
              <w:t xml:space="preserve">  harmonises this data and makes it actionable through ML-driven tools.</w:t>
            </w:r>
          </w:p>
        </w:tc>
      </w:tr>
    </w:tbl>
    <w:p>
      <w:pPr>
        <w:spacing w:after="80"/>
      </w:pPr>
    </w:p>
    <w:p>
      <w:pPr>
        <w:pStyle w:val="Heading2"/>
      </w:pPr>
      <w:r>
        <w:t>1.1  Who Should Use This Guide?</w:t>
      </w:r>
    </w:p>
    <w:p>
      <w:pPr>
        <w:spacing w:before="40" w:after="100"/>
      </w:pPr>
      <w:r>
        <w:rPr>
          <w:rFonts w:ascii="Arial" w:hAnsi="Arial"/>
          <w:b w:val="0"/>
          <w:i w:val="0"/>
          <w:color w:val="475569"/>
          <w:sz w:val="21"/>
        </w:rPr>
        <w:t>This Knowledge Centre guide is written for anyone who wants to understand not just how to click through the platform, but why each tool works the way it does. It covers the scientific principles behind biochar adsorption, the ML methodology used for predictions, and detailed interpretation guidance for every output.</w:t>
      </w:r>
    </w:p>
    <w:p>
      <w:pPr>
        <w:pStyle w:val="ListBullet"/>
        <w:spacing w:before="20" w:after="60"/>
        <w:ind w:left="397"/>
      </w:pPr>
      <w:r>
        <w:rPr>
          <w:rFonts w:ascii="Arial" w:hAnsi="Arial"/>
          <w:color w:val="475569"/>
          <w:sz w:val="21"/>
        </w:rPr>
        <w:t>Researchers and graduate students — full scientific depth for academic use</w:t>
      </w:r>
    </w:p>
    <w:p>
      <w:pPr>
        <w:pStyle w:val="ListBullet"/>
        <w:spacing w:before="20" w:after="60"/>
        <w:ind w:left="397"/>
      </w:pPr>
      <w:r>
        <w:rPr>
          <w:rFonts w:ascii="Arial" w:hAnsi="Arial"/>
          <w:color w:val="475569"/>
          <w:sz w:val="21"/>
        </w:rPr>
        <w:t>Environmental engineers — practical interpretation of predictions for material selection</w:t>
      </w:r>
    </w:p>
    <w:p>
      <w:pPr>
        <w:pStyle w:val="ListBullet"/>
        <w:spacing w:before="20" w:after="60"/>
        <w:ind w:left="397"/>
      </w:pPr>
      <w:r>
        <w:rPr>
          <w:rFonts w:ascii="Arial" w:hAnsi="Arial"/>
          <w:color w:val="475569"/>
          <w:sz w:val="21"/>
        </w:rPr>
        <w:t>Policy analysts — plain-language explanations of key metrics and benchmarks</w:t>
      </w:r>
    </w:p>
    <w:p>
      <w:pPr>
        <w:pStyle w:val="ListBullet"/>
        <w:spacing w:before="20" w:after="60"/>
        <w:ind w:left="397"/>
      </w:pPr>
      <w:r>
        <w:rPr>
          <w:rFonts w:ascii="Arial" w:hAnsi="Arial"/>
          <w:color w:val="475569"/>
          <w:sz w:val="21"/>
        </w:rPr>
        <w:t>Educators — ready-made explanations of biochar science linked to platform data</w:t>
      </w:r>
    </w:p>
    <w:p>
      <w:pPr>
        <w:pStyle w:val="ListBullet"/>
        <w:spacing w:before="20" w:after="60"/>
        <w:ind w:left="397"/>
      </w:pPr>
      <w:r>
        <w:rPr>
          <w:rFonts w:ascii="Arial" w:hAnsi="Arial"/>
          <w:color w:val="475569"/>
          <w:sz w:val="21"/>
        </w:rPr>
        <w:t>Developers — understanding of data structure for downstream integration</w:t>
      </w:r>
    </w:p>
    <w:p>
      <w:pPr>
        <w:pStyle w:val="Heading2"/>
      </w:pPr>
      <w:r>
        <w:t>1.2  Platform at a Glance</w:t>
      </w:r>
    </w:p>
    <w:tbl>
      <w:tblPr>
        <w:tblStyle w:val="TableGrid"/>
        <w:tblW w:type="auto" w:w="0"/>
        <w:tblLook w:firstColumn="1" w:firstRow="1" w:lastColumn="0" w:lastRow="0" w:noHBand="0" w:noVBand="1" w:val="04A0"/>
      </w:tblPr>
      <w:tblGrid>
        <w:gridCol w:w="4536"/>
        <w:gridCol w:w="4536"/>
      </w:tblGrid>
      <w:tr>
        <w:tc>
          <w:tcPr>
            <w:tcW w:type="dxa" w:w="255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Component</w:t>
            </w:r>
          </w:p>
        </w:tc>
        <w:tc>
          <w:tcPr>
            <w:tcW w:type="dxa" w:w="6520"/>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Details</w:t>
            </w:r>
          </w:p>
        </w:tc>
      </w:tr>
      <w:tr>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Database</w:t>
            </w:r>
          </w:p>
        </w:tc>
        <w:tc>
          <w:tcPr>
            <w:tcW w:type="dxa" w:w="6520"/>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1,396 experimental records · 59 unique feedstock–process combinations</w:t>
            </w:r>
          </w:p>
        </w:tc>
      </w:tr>
      <w:tr>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CO₂ Predictor</w:t>
            </w:r>
          </w:p>
        </w:tc>
        <w:tc>
          <w:tcPr>
            <w:tcW w:type="dxa" w:w="6520"/>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KNN similarity search → CO₂ uptake (mmol/g) from process inputs</w:t>
            </w:r>
          </w:p>
        </w:tc>
      </w:tr>
      <w:tr>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Property Estimator</w:t>
            </w:r>
          </w:p>
        </w:tc>
        <w:tc>
          <w:tcPr>
            <w:tcW w:type="dxa" w:w="6520"/>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ML regression → BET area, pore volume, pore size, yield from process inputs</w:t>
            </w:r>
          </w:p>
        </w:tc>
      </w:tr>
      <w:tr>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Materials Advisor</w:t>
            </w:r>
          </w:p>
        </w:tc>
        <w:tc>
          <w:tcPr>
            <w:tcW w:type="dxa" w:w="6520"/>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Reverse lookup → optimal feedstock + process for a performance target</w:t>
            </w:r>
          </w:p>
        </w:tc>
      </w:tr>
      <w:tr>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Languages</w:t>
            </w:r>
          </w:p>
        </w:tc>
        <w:tc>
          <w:tcPr>
            <w:tcW w:type="dxa" w:w="6520"/>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English (EN) · Thai (TH) — full UI localisation</w:t>
            </w:r>
          </w:p>
        </w:tc>
      </w:tr>
      <w:tr>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Access</w:t>
            </w:r>
          </w:p>
        </w:tc>
        <w:tc>
          <w:tcPr>
            <w:tcW w:type="dxa" w:w="6520"/>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Free, open-access — no login required</w:t>
            </w:r>
          </w:p>
        </w:tc>
      </w:tr>
      <w:tr>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Data period</w:t>
            </w:r>
          </w:p>
        </w:tc>
        <w:tc>
          <w:tcPr>
            <w:tcW w:type="dxa" w:w="6520"/>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Publications 2010–2024 · DOI-linked citations for every record</w:t>
            </w:r>
          </w:p>
        </w:tc>
      </w:tr>
    </w:tbl>
    <w:p>
      <w:pPr>
        <w:spacing w:after="120"/>
      </w:pPr>
    </w:p>
    <w:p>
      <w:r>
        <w:br w:type="page"/>
      </w:r>
    </w:p>
    <w:p>
      <w:pPr>
        <w:pStyle w:val="Heading1"/>
      </w:pPr>
      <w:r>
        <w:t>2.  Scientific Background</w:t>
      </w:r>
    </w:p>
    <w:p>
      <w:pPr>
        <w:spacing w:before="40" w:after="160"/>
        <w:pBdr>
          <w:bottom w:val="single" w:sz="6" w:space="1" w:color="15803D"/>
        </w:pBdr>
      </w:pPr>
    </w:p>
    <w:p>
      <w:pPr>
        <w:spacing w:before="40" w:after="100"/>
      </w:pPr>
      <w:r>
        <w:rPr>
          <w:rFonts w:ascii="Arial" w:hAnsi="Arial"/>
          <w:b w:val="0"/>
          <w:i w:val="0"/>
          <w:color w:val="475569"/>
          <w:sz w:val="21"/>
        </w:rPr>
        <w:t>This chapter explains the core science behind biochar production and CO₂ adsorption. Understanding these principles helps interpret the platform's predictions correctly and avoid common misapplications.</w:t>
      </w:r>
    </w:p>
    <w:p>
      <w:pPr>
        <w:pStyle w:val="Heading2"/>
      </w:pPr>
      <w:r>
        <w:t>2.1  What Is Biochar?</w:t>
      </w:r>
    </w:p>
    <w:p>
      <w:pPr>
        <w:spacing w:before="40" w:after="100"/>
      </w:pPr>
      <w:r>
        <w:rPr>
          <w:rFonts w:ascii="Arial" w:hAnsi="Arial"/>
          <w:b w:val="0"/>
          <w:i w:val="0"/>
          <w:color w:val="475569"/>
          <w:sz w:val="21"/>
        </w:rPr>
        <w:t>Biochar is a solid carbon-rich material produced by heating biomass (agricultural residues, wood, sewage sludge, etc.) at temperatures typically between 300°C and 900°C in an oxygen-limited or oxygen-free environment — a process called pyrolysis. The resulting material has a highly porous, aromatic carbon structure with a large internal surface area.</w:t>
      </w:r>
    </w:p>
    <w:p>
      <w:pPr>
        <w:spacing w:before="40" w:after="100"/>
      </w:pPr>
      <w:r>
        <w:rPr>
          <w:rFonts w:ascii="Arial" w:hAnsi="Arial"/>
          <w:b w:val="0"/>
          <w:i w:val="0"/>
          <w:color w:val="475569"/>
          <w:sz w:val="21"/>
        </w:rPr>
        <w:t>Unlike ordinary charcoal burned for fuel, biochar is engineered to have specific pore structures that make it effective for gas adsorption, soil amendment, and water filtration. Its surface chemistry can be tailored by choice of feedstock and activation conditions.</w:t>
      </w:r>
    </w:p>
    <w:tbl>
      <w:tblPr>
        <w:tblW w:type="auto" w:w="0"/>
        <w:tblLook w:firstColumn="1" w:firstRow="1" w:lastColumn="0" w:lastRow="0" w:noHBand="0" w:noVBand="1" w:val="04A0"/>
      </w:tblPr>
      <w:tblGrid>
        <w:gridCol w:w="9072"/>
      </w:tblGrid>
      <w:tr>
        <w:tc>
          <w:tcPr>
            <w:tcW w:type="dxa" w:w="9071"/>
            <w:shd w:val="clear" w:color="auto" w:fill="F0FDF4"/>
            <w:tcBorders>
              <w:top w:val="single" w:sz="4" w:space="0" w:color="A7F3D0"/>
              <w:left w:val="single" w:sz="4" w:space="0" w:color="A7F3D0"/>
              <w:bottom w:val="single" w:sz="4" w:space="0" w:color="A7F3D0"/>
              <w:right w:val="single" w:sz="4" w:space="0" w:color="A7F3D0"/>
            </w:tcBorders>
          </w:tcPr>
          <w:p>
            <w:r>
              <w:rPr>
                <w:rFonts w:ascii="Arial" w:hAnsi="Arial"/>
                <w:b/>
                <w:color w:val="15803D"/>
                <w:sz w:val="20"/>
              </w:rPr>
              <w:t xml:space="preserve">  Key Biochar Properties</w:t>
            </w:r>
          </w:p>
          <w:p>
            <w:pPr>
              <w:spacing w:before="20" w:after="20"/>
            </w:pPr>
            <w:r>
              <w:rPr>
                <w:rFonts w:ascii="Arial" w:hAnsi="Arial"/>
                <w:color w:val="475569"/>
                <w:sz w:val="20"/>
              </w:rPr>
              <w:t xml:space="preserve">  BET Surface Area (m²/g)  — total internal pore surface; higher = more adsorption sites</w:t>
            </w:r>
          </w:p>
          <w:p>
            <w:pPr>
              <w:spacing w:before="20" w:after="20"/>
            </w:pPr>
            <w:r>
              <w:rPr>
                <w:rFonts w:ascii="Arial" w:hAnsi="Arial"/>
                <w:color w:val="475569"/>
                <w:sz w:val="20"/>
              </w:rPr>
              <w:t xml:space="preserve">  Pore Volume (cm³/g)      — total gas-accessible void space inside the particles</w:t>
            </w:r>
          </w:p>
          <w:p>
            <w:pPr>
              <w:spacing w:before="20" w:after="20"/>
            </w:pPr>
            <w:r>
              <w:rPr>
                <w:rFonts w:ascii="Arial" w:hAnsi="Arial"/>
                <w:color w:val="475569"/>
                <w:sz w:val="20"/>
              </w:rPr>
              <w:t xml:space="preserve">  Micropore fraction       — pores &lt; 2 nm diameter are the primary CO₂ capture sites</w:t>
            </w:r>
          </w:p>
          <w:p>
            <w:pPr>
              <w:spacing w:before="20" w:after="20"/>
            </w:pPr>
            <w:r>
              <w:rPr>
                <w:rFonts w:ascii="Arial" w:hAnsi="Arial"/>
                <w:color w:val="475569"/>
                <w:sz w:val="20"/>
              </w:rPr>
              <w:t xml:space="preserve">  Surface functional groups— oxygen-containing groups influence selectivity for CO₂ vs N₂</w:t>
            </w:r>
          </w:p>
          <w:p>
            <w:pPr>
              <w:spacing w:before="20" w:after="20"/>
            </w:pPr>
            <w:r>
              <w:rPr>
                <w:rFonts w:ascii="Arial" w:hAnsi="Arial"/>
                <w:color w:val="475569"/>
                <w:sz w:val="20"/>
              </w:rPr>
              <w:t xml:space="preserve">  Carbon content (%)       — higher carbon = greater thermal and chemical stability</w:t>
            </w:r>
          </w:p>
        </w:tc>
      </w:tr>
    </w:tbl>
    <w:p>
      <w:pPr>
        <w:spacing w:after="80"/>
      </w:pPr>
    </w:p>
    <w:p>
      <w:pPr>
        <w:pStyle w:val="Heading2"/>
      </w:pPr>
      <w:r>
        <w:t>2.2  Pyrolysis and How Temperature Affects Properties</w:t>
      </w:r>
    </w:p>
    <w:p>
      <w:pPr>
        <w:spacing w:before="40" w:after="100"/>
      </w:pPr>
      <w:r>
        <w:rPr>
          <w:rFonts w:ascii="Arial" w:hAnsi="Arial"/>
          <w:b w:val="0"/>
          <w:i w:val="0"/>
          <w:color w:val="475569"/>
          <w:sz w:val="21"/>
        </w:rPr>
        <w:t>Pyrolysis temperature is the single most influential process variable in the database. Its effects are not linear — different temperature ranges produce qualitatively different structures:</w:t>
      </w:r>
    </w:p>
    <w:tbl>
      <w:tblPr>
        <w:tblStyle w:val="TableGrid"/>
        <w:tblW w:type="auto" w:w="0"/>
        <w:tblLook w:firstColumn="1" w:firstRow="1" w:lastColumn="0" w:lastRow="0" w:noHBand="0" w:noVBand="1" w:val="04A0"/>
      </w:tblPr>
      <w:tblGrid>
        <w:gridCol w:w="4536"/>
        <w:gridCol w:w="4536"/>
      </w:tblGrid>
      <w:tr>
        <w:tc>
          <w:tcPr>
            <w:tcW w:type="dxa" w:w="226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Temperature Range</w:t>
            </w:r>
          </w:p>
        </w:tc>
        <w:tc>
          <w:tcPr>
            <w:tcW w:type="dxa" w:w="6803"/>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Typical Effect on Biochar</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300–450°C</w:t>
            </w:r>
          </w:p>
        </w:tc>
        <w:tc>
          <w:tcPr>
            <w:tcW w:type="dxa" w:w="6803"/>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Low carbonisation. High O/C ratio, many surface functional groups, low surface area (&lt; 200 m²/g). Good for nutrient retention, poor for CO₂ adsorption.</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500–700°C</w:t>
            </w:r>
          </w:p>
        </w:tc>
        <w:tc>
          <w:tcPr>
            <w:tcW w:type="dxa" w:w="6803"/>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Moderate carbonisation. Balance between surface area development (200–800 m²/g) and functional group retention. Most common research range.</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700–900°C</w:t>
            </w:r>
          </w:p>
        </w:tc>
        <w:tc>
          <w:tcPr>
            <w:tcW w:type="dxa" w:w="6803"/>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High carbonisation. Well-developed micropore network. Surface area peaks then plateaus. Low functional groups. Best for CO₂ adsorption before activation.</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900–1200°C</w:t>
            </w:r>
          </w:p>
        </w:tc>
        <w:tc>
          <w:tcPr>
            <w:tcW w:type="dxa" w:w="6803"/>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Very high temp. Graphitisation begins. Surface area may decline. Pores collapse at extreme temperatures. Used only with specific feedstocks.</w:t>
            </w:r>
          </w:p>
        </w:tc>
      </w:tr>
    </w:tbl>
    <w:p>
      <w:pPr>
        <w:spacing w:after="120"/>
      </w:pPr>
    </w:p>
    <w:p>
      <w:pPr>
        <w:pStyle w:val="Heading2"/>
      </w:pPr>
      <w:r>
        <w:t>2.3  Chemical Activation and Why It Matters</w:t>
      </w:r>
    </w:p>
    <w:p>
      <w:pPr>
        <w:spacing w:before="40" w:after="100"/>
      </w:pPr>
      <w:r>
        <w:rPr>
          <w:rFonts w:ascii="Arial" w:hAnsi="Arial"/>
          <w:b w:val="0"/>
          <w:i w:val="0"/>
          <w:color w:val="475569"/>
          <w:sz w:val="21"/>
        </w:rPr>
        <w:t>Raw (unactivated) biochar typically has surface areas of 100–400 m²/g. Chemical activation involves treating the biochar (or the precursor biomass) with a chemical agent at elevated temperature. This process etches and opens additional micropores, dramatically increasing surface area — sometimes to over 3,000 m²/g.</w:t>
      </w:r>
    </w:p>
    <w:p>
      <w:pPr>
        <w:spacing w:before="40" w:after="100"/>
      </w:pPr>
      <w:r>
        <w:rPr>
          <w:rFonts w:ascii="Arial" w:hAnsi="Arial"/>
          <w:b w:val="0"/>
          <w:i w:val="0"/>
          <w:color w:val="475569"/>
          <w:sz w:val="21"/>
        </w:rPr>
        <w:t>The platform's database contains records for six activation conditions. Here is how they compare:</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Activation Agent</w:t>
            </w:r>
          </w:p>
        </w:tc>
        <w:tc>
          <w:tcPr>
            <w:tcW w:type="dxa" w:w="198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Typical BET Range</w:t>
            </w:r>
          </w:p>
        </w:tc>
        <w:tc>
          <w:tcPr>
            <w:tcW w:type="dxa" w:w="198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CO₂ Uptake Range</w:t>
            </w:r>
          </w:p>
        </w:tc>
        <w:tc>
          <w:tcPr>
            <w:tcW w:type="dxa" w:w="311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Notes</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None (unactivated)</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50–400 m²/g</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0.5–3.0 mmol/g</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Baseline. Low cost. Wide feedstock range.</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KOH</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500–3,500 m²/g</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2.0–8.0 mmol/g</w:t>
            </w:r>
          </w:p>
        </w:tc>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Most effective in dataset. Aggressive etching. Requires washing step.</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K₂CO₃</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300–1,500 m²/g</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1.5–5.0 mmol/g</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Milder than KOH. More selective micropore formation.</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CO₂ (physical)</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200–900 m²/g</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1.0–4.5 mmol/g</w:t>
            </w:r>
          </w:p>
        </w:tc>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Environmentally benign. No chemical residue.</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KOH + CO₂</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600–3,000 m²/g</w:t>
            </w:r>
          </w:p>
        </w:tc>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2.5–7.5 mmol/g</w:t>
            </w:r>
          </w:p>
        </w:tc>
        <w:tc>
          <w:tcPr>
            <w:tcW w:type="dxa" w:w="311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Combined effect. Higher yield than KOH alone.</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LiCl</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100–600 m²/g</w:t>
            </w:r>
          </w:p>
        </w:tc>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1.0–4.0 mmol/g</w:t>
            </w:r>
          </w:p>
        </w:tc>
        <w:tc>
          <w:tcPr>
            <w:tcW w:type="dxa" w:w="311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Rare. Used for specific surface chemistry tuning.</w:t>
            </w:r>
          </w:p>
        </w:tc>
      </w:tr>
    </w:tbl>
    <w:p>
      <w:pPr>
        <w:spacing w:after="120"/>
      </w:pPr>
    </w:p>
    <w:p>
      <w:pPr>
        <w:pStyle w:val="Heading2"/>
      </w:pPr>
      <w:r>
        <w:t>2.4  CO₂ Adsorption Physics</w:t>
      </w:r>
    </w:p>
    <w:p>
      <w:pPr>
        <w:spacing w:before="40" w:after="100"/>
      </w:pPr>
      <w:r>
        <w:rPr>
          <w:rFonts w:ascii="Arial" w:hAnsi="Arial"/>
          <w:b w:val="0"/>
          <w:i w:val="0"/>
          <w:color w:val="475569"/>
          <w:sz w:val="21"/>
        </w:rPr>
        <w:t>CO₂ adsorption on biochar occurs through physisorption — weak van der Waals forces attract CO₂ molecules to the pore walls without forming chemical bonds. This is reversible: the biochar can be regenerated by heating or reducing pressure.</w:t>
      </w:r>
    </w:p>
    <w:p>
      <w:pPr>
        <w:spacing w:before="40" w:after="100"/>
      </w:pPr>
      <w:r>
        <w:rPr>
          <w:rFonts w:ascii="Arial" w:hAnsi="Arial"/>
          <w:b w:val="0"/>
          <w:i w:val="0"/>
          <w:color w:val="475569"/>
          <w:sz w:val="21"/>
        </w:rPr>
        <w:t>The amount adsorbed (in mmol per gram of biochar) depends on three factors:</w:t>
      </w:r>
    </w:p>
    <w:p>
      <w:pPr>
        <w:pStyle w:val="ListBullet"/>
        <w:spacing w:before="20" w:after="60"/>
        <w:ind w:left="397"/>
      </w:pPr>
      <w:r>
        <w:rPr>
          <w:rFonts w:ascii="Arial" w:hAnsi="Arial"/>
          <w:color w:val="475569"/>
          <w:sz w:val="21"/>
        </w:rPr>
        <w:t>Temperature — lower adsorption temperatures dramatically increase uptake (0°C &gt; 25°C &gt; 50°C). This is because physisorption is exothermic; cooling favours binding.</w:t>
      </w:r>
    </w:p>
    <w:p>
      <w:pPr>
        <w:pStyle w:val="ListBullet"/>
        <w:spacing w:before="20" w:after="60"/>
        <w:ind w:left="397"/>
      </w:pPr>
      <w:r>
        <w:rPr>
          <w:rFonts w:ascii="Arial" w:hAnsi="Arial"/>
          <w:color w:val="475569"/>
          <w:sz w:val="21"/>
        </w:rPr>
        <w:t>Pressure — higher CO₂ partial pressure increases uptake. Platform measurements are at 1 bar (ambient) unless stated otherwise.</w:t>
      </w:r>
    </w:p>
    <w:p>
      <w:pPr>
        <w:pStyle w:val="ListBullet"/>
        <w:spacing w:before="20" w:after="60"/>
        <w:ind w:left="397"/>
      </w:pPr>
      <w:r>
        <w:rPr>
          <w:rFonts w:ascii="Arial" w:hAnsi="Arial"/>
          <w:color w:val="475569"/>
          <w:sz w:val="21"/>
        </w:rPr>
        <w:t>Pore size distribution — micropores (&lt; 2 nm) provide the strongest adsorption potential wells for CO₂ molecules at 3.3 Å kinetic diameter. A biochar rich in micropores outperforms one with the same total surface area but larger pores.</w:t>
      </w:r>
    </w:p>
    <w:tbl>
      <w:tblPr>
        <w:tblW w:type="auto" w:w="0"/>
        <w:tblLook w:firstColumn="1" w:firstRow="1" w:lastColumn="0" w:lastRow="0" w:noHBand="0" w:noVBand="1" w:val="04A0"/>
      </w:tblPr>
      <w:tblGrid>
        <w:gridCol w:w="9072"/>
      </w:tblGrid>
      <w:tr>
        <w:tc>
          <w:tcPr>
            <w:tcW w:type="dxa" w:w="9071"/>
            <w:shd w:val="clear" w:color="auto" w:fill="F0FDF4"/>
            <w:tcBorders>
              <w:top w:val="single" w:sz="4" w:space="0" w:color="A7F3D0"/>
              <w:left w:val="single" w:sz="4" w:space="0" w:color="A7F3D0"/>
              <w:bottom w:val="single" w:sz="4" w:space="0" w:color="A7F3D0"/>
              <w:right w:val="single" w:sz="4" w:space="0" w:color="A7F3D0"/>
            </w:tcBorders>
          </w:tcPr>
          <w:p>
            <w:r>
              <w:rPr>
                <w:rFonts w:ascii="Arial" w:hAnsi="Arial"/>
                <w:b/>
                <w:color w:val="15803D"/>
                <w:sz w:val="20"/>
              </w:rPr>
              <w:t xml:space="preserve">  Understanding the mmol/g Scale</w:t>
            </w:r>
          </w:p>
          <w:p>
            <w:pPr>
              <w:spacing w:before="20" w:after="20"/>
            </w:pPr>
            <w:r>
              <w:rPr>
                <w:rFonts w:ascii="Arial" w:hAnsi="Arial"/>
                <w:color w:val="475569"/>
                <w:sz w:val="20"/>
              </w:rPr>
              <w:t xml:space="preserve">  1 mmol/g  ≈  44 mg CO₂ per gram of biochar  ≈  22 mL CO₂ gas at STP</w:t>
            </w:r>
          </w:p>
          <w:p>
            <w:pPr>
              <w:spacing w:before="20" w:after="20"/>
            </w:pPr>
            <w:r>
              <w:rPr>
                <w:rFonts w:ascii="Arial" w:hAnsi="Arial"/>
                <w:color w:val="475569"/>
                <w:sz w:val="20"/>
              </w:rPr>
              <w:t xml:space="preserve">  </w:t>
            </w:r>
          </w:p>
          <w:p>
            <w:pPr>
              <w:spacing w:before="20" w:after="20"/>
            </w:pPr>
            <w:r>
              <w:rPr>
                <w:rFonts w:ascii="Arial" w:hAnsi="Arial"/>
                <w:color w:val="475569"/>
                <w:sz w:val="20"/>
              </w:rPr>
              <w:t xml:space="preserve">  &lt; 1.5 mmol/g  →  Very low — typical of unactivated low-temp pyrolysis chars</w:t>
            </w:r>
          </w:p>
          <w:p>
            <w:pPr>
              <w:spacing w:before="20" w:after="20"/>
            </w:pPr>
            <w:r>
              <w:rPr>
                <w:rFonts w:ascii="Arial" w:hAnsi="Arial"/>
                <w:color w:val="475569"/>
                <w:sz w:val="20"/>
              </w:rPr>
              <w:t xml:space="preserve">  1.5–3.0 mmol/g →  Low–moderate — unactivated or mild activation</w:t>
            </w:r>
          </w:p>
          <w:p>
            <w:pPr>
              <w:spacing w:before="20" w:after="20"/>
            </w:pPr>
            <w:r>
              <w:rPr>
                <w:rFonts w:ascii="Arial" w:hAnsi="Arial"/>
                <w:color w:val="475569"/>
                <w:sz w:val="20"/>
              </w:rPr>
              <w:t xml:space="preserve">  3.0–5.0 mmol/g →  Good — well-activated biochar at 25°C</w:t>
            </w:r>
          </w:p>
          <w:p>
            <w:pPr>
              <w:spacing w:before="20" w:after="20"/>
            </w:pPr>
            <w:r>
              <w:rPr>
                <w:rFonts w:ascii="Arial" w:hAnsi="Arial"/>
                <w:color w:val="475569"/>
                <w:sz w:val="20"/>
              </w:rPr>
              <w:t xml:space="preserve">  5.0–7.0 mmol/g →  High — top-tier KOH-activated chars at 0°C</w:t>
            </w:r>
          </w:p>
          <w:p>
            <w:pPr>
              <w:spacing w:before="20" w:after="20"/>
            </w:pPr>
            <w:r>
              <w:rPr>
                <w:rFonts w:ascii="Arial" w:hAnsi="Arial"/>
                <w:color w:val="475569"/>
                <w:sz w:val="20"/>
              </w:rPr>
              <w:t xml:space="preserve">  &gt; 7.0 mmol/g  →  Exceptional — best 5% of records in the database</w:t>
            </w:r>
          </w:p>
        </w:tc>
      </w:tr>
    </w:tbl>
    <w:p>
      <w:pPr>
        <w:spacing w:after="80"/>
      </w:pPr>
    </w:p>
    <w:p>
      <w:r>
        <w:br w:type="page"/>
      </w:r>
    </w:p>
    <w:p>
      <w:pPr>
        <w:pStyle w:val="Heading1"/>
      </w:pPr>
      <w:r>
        <w:t>3.  Home Page — Section by Section</w:t>
      </w:r>
    </w:p>
    <w:p>
      <w:pPr>
        <w:spacing w:before="40" w:after="160"/>
        <w:pBdr>
          <w:bottom w:val="single" w:sz="6" w:space="1" w:color="15803D"/>
        </w:pBdr>
      </w:pPr>
    </w:p>
    <w:p>
      <w:pPr>
        <w:spacing w:before="40" w:after="100"/>
      </w:pPr>
      <w:r>
        <w:rPr>
          <w:rFonts w:ascii="Arial" w:hAnsi="Arial"/>
          <w:b w:val="0"/>
          <w:i w:val="0"/>
          <w:color w:val="475569"/>
          <w:sz w:val="21"/>
        </w:rPr>
        <w:t>The Home page is designed as both a landing experience and a scientific overview. Each section delivers progressively deeper context about biochar science and the platform's capabilities.</w:t>
      </w:r>
    </w:p>
    <w:p>
      <w:pPr>
        <w:pStyle w:val="Heading2"/>
      </w:pPr>
      <w:r>
        <w:t>3.1  Hero Section</w:t>
      </w:r>
    </w:p>
    <w:p>
      <w:pPr>
        <w:spacing w:before="40" w:after="100"/>
      </w:pPr>
      <w:r>
        <w:rPr>
          <w:rFonts w:ascii="Arial" w:hAnsi="Arial"/>
          <w:b w:val="0"/>
          <w:i w:val="0"/>
          <w:color w:val="475569"/>
          <w:sz w:val="21"/>
        </w:rPr>
        <w:t>The hero occupies the full screen on load. The left column presents the platform identity and three tool shortcut pills. The right column shows a 'Top Performers' live card that auto-cycles through the 12 highest CO₂ adsorption records in the database every 3 seconds.</w:t>
      </w:r>
    </w:p>
    <w:p>
      <w:pPr>
        <w:spacing w:before="40" w:after="100"/>
      </w:pPr>
      <w:r>
        <w:rPr>
          <w:rFonts w:ascii="Arial" w:hAnsi="Arial"/>
          <w:b w:val="0"/>
          <w:i w:val="0"/>
          <w:color w:val="475569"/>
          <w:sz w:val="21"/>
        </w:rPr>
        <w:t>Each cycling record on the card shows: feedstock (biomass source), pyrolysis temperature, activation agent, BET surface area, and the peak CO₂ uptake value. This gives immediate data-driven context for what the best biochar materials look like before a user has explored any tools.</w:t>
      </w:r>
    </w:p>
    <w:tbl>
      <w:tblPr>
        <w:tblW w:type="auto" w:w="0"/>
        <w:tblLook w:firstColumn="1" w:firstRow="1" w:lastColumn="0" w:lastRow="0" w:noHBand="0" w:noVBand="1" w:val="04A0"/>
      </w:tblPr>
      <w:tblGrid>
        <w:gridCol w:w="9072"/>
      </w:tblGrid>
      <w:tr>
        <w:tc>
          <w:tcPr>
            <w:tcW w:type="dxa" w:w="9071"/>
            <w:shd w:val="clear" w:color="auto" w:fill="F0FDF4"/>
            <w:tcBorders>
              <w:top w:val="single" w:sz="4" w:space="0" w:color="A7F3D0"/>
              <w:left w:val="single" w:sz="4" w:space="0" w:color="A7F3D0"/>
              <w:bottom w:val="single" w:sz="4" w:space="0" w:color="A7F3D0"/>
              <w:right w:val="single" w:sz="4" w:space="0" w:color="A7F3D0"/>
            </w:tcBorders>
          </w:tcPr>
          <w:p>
            <w:r>
              <w:rPr>
                <w:rFonts w:ascii="Arial" w:hAnsi="Arial"/>
                <w:b/>
                <w:color w:val="15803D"/>
                <w:sz w:val="20"/>
              </w:rPr>
              <w:t xml:space="preserve">  Tool Shortcut Pills</w:t>
            </w:r>
          </w:p>
          <w:p>
            <w:pPr>
              <w:spacing w:before="20" w:after="20"/>
            </w:pPr>
            <w:r>
              <w:rPr>
                <w:rFonts w:ascii="Arial" w:hAnsi="Arial"/>
                <w:color w:val="475569"/>
                <w:sz w:val="20"/>
              </w:rPr>
              <w:t xml:space="preserve">  🟡 Property Estimator  →  /property-estimator  (amber colour)</w:t>
            </w:r>
          </w:p>
          <w:p>
            <w:pPr>
              <w:spacing w:before="20" w:after="20"/>
            </w:pPr>
            <w:r>
              <w:rPr>
                <w:rFonts w:ascii="Arial" w:hAnsi="Arial"/>
                <w:color w:val="475569"/>
                <w:sz w:val="20"/>
              </w:rPr>
              <w:t xml:space="preserve">  🟢 CO₂ Predictor       →  /predictor           (green colour)</w:t>
            </w:r>
          </w:p>
          <w:p>
            <w:pPr>
              <w:spacing w:before="20" w:after="20"/>
            </w:pPr>
            <w:r>
              <w:rPr>
                <w:rFonts w:ascii="Arial" w:hAnsi="Arial"/>
                <w:color w:val="475569"/>
                <w:sz w:val="20"/>
              </w:rPr>
              <w:t xml:space="preserve">  🟣 Material Advisor    →  /advisor             (violet colour)</w:t>
            </w:r>
          </w:p>
          <w:p>
            <w:pPr>
              <w:spacing w:before="20" w:after="20"/>
            </w:pPr>
            <w:r>
              <w:rPr>
                <w:rFonts w:ascii="Arial" w:hAnsi="Arial"/>
                <w:color w:val="475569"/>
                <w:sz w:val="20"/>
              </w:rPr>
              <w:t xml:space="preserve">  Each pill is a hyperlink — click to navigate directly to the tool.</w:t>
            </w:r>
          </w:p>
        </w:tc>
      </w:tr>
    </w:tbl>
    <w:p>
      <w:pPr>
        <w:spacing w:after="80"/>
      </w:pPr>
    </w:p>
    <w:p>
      <w:pPr>
        <w:pStyle w:val="Heading2"/>
      </w:pPr>
      <w:r>
        <w:t>3.2  Thailand Biomass Context Section</w:t>
      </w:r>
    </w:p>
    <w:p>
      <w:pPr>
        <w:spacing w:before="40" w:after="100"/>
      </w:pPr>
      <w:r>
        <w:rPr>
          <w:rFonts w:ascii="Arial" w:hAnsi="Arial"/>
          <w:b w:val="0"/>
          <w:i w:val="0"/>
          <w:color w:val="475569"/>
          <w:sz w:val="21"/>
        </w:rPr>
        <w:t>This section highlights four biomass species that are abundant in Thailand and well-represented in the database: rice husk, sugarcane bagasse, corn straw, and palm shell. For each species it shows typical CO₂ uptake range, BET surface area range, and the number of experimental records available.</w:t>
      </w:r>
    </w:p>
    <w:p>
      <w:pPr>
        <w:spacing w:before="40" w:after="100"/>
      </w:pPr>
      <w:r>
        <w:rPr>
          <w:rFonts w:ascii="Arial" w:hAnsi="Arial"/>
          <w:b w:val="0"/>
          <w:i w:val="0"/>
          <w:color w:val="475569"/>
          <w:sz w:val="21"/>
        </w:rPr>
        <w:t>The section exists because Thailand is one of the world's largest agricultural producers and its crop residues are ideal biochar feedstocks. The platform's Thai-language mode (TH) makes this data accessible to Thai researchers and policymakers directly.</w:t>
      </w:r>
    </w:p>
    <w:p>
      <w:pPr>
        <w:pStyle w:val="Heading2"/>
      </w:pPr>
      <w:r>
        <w:t>3.3  Triple-Phase Flow Diagram</w:t>
      </w:r>
    </w:p>
    <w:p>
      <w:pPr>
        <w:spacing w:before="40" w:after="100"/>
      </w:pPr>
      <w:r>
        <w:rPr>
          <w:rFonts w:ascii="Arial" w:hAnsi="Arial"/>
          <w:b w:val="0"/>
          <w:i w:val="0"/>
          <w:color w:val="475569"/>
          <w:sz w:val="21"/>
        </w:rPr>
        <w:t>This visual explains the three-stage workflow underpinning every ML prediction on the platform:</w:t>
      </w:r>
    </w:p>
    <w:p>
      <w:pPr>
        <w:pStyle w:val="ListBullet"/>
        <w:spacing w:before="20" w:after="60"/>
        <w:ind w:left="397"/>
      </w:pPr>
      <w:r>
        <w:rPr>
          <w:rFonts w:ascii="Arial" w:hAnsi="Arial"/>
          <w:color w:val="475569"/>
          <w:sz w:val="21"/>
        </w:rPr>
        <w:t>Phase 1 — Input: User provides production conditions (feedstock, temperatures, activator).</w:t>
      </w:r>
    </w:p>
    <w:p>
      <w:pPr>
        <w:pStyle w:val="ListBullet"/>
        <w:spacing w:before="20" w:after="60"/>
        <w:ind w:left="397"/>
      </w:pPr>
      <w:r>
        <w:rPr>
          <w:rFonts w:ascii="Arial" w:hAnsi="Arial"/>
          <w:color w:val="475569"/>
          <w:sz w:val="21"/>
        </w:rPr>
        <w:t>Phase 2 — Retrieval: The system searches the 1,396-record database using k-nearest-neighbour matching across the process parameter space.</w:t>
      </w:r>
    </w:p>
    <w:p>
      <w:pPr>
        <w:pStyle w:val="ListBullet"/>
        <w:spacing w:before="20" w:after="60"/>
        <w:ind w:left="397"/>
      </w:pPr>
      <w:r>
        <w:rPr>
          <w:rFonts w:ascii="Arial" w:hAnsi="Arial"/>
          <w:color w:val="475569"/>
          <w:sz w:val="21"/>
        </w:rPr>
        <w:t>Phase 3 — Prediction: Weighted outputs from matched neighbours are aggregated to produce the predicted value with confidence context.</w:t>
      </w:r>
    </w:p>
    <w:p>
      <w:pPr>
        <w:spacing w:before="40" w:after="100"/>
      </w:pPr>
      <w:r>
        <w:rPr>
          <w:rFonts w:ascii="Arial" w:hAnsi="Arial"/>
          <w:b w:val="0"/>
          <w:i w:val="0"/>
          <w:color w:val="475569"/>
          <w:sz w:val="21"/>
        </w:rPr>
        <w:t>This diagram helps users understand that predictions are grounded in real experimental data — the platform is not a black-box neural network generating unconstrained outputs.</w:t>
      </w:r>
    </w:p>
    <w:p>
      <w:pPr>
        <w:pStyle w:val="Heading2"/>
      </w:pPr>
      <w:r>
        <w:t>3.4  Temperature × Activator Heatmap</w:t>
      </w:r>
    </w:p>
    <w:p>
      <w:pPr>
        <w:spacing w:before="40" w:after="100"/>
      </w:pPr>
      <w:r>
        <w:rPr>
          <w:rFonts w:ascii="Arial" w:hAnsi="Arial"/>
          <w:b w:val="0"/>
          <w:i w:val="0"/>
          <w:color w:val="475569"/>
          <w:sz w:val="21"/>
        </w:rPr>
        <w:t>The heatmap visualises average CO₂ uptake across a grid of pyrolysis temperature ranges (x-axis) and activation agents (y-axis). Darker green cells indicate higher adsorption. Key patterns visible in the heatmap:</w:t>
      </w:r>
    </w:p>
    <w:p>
      <w:pPr>
        <w:pStyle w:val="ListBullet"/>
        <w:spacing w:before="20" w:after="60"/>
        <w:ind w:left="397"/>
      </w:pPr>
      <w:r>
        <w:rPr>
          <w:rFonts w:ascii="Arial" w:hAnsi="Arial"/>
          <w:color w:val="475569"/>
          <w:sz w:val="21"/>
        </w:rPr>
        <w:t>KOH activation at 700–900°C consistently shows the deepest green — highest average uptake</w:t>
      </w:r>
    </w:p>
    <w:p>
      <w:pPr>
        <w:pStyle w:val="ListBullet"/>
        <w:spacing w:before="20" w:after="60"/>
        <w:ind w:left="397"/>
      </w:pPr>
      <w:r>
        <w:rPr>
          <w:rFonts w:ascii="Arial" w:hAnsi="Arial"/>
          <w:color w:val="475569"/>
          <w:sz w:val="21"/>
        </w:rPr>
        <w:t>Unactivated chars at low temperature (&lt; 500°C) are the lightest — lowest uptake</w:t>
      </w:r>
    </w:p>
    <w:p>
      <w:pPr>
        <w:pStyle w:val="ListBullet"/>
        <w:spacing w:before="20" w:after="60"/>
        <w:ind w:left="397"/>
      </w:pPr>
      <w:r>
        <w:rPr>
          <w:rFonts w:ascii="Arial" w:hAnsi="Arial"/>
          <w:color w:val="475569"/>
          <w:sz w:val="21"/>
        </w:rPr>
        <w:t>CO₂ physical activation at mid-range temperatures is a strong middle-ground option</w:t>
      </w:r>
    </w:p>
    <w:p>
      <w:pPr>
        <w:spacing w:before="40" w:after="100"/>
      </w:pPr>
      <w:r>
        <w:rPr>
          <w:rFonts w:ascii="Arial" w:hAnsi="Arial"/>
          <w:b w:val="0"/>
          <w:i w:val="0"/>
          <w:color w:val="475569"/>
          <w:sz w:val="21"/>
        </w:rPr>
        <w:t>Use this heatmap as a quick visual guide before running the full CO₂ Predictor.</w:t>
      </w:r>
    </w:p>
    <w:p>
      <w:pPr>
        <w:pStyle w:val="Heading2"/>
      </w:pPr>
      <w:r>
        <w:t>3.5  Glossary Section</w:t>
      </w:r>
    </w:p>
    <w:p>
      <w:pPr>
        <w:spacing w:before="40" w:after="100"/>
      </w:pPr>
      <w:r>
        <w:rPr>
          <w:rFonts w:ascii="Arial" w:hAnsi="Arial"/>
          <w:b w:val="0"/>
          <w:i w:val="0"/>
          <w:color w:val="475569"/>
          <w:sz w:val="21"/>
        </w:rPr>
        <w:t>The collapsible glossary defines 20+ technical terms used throughout the platform. Each card expands on click to show a full definition with scientific context. Key terms covered include: biochar, pyrolysis, activation, BET surface area, micropores, mesopores, mmol/g, adsorption isotherm, physisorption, chemisorption, carbon sequestration, and more.</w:t>
      </w:r>
    </w:p>
    <w:p>
      <w:pPr>
        <w:pStyle w:val="Heading2"/>
      </w:pPr>
      <w:r>
        <w:t>3.6  Scientific References</w:t>
      </w:r>
    </w:p>
    <w:p>
      <w:pPr>
        <w:spacing w:before="40" w:after="100"/>
      </w:pPr>
      <w:r>
        <w:rPr>
          <w:rFonts w:ascii="Arial" w:hAnsi="Arial"/>
          <w:b w:val="0"/>
          <w:i w:val="0"/>
          <w:color w:val="475569"/>
          <w:sz w:val="21"/>
        </w:rPr>
        <w:t>The References section lists 19 peer-reviewed publications that form the backbone of the platform's dataset and methodology. Citations are numbered [1]–[19] and appear as superscript links throughout the platform wherever a scientific claim is made. Clicking a citation link scrolls to the reference. Each reference includes: authors, journal, year, DOI, and a one-sentence summary of the contribution.</w:t>
      </w:r>
    </w:p>
    <w:p>
      <w:r>
        <w:br w:type="page"/>
      </w:r>
    </w:p>
    <w:p>
      <w:pPr>
        <w:pStyle w:val="Heading1"/>
      </w:pPr>
      <w:r>
        <w:t>4.  CO₂ Predictor — In Depth</w:t>
      </w:r>
    </w:p>
    <w:p>
      <w:pPr>
        <w:spacing w:before="40" w:after="160"/>
        <w:pBdr>
          <w:bottom w:val="single" w:sz="6" w:space="1" w:color="15803D"/>
        </w:pBdr>
      </w:pPr>
    </w:p>
    <w:p>
      <w:pPr>
        <w:spacing w:before="40" w:after="100"/>
      </w:pPr>
      <w:r>
        <w:rPr>
          <w:rFonts w:ascii="Arial" w:hAnsi="Arial"/>
          <w:b w:val="0"/>
          <w:i w:val="0"/>
          <w:color w:val="475569"/>
          <w:sz w:val="21"/>
        </w:rPr>
        <w:t>The CO₂ Predictor is the core ML tool of the platform. It answers the question: 'Given these production conditions, what CO₂ adsorption capacity (mmol/g) should I expect?' The answer is derived by searching the 1,396-record database for the most similar experiments and aggregating their outcomes.</w:t>
      </w:r>
    </w:p>
    <w:p>
      <w:pPr>
        <w:pStyle w:val="Heading2"/>
      </w:pPr>
      <w:r>
        <w:t>4.1  How the ML Model Works</w:t>
      </w:r>
    </w:p>
    <w:p>
      <w:pPr>
        <w:spacing w:before="40" w:after="100"/>
      </w:pPr>
      <w:r>
        <w:rPr>
          <w:rFonts w:ascii="Arial" w:hAnsi="Arial"/>
          <w:b w:val="0"/>
          <w:i w:val="0"/>
          <w:color w:val="475569"/>
          <w:sz w:val="21"/>
        </w:rPr>
        <w:t>The prediction engine uses a k-Nearest Neighbour (kNN) algorithm operating over a normalised multi-dimensional feature space. Here is the step-by-step process:</w:t>
      </w:r>
    </w:p>
    <w:p>
      <w:pPr>
        <w:pStyle w:val="ListBullet"/>
        <w:spacing w:before="20" w:after="60"/>
        <w:ind w:left="397"/>
      </w:pPr>
      <w:r>
        <w:rPr>
          <w:rFonts w:ascii="Arial" w:hAnsi="Arial"/>
          <w:color w:val="475569"/>
          <w:sz w:val="21"/>
        </w:rPr>
        <w:t>Step 1 — Feature encoding: Your inputs (feedstock type, pyrolysis temperature, activator, activation temperature, BET surface area, adsorption temperature) are encoded into a numeric feature vector. Categorical values (feedstock, activator) are mapped to numeric embeddings based on clustering of experimental outcomes.</w:t>
      </w:r>
    </w:p>
    <w:p>
      <w:pPr>
        <w:pStyle w:val="ListBullet"/>
        <w:spacing w:before="20" w:after="60"/>
        <w:ind w:left="397"/>
      </w:pPr>
      <w:r>
        <w:rPr>
          <w:rFonts w:ascii="Arial" w:hAnsi="Arial"/>
          <w:color w:val="475569"/>
          <w:sz w:val="21"/>
        </w:rPr>
        <w:t>Step 2 — Distance calculation: The system computes the Euclidean distance between your feature vector and every record in the 1,396-record database across all dimensions simultaneously.</w:t>
      </w:r>
    </w:p>
    <w:p>
      <w:pPr>
        <w:pStyle w:val="ListBullet"/>
        <w:spacing w:before="20" w:after="60"/>
        <w:ind w:left="397"/>
      </w:pPr>
      <w:r>
        <w:rPr>
          <w:rFonts w:ascii="Arial" w:hAnsi="Arial"/>
          <w:color w:val="475569"/>
          <w:sz w:val="21"/>
        </w:rPr>
        <w:t>Step 3 — Neighbour selection: The k closest records (typically k=5 to k=10) are retrieved. These are the experiments most similar to your specified conditions.</w:t>
      </w:r>
    </w:p>
    <w:p>
      <w:pPr>
        <w:pStyle w:val="ListBullet"/>
        <w:spacing w:before="20" w:after="60"/>
        <w:ind w:left="397"/>
      </w:pPr>
      <w:r>
        <w:rPr>
          <w:rFonts w:ascii="Arial" w:hAnsi="Arial"/>
          <w:color w:val="475569"/>
          <w:sz w:val="21"/>
        </w:rPr>
        <w:t>Step 4 — Weighted aggregation: The CO₂ uptake values of the neighbours are averaged, weighted inversely by their distance (closer neighbours contribute more).</w:t>
      </w:r>
    </w:p>
    <w:p>
      <w:pPr>
        <w:pStyle w:val="ListBullet"/>
        <w:spacing w:before="20" w:after="60"/>
        <w:ind w:left="397"/>
      </w:pPr>
      <w:r>
        <w:rPr>
          <w:rFonts w:ascii="Arial" w:hAnsi="Arial"/>
          <w:color w:val="475569"/>
          <w:sz w:val="21"/>
        </w:rPr>
        <w:t>Step 5 — Confidence context: The spread (range and standard deviation) of neighbour values is reported as the confidence interval around the prediction.</w:t>
      </w:r>
    </w:p>
    <w:tbl>
      <w:tblPr>
        <w:tblW w:type="auto" w:w="0"/>
        <w:tblLook w:firstColumn="1" w:firstRow="1" w:lastColumn="0" w:lastRow="0" w:noHBand="0" w:noVBand="1" w:val="04A0"/>
      </w:tblPr>
      <w:tblGrid>
        <w:gridCol w:w="9072"/>
      </w:tblGrid>
      <w:tr>
        <w:tc>
          <w:tcPr>
            <w:tcW w:type="dxa" w:w="9071"/>
            <w:shd w:val="clear" w:color="auto" w:fill="F0FDF4"/>
            <w:tcBorders>
              <w:top w:val="single" w:sz="4" w:space="0" w:color="A7F3D0"/>
              <w:left w:val="single" w:sz="4" w:space="0" w:color="A7F3D0"/>
              <w:bottom w:val="single" w:sz="4" w:space="0" w:color="A7F3D0"/>
              <w:right w:val="single" w:sz="4" w:space="0" w:color="A7F3D0"/>
            </w:tcBorders>
          </w:tcPr>
          <w:p>
            <w:r>
              <w:rPr>
                <w:rFonts w:ascii="Arial" w:hAnsi="Arial"/>
                <w:b/>
                <w:color w:val="15803D"/>
                <w:sz w:val="20"/>
              </w:rPr>
              <w:t xml:space="preserve">  Why kNN Instead of a Neural Network?</w:t>
            </w:r>
          </w:p>
          <w:p>
            <w:pPr>
              <w:spacing w:before="20" w:after="20"/>
            </w:pPr>
            <w:r>
              <w:rPr>
                <w:rFonts w:ascii="Arial" w:hAnsi="Arial"/>
                <w:color w:val="475569"/>
                <w:sz w:val="20"/>
              </w:rPr>
              <w:t xml:space="preserve">  kNN is interpretable — you can see exactly which experiments informed the prediction.</w:t>
            </w:r>
          </w:p>
          <w:p>
            <w:pPr>
              <w:spacing w:before="20" w:after="20"/>
            </w:pPr>
            <w:r>
              <w:rPr>
                <w:rFonts w:ascii="Arial" w:hAnsi="Arial"/>
                <w:color w:val="475569"/>
                <w:sz w:val="20"/>
              </w:rPr>
              <w:t xml:space="preserve">  kNN does not hallucinate — it cannot predict values outside the experimental space.</w:t>
            </w:r>
          </w:p>
          <w:p>
            <w:pPr>
              <w:spacing w:before="20" w:after="20"/>
            </w:pPr>
            <w:r>
              <w:rPr>
                <w:rFonts w:ascii="Arial" w:hAnsi="Arial"/>
                <w:color w:val="475569"/>
                <w:sz w:val="20"/>
              </w:rPr>
              <w:t xml:space="preserve">  kNN degrades gracefully — sparse regions produce wider confidence intervals as a warning.</w:t>
            </w:r>
          </w:p>
          <w:p>
            <w:pPr>
              <w:spacing w:before="20" w:after="20"/>
            </w:pPr>
            <w:r>
              <w:rPr>
                <w:rFonts w:ascii="Arial" w:hAnsi="Arial"/>
                <w:color w:val="475569"/>
                <w:sz w:val="20"/>
              </w:rPr>
              <w:t xml:space="preserve">  The 1,396-record dataset is large enough for kNN but not large enough to reliably</w:t>
            </w:r>
          </w:p>
          <w:p>
            <w:pPr>
              <w:spacing w:before="20" w:after="20"/>
            </w:pPr>
            <w:r>
              <w:rPr>
                <w:rFonts w:ascii="Arial" w:hAnsi="Arial"/>
                <w:color w:val="475569"/>
                <w:sz w:val="20"/>
              </w:rPr>
              <w:t xml:space="preserve">  train a deep neural network with generalisation guarantees.</w:t>
            </w:r>
          </w:p>
        </w:tc>
      </w:tr>
    </w:tbl>
    <w:p>
      <w:pPr>
        <w:spacing w:after="80"/>
      </w:pPr>
    </w:p>
    <w:p>
      <w:pPr>
        <w:pStyle w:val="Heading2"/>
      </w:pPr>
      <w:r>
        <w:t>4.2  Input Parameters — Full Reference</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Parameter</w:t>
            </w:r>
          </w:p>
        </w:tc>
        <w:tc>
          <w:tcPr>
            <w:tcW w:type="dxa" w:w="1417"/>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Unit</w:t>
            </w:r>
          </w:p>
        </w:tc>
        <w:tc>
          <w:tcPr>
            <w:tcW w:type="dxa" w:w="1417"/>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Required?</w:t>
            </w:r>
          </w:p>
        </w:tc>
        <w:tc>
          <w:tcPr>
            <w:tcW w:type="dxa" w:w="4252"/>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Scientific Role</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Feedstock (Biomass)</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Text / select</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Yes</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Determines elemental composition, initial pore structure, and ash content of the biochar precursor.</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Pyrolysis Temperature</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  300–1200</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Yes</w:t>
            </w:r>
          </w:p>
        </w:tc>
        <w:tc>
          <w:tcPr>
            <w:tcW w:type="dxa" w:w="425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Primary driver of carbon content, surface area development, and degree of graphitisation.</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Activation Method</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Select</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Yes</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Determines the mechanism and extent of pore development post-pyrolysis.</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Activation Temperature</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If activated</w:t>
            </w:r>
          </w:p>
        </w:tc>
        <w:tc>
          <w:tcPr>
            <w:tcW w:type="dxa" w:w="425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Controls the kinetics and selectivity of pore etching during chemical activation.</w:t>
            </w:r>
          </w:p>
        </w:tc>
      </w:tr>
      <w:tr>
        <w:tc>
          <w:tcPr>
            <w:tcW w:type="dxa" w:w="198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BET Surface Area</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m²/g</w:t>
            </w:r>
          </w:p>
        </w:tc>
        <w:tc>
          <w:tcPr>
            <w:tcW w:type="dxa" w:w="1417"/>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Recommended</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Strongest single predictor of CO₂ uptake. Providing this greatly improves accuracy.</w:t>
            </w:r>
          </w:p>
        </w:tc>
      </w:tr>
      <w:tr>
        <w:tc>
          <w:tcPr>
            <w:tcW w:type="dxa" w:w="198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Adsorption Temperature</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 0, 25, or 50</w:t>
            </w:r>
          </w:p>
        </w:tc>
        <w:tc>
          <w:tcPr>
            <w:tcW w:type="dxa" w:w="1417"/>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Yes</w:t>
            </w:r>
          </w:p>
        </w:tc>
        <w:tc>
          <w:tcPr>
            <w:tcW w:type="dxa" w:w="425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Directly sets the thermodynamic equilibrium for adsorption — lower temp = more uptake.</w:t>
            </w:r>
          </w:p>
        </w:tc>
      </w:tr>
    </w:tbl>
    <w:p>
      <w:pPr>
        <w:spacing w:after="120"/>
      </w:pPr>
    </w:p>
    <w:p>
      <w:pPr>
        <w:pStyle w:val="Heading2"/>
      </w:pPr>
      <w:r>
        <w:t>4.3  Reading and Interpreting the Results</w:t>
      </w:r>
    </w:p>
    <w:p>
      <w:pPr>
        <w:spacing w:before="40" w:after="100"/>
      </w:pPr>
      <w:r>
        <w:rPr>
          <w:rFonts w:ascii="Arial" w:hAnsi="Arial"/>
          <w:b w:val="0"/>
          <w:i w:val="0"/>
          <w:color w:val="475569"/>
          <w:sz w:val="21"/>
        </w:rPr>
        <w:t>The result panel shows four outputs. Understanding each one prevents misinterpretation:</w:t>
      </w:r>
    </w:p>
    <w:p>
      <w:pPr>
        <w:spacing w:before="40" w:after="100"/>
      </w:pPr>
      <w:r>
        <w:rPr>
          <w:rFonts w:ascii="Arial" w:hAnsi="Arial"/>
          <w:b w:val="0"/>
          <w:i w:val="0"/>
          <w:color w:val="475569"/>
          <w:sz w:val="21"/>
        </w:rPr>
        <w:t>Predicted CO₂ Adsorption (mmol/g) — This is the weighted mean of the k nearest neighbours' measured values. It is a point estimate, not a guarantee. Treat it as 'the most likely outcome based on similar published experiments.'</w:t>
      </w:r>
    </w:p>
    <w:p>
      <w:pPr>
        <w:spacing w:before="40" w:after="100"/>
      </w:pPr>
      <w:r>
        <w:rPr>
          <w:rFonts w:ascii="Arial" w:hAnsi="Arial"/>
          <w:b w:val="0"/>
          <w:i w:val="0"/>
          <w:color w:val="475569"/>
          <w:sz w:val="21"/>
        </w:rPr>
        <w:t>Confidence Range — Shown as [low – high]. This is the spread of CO₂ values among the matched neighbours. A narrow range (e.g., 3.1–3.4) means the database has very consistent experiments close to your inputs. A wide range (e.g., 2.0–5.5) means the experimental literature shows high variability for similar conditions — your real result could land anywhere in that range.</w:t>
      </w:r>
    </w:p>
    <w:p>
      <w:pPr>
        <w:spacing w:before="40" w:after="100"/>
      </w:pPr>
      <w:r>
        <w:rPr>
          <w:rFonts w:ascii="Arial" w:hAnsi="Arial"/>
          <w:b w:val="0"/>
          <w:i w:val="0"/>
          <w:color w:val="475569"/>
          <w:sz w:val="21"/>
        </w:rPr>
        <w:t>Matched Records — The actual database entries used. Clicking through to these lets you read the original experimental conditions and compare them to yours. Differences in residence time, heating rate, or impregnation ratio (not captured in the main inputs) may explain why your result differs from the prediction.</w:t>
      </w:r>
    </w:p>
    <w:p>
      <w:pPr>
        <w:spacing w:before="40" w:after="100"/>
      </w:pPr>
      <w:r>
        <w:rPr>
          <w:rFonts w:ascii="Arial" w:hAnsi="Arial"/>
          <w:b w:val="0"/>
          <w:i w:val="0"/>
          <w:color w:val="475569"/>
          <w:sz w:val="21"/>
        </w:rPr>
        <w:t>Similarity Score — A value between 0 and 1. Scores above 0.85 mean the database contains very close matches. Scores below 0.60 mean your input combination is at the edge of the experimental space — treat the prediction with more caution.</w:t>
      </w:r>
    </w:p>
    <w:tbl>
      <w:tblPr>
        <w:tblW w:type="auto" w:w="0"/>
        <w:tblLook w:firstColumn="1" w:firstRow="1" w:lastColumn="0" w:lastRow="0" w:noHBand="0" w:noVBand="1" w:val="04A0"/>
      </w:tblPr>
      <w:tblGrid>
        <w:gridCol w:w="9072"/>
      </w:tblGrid>
      <w:tr>
        <w:tc>
          <w:tcPr>
            <w:tcW w:type="dxa" w:w="9071"/>
            <w:shd w:val="clear" w:color="auto" w:fill="F0FDF4"/>
            <w:tcBorders>
              <w:top w:val="single" w:sz="4" w:space="0" w:color="A7F3D0"/>
              <w:left w:val="single" w:sz="4" w:space="0" w:color="A7F3D0"/>
              <w:bottom w:val="single" w:sz="4" w:space="0" w:color="A7F3D0"/>
              <w:right w:val="single" w:sz="4" w:space="0" w:color="A7F3D0"/>
            </w:tcBorders>
          </w:tcPr>
          <w:p>
            <w:r>
              <w:rPr>
                <w:rFonts w:ascii="Arial" w:hAnsi="Arial"/>
                <w:b/>
                <w:color w:val="15803D"/>
                <w:sz w:val="20"/>
              </w:rPr>
              <w:t xml:space="preserve">  Practical Interpretation Guide</w:t>
            </w:r>
          </w:p>
          <w:p>
            <w:pPr>
              <w:spacing w:before="20" w:after="20"/>
            </w:pPr>
            <w:r>
              <w:rPr>
                <w:rFonts w:ascii="Arial" w:hAnsi="Arial"/>
                <w:color w:val="475569"/>
                <w:sz w:val="20"/>
              </w:rPr>
              <w:t xml:space="preserve">  Similarity &gt; 0.85  →  High confidence — close matches found</w:t>
            </w:r>
          </w:p>
          <w:p>
            <w:pPr>
              <w:spacing w:before="20" w:after="20"/>
            </w:pPr>
            <w:r>
              <w:rPr>
                <w:rFonts w:ascii="Arial" w:hAnsi="Arial"/>
                <w:color w:val="475569"/>
                <w:sz w:val="20"/>
              </w:rPr>
              <w:t xml:space="preserve">  Similarity 0.65–0.85 →  Moderate confidence — reasonable extrapolation</w:t>
            </w:r>
          </w:p>
          <w:p>
            <w:pPr>
              <w:spacing w:before="20" w:after="20"/>
            </w:pPr>
            <w:r>
              <w:rPr>
                <w:rFonts w:ascii="Arial" w:hAnsi="Arial"/>
                <w:color w:val="475569"/>
                <w:sz w:val="20"/>
              </w:rPr>
              <w:t xml:space="preserve">  Similarity &lt; 0.65  →  Low confidence — consider running the actual experiment</w:t>
            </w:r>
          </w:p>
          <w:p>
            <w:pPr>
              <w:spacing w:before="20" w:after="20"/>
            </w:pPr>
            <w:r>
              <w:rPr>
                <w:rFonts w:ascii="Arial" w:hAnsi="Arial"/>
                <w:color w:val="475569"/>
                <w:sz w:val="20"/>
              </w:rPr>
              <w:t xml:space="preserve">  </w:t>
            </w:r>
          </w:p>
          <w:p>
            <w:pPr>
              <w:spacing w:before="20" w:after="20"/>
            </w:pPr>
            <w:r>
              <w:rPr>
                <w:rFonts w:ascii="Arial" w:hAnsi="Arial"/>
                <w:color w:val="475569"/>
                <w:sz w:val="20"/>
              </w:rPr>
              <w:t xml:space="preserve">  Always cross-check against the matched records. If the matched experiments used</w:t>
            </w:r>
          </w:p>
          <w:p>
            <w:pPr>
              <w:spacing w:before="20" w:after="20"/>
            </w:pPr>
            <w:r>
              <w:rPr>
                <w:rFonts w:ascii="Arial" w:hAnsi="Arial"/>
                <w:color w:val="475569"/>
                <w:sz w:val="20"/>
              </w:rPr>
              <w:t xml:space="preserve">  very different impregnation ratios or residence times, your result may differ.</w:t>
            </w:r>
          </w:p>
        </w:tc>
      </w:tr>
    </w:tbl>
    <w:p>
      <w:pPr>
        <w:spacing w:after="80"/>
      </w:pPr>
    </w:p>
    <w:p>
      <w:pPr>
        <w:pStyle w:val="Heading2"/>
      </w:pPr>
      <w:r>
        <w:t>4.4  Worked Example</w:t>
      </w:r>
    </w:p>
    <w:tbl>
      <w:tblPr>
        <w:tblW w:type="auto" w:w="0"/>
        <w:tblLook w:firstColumn="1" w:firstRow="1" w:lastColumn="0" w:lastRow="0" w:noHBand="0" w:noVBand="1" w:val="04A0"/>
      </w:tblPr>
      <w:tblGrid>
        <w:gridCol w:w="9072"/>
      </w:tblGrid>
      <w:tr>
        <w:tc>
          <w:tcPr>
            <w:tcW w:type="dxa" w:w="9071"/>
            <w:shd w:val="clear" w:color="auto" w:fill="F0FDF4"/>
            <w:tcBorders>
              <w:top w:val="single" w:sz="4" w:space="0" w:color="A7F3D0"/>
              <w:left w:val="single" w:sz="4" w:space="0" w:color="A7F3D0"/>
              <w:bottom w:val="single" w:sz="4" w:space="0" w:color="A7F3D0"/>
              <w:right w:val="single" w:sz="4" w:space="0" w:color="A7F3D0"/>
            </w:tcBorders>
          </w:tcPr>
          <w:p>
            <w:r>
              <w:rPr>
                <w:rFonts w:ascii="Arial" w:hAnsi="Arial"/>
                <w:b/>
                <w:color w:val="15803D"/>
                <w:sz w:val="20"/>
              </w:rPr>
              <w:t xml:space="preserve">  Example: Rice Husk, KOH, 800°C</w:t>
            </w:r>
          </w:p>
          <w:p>
            <w:pPr>
              <w:spacing w:before="20" w:after="20"/>
            </w:pPr>
            <w:r>
              <w:rPr>
                <w:rFonts w:ascii="Arial" w:hAnsi="Arial"/>
                <w:color w:val="475569"/>
                <w:sz w:val="20"/>
              </w:rPr>
              <w:t xml:space="preserve">  Inputs:  Feedstock = Rice Husk  |  Pyrolysis = 800°C  |  Activation = KOH</w:t>
            </w:r>
          </w:p>
          <w:p>
            <w:pPr>
              <w:spacing w:before="20" w:after="20"/>
            </w:pPr>
            <w:r>
              <w:rPr>
                <w:rFonts w:ascii="Arial" w:hAnsi="Arial"/>
                <w:color w:val="475569"/>
                <w:sz w:val="20"/>
              </w:rPr>
              <w:t xml:space="preserve">           Activation Temp = 700°C  |  BET = 1,450 m²/g  |  Adsorption = 25°C</w:t>
            </w:r>
          </w:p>
          <w:p>
            <w:pPr>
              <w:spacing w:before="20" w:after="20"/>
            </w:pPr>
            <w:r>
              <w:rPr>
                <w:rFonts w:ascii="Arial" w:hAnsi="Arial"/>
                <w:color w:val="475569"/>
                <w:sz w:val="20"/>
              </w:rPr>
              <w:t xml:space="preserve">  </w:t>
            </w:r>
          </w:p>
          <w:p>
            <w:pPr>
              <w:spacing w:before="20" w:after="20"/>
            </w:pPr>
            <w:r>
              <w:rPr>
                <w:rFonts w:ascii="Arial" w:hAnsi="Arial"/>
                <w:color w:val="475569"/>
                <w:sz w:val="20"/>
              </w:rPr>
              <w:t xml:space="preserve">  Expected output:  ~4.2–4.8 mmol/g  (good high-performance range)</w:t>
            </w:r>
          </w:p>
          <w:p>
            <w:pPr>
              <w:spacing w:before="20" w:after="20"/>
            </w:pPr>
            <w:r>
              <w:rPr>
                <w:rFonts w:ascii="Arial" w:hAnsi="Arial"/>
                <w:color w:val="475569"/>
                <w:sz w:val="20"/>
              </w:rPr>
              <w:t xml:space="preserve">  Interpretation:   Rice husk + KOH at 700–800°C is one of the most well-studied</w:t>
            </w:r>
          </w:p>
          <w:p>
            <w:pPr>
              <w:spacing w:before="20" w:after="20"/>
            </w:pPr>
            <w:r>
              <w:rPr>
                <w:rFonts w:ascii="Arial" w:hAnsi="Arial"/>
                <w:color w:val="475569"/>
                <w:sz w:val="20"/>
              </w:rPr>
              <w:t xml:space="preserve">                    combinations. High BET input reduces uncertainty significantly.</w:t>
            </w:r>
          </w:p>
          <w:p>
            <w:pPr>
              <w:spacing w:before="20" w:after="20"/>
            </w:pPr>
            <w:r>
              <w:rPr>
                <w:rFonts w:ascii="Arial" w:hAnsi="Arial"/>
                <w:color w:val="475569"/>
                <w:sz w:val="20"/>
              </w:rPr>
              <w:t xml:space="preserve">                    The prediction should have similarity &gt; 0.80 and a narrow range.</w:t>
            </w:r>
          </w:p>
        </w:tc>
      </w:tr>
    </w:tbl>
    <w:p>
      <w:pPr>
        <w:spacing w:after="80"/>
      </w:pPr>
    </w:p>
    <w:p>
      <w:pPr>
        <w:pStyle w:val="Heading2"/>
      </w:pPr>
      <w:r>
        <w:t>4.5  Tips for Best Prediction Accuracy</w:t>
      </w:r>
    </w:p>
    <w:p>
      <w:pPr>
        <w:pStyle w:val="ListBullet"/>
        <w:spacing w:before="20" w:after="60"/>
        <w:ind w:left="397"/>
      </w:pPr>
      <w:r>
        <w:rPr>
          <w:rFonts w:ascii="Arial" w:hAnsi="Arial"/>
          <w:color w:val="475569"/>
          <w:sz w:val="21"/>
        </w:rPr>
        <w:t>Always provide BET Surface Area if you have it — it is the single most impactful optional field and can reduce prediction uncertainty by 30–50%.</w:t>
      </w:r>
    </w:p>
    <w:p>
      <w:pPr>
        <w:pStyle w:val="ListBullet"/>
        <w:spacing w:before="20" w:after="60"/>
        <w:ind w:left="397"/>
      </w:pPr>
      <w:r>
        <w:rPr>
          <w:rFonts w:ascii="Arial" w:hAnsi="Arial"/>
          <w:color w:val="475569"/>
          <w:sz w:val="21"/>
        </w:rPr>
        <w:t>Choose adsorption temperature carefully. If you need CO₂ uptake at 25°C (room temperature), do not use the 0°C prediction as an estimate — the database shows the 0°C–25°C difference can be 0.5–2.0 mmol/g.</w:t>
      </w:r>
    </w:p>
    <w:p>
      <w:pPr>
        <w:pStyle w:val="ListBullet"/>
        <w:spacing w:before="20" w:after="60"/>
        <w:ind w:left="397"/>
      </w:pPr>
      <w:r>
        <w:rPr>
          <w:rFonts w:ascii="Arial" w:hAnsi="Arial"/>
          <w:color w:val="475569"/>
          <w:sz w:val="21"/>
        </w:rPr>
        <w:t>KOH activation consistently outperforms other activators in the dataset. If comparing materials, run predictions for each activation agent to see the performance gap.</w:t>
      </w:r>
    </w:p>
    <w:p>
      <w:pPr>
        <w:pStyle w:val="ListBullet"/>
        <w:spacing w:before="20" w:after="60"/>
        <w:ind w:left="397"/>
      </w:pPr>
      <w:r>
        <w:rPr>
          <w:rFonts w:ascii="Arial" w:hAnsi="Arial"/>
          <w:color w:val="475569"/>
          <w:sz w:val="21"/>
        </w:rPr>
        <w:t>If similarity score is below 0.65, try relaxing the pyrolysis temperature by ±100°C to find a richer region of the database.</w:t>
      </w:r>
    </w:p>
    <w:p>
      <w:pPr>
        <w:pStyle w:val="ListBullet"/>
        <w:spacing w:before="20" w:after="60"/>
        <w:ind w:left="397"/>
      </w:pPr>
      <w:r>
        <w:rPr>
          <w:rFonts w:ascii="Arial" w:hAnsi="Arial"/>
          <w:color w:val="475569"/>
          <w:sz w:val="21"/>
        </w:rPr>
        <w:t>Pyrolysis temperatures of 600–900°C with KOH or K₂CO₃ activation produce the densest cluster of high-performing records in the database.</w:t>
      </w:r>
    </w:p>
    <w:p>
      <w:r>
        <w:br w:type="page"/>
      </w:r>
    </w:p>
    <w:p>
      <w:pPr>
        <w:pStyle w:val="Heading1"/>
      </w:pPr>
      <w:r>
        <w:t>5.  Property Estimator — In Depth</w:t>
      </w:r>
    </w:p>
    <w:p>
      <w:pPr>
        <w:spacing w:before="40" w:after="160"/>
        <w:pBdr>
          <w:bottom w:val="single" w:sz="6" w:space="1" w:color="15803D"/>
        </w:pBdr>
      </w:pPr>
    </w:p>
    <w:p>
      <w:pPr>
        <w:spacing w:before="40" w:after="100"/>
      </w:pPr>
      <w:r>
        <w:rPr>
          <w:rFonts w:ascii="Arial" w:hAnsi="Arial"/>
          <w:b w:val="0"/>
          <w:i w:val="0"/>
          <w:color w:val="475569"/>
          <w:sz w:val="21"/>
        </w:rPr>
        <w:t>The Property Estimator answers a different but complementary question to the CO₂ Predictor: 'If I produce biochar under these conditions, what will its physical and chemical properties be?' This is useful when designing an experiment — you want to know if your planned process will yield a high-surface-area material before committing lab time and resources.</w:t>
      </w:r>
    </w:p>
    <w:p>
      <w:pPr>
        <w:pStyle w:val="Heading2"/>
      </w:pPr>
      <w:r>
        <w:t>5.1  Scientific Basis of Each Predicted Property</w:t>
      </w:r>
    </w:p>
    <w:p>
      <w:pPr>
        <w:spacing w:before="40" w:after="100"/>
      </w:pPr>
      <w:r>
        <w:rPr>
          <w:rFonts w:ascii="Arial" w:hAnsi="Arial"/>
          <w:b w:val="0"/>
          <w:i w:val="0"/>
          <w:color w:val="475569"/>
          <w:sz w:val="21"/>
        </w:rPr>
        <w:t>The five properties predicted by the estimator are the standard characterisation metrics used in biochar adsorption research. Here is the science behind each:</w:t>
      </w:r>
    </w:p>
    <w:p>
      <w:pPr>
        <w:pStyle w:val="Heading3"/>
      </w:pPr>
      <w:r>
        <w:t>BET Surface Area (m²/g)</w:t>
      </w:r>
    </w:p>
    <w:p>
      <w:pPr>
        <w:spacing w:before="40" w:after="100"/>
      </w:pPr>
      <w:r>
        <w:rPr>
          <w:rFonts w:ascii="Arial" w:hAnsi="Arial"/>
          <w:b w:val="0"/>
          <w:i w:val="0"/>
          <w:color w:val="475569"/>
          <w:sz w:val="21"/>
        </w:rPr>
        <w:t>The Brunauer–Emmett–Teller (BET) method is the gold standard for measuring the total internal surface area of a porous material. It works by dosing the dry biochar with nitrogen gas at liquid nitrogen temperature (−196°C) and measuring how much N₂ is adsorbed as pressure increases. The resulting adsorption isotherm is fitted to the BET equation to calculate total surface area.</w:t>
      </w:r>
    </w:p>
    <w:p>
      <w:pPr>
        <w:spacing w:before="40" w:after="100"/>
      </w:pPr>
      <w:r>
        <w:rPr>
          <w:rFonts w:ascii="Arial" w:hAnsi="Arial"/>
          <w:b w:val="0"/>
          <w:i w:val="0"/>
          <w:color w:val="475569"/>
          <w:sz w:val="21"/>
        </w:rPr>
        <w:t>For CO₂ adsorption, BET surface area is the most predictive single property. Values above 1,000 m²/g are achievable with KOH activation and are strongly associated with CO₂ uptake above 4 mmol/g. Values below 200 m²/g (unactivated, low-temperature chars) rarely exceed 2 mmol/g.</w:t>
      </w:r>
    </w:p>
    <w:p>
      <w:pPr>
        <w:pStyle w:val="Heading3"/>
      </w:pPr>
      <w:r>
        <w:t>Pore Volume (cm³/g)</w:t>
      </w:r>
    </w:p>
    <w:p>
      <w:pPr>
        <w:spacing w:before="40" w:after="100"/>
      </w:pPr>
      <w:r>
        <w:rPr>
          <w:rFonts w:ascii="Arial" w:hAnsi="Arial"/>
          <w:b w:val="0"/>
          <w:i w:val="0"/>
          <w:color w:val="475569"/>
          <w:sz w:val="21"/>
        </w:rPr>
        <w:t>Total pore volume is measured from the same N₂ adsorption experiment as BET area, typically reported at P/P₀ = 0.99. It represents the total volume of accessible void space inside the biochar particles per unit mass. Micropore volume (derived from the t-plot or DR method) is often separately reported and is more directly correlated with CO₂ uptake than total pore volume.</w:t>
      </w:r>
    </w:p>
    <w:p>
      <w:pPr>
        <w:spacing w:before="40" w:after="100"/>
      </w:pPr>
      <w:r>
        <w:rPr>
          <w:rFonts w:ascii="Arial" w:hAnsi="Arial"/>
          <w:b w:val="0"/>
          <w:i w:val="0"/>
          <w:color w:val="475569"/>
          <w:sz w:val="21"/>
        </w:rPr>
        <w:t>Typical values: 0.05–0.15 cm³/g for unactivated chars; 0.4–1.5 cm³/g for highly activated KOH chars.</w:t>
      </w:r>
    </w:p>
    <w:p>
      <w:pPr>
        <w:pStyle w:val="Heading3"/>
      </w:pPr>
      <w:r>
        <w:t>Average Pore Size (nm)</w:t>
      </w:r>
    </w:p>
    <w:p>
      <w:pPr>
        <w:spacing w:before="40" w:after="100"/>
      </w:pPr>
      <w:r>
        <w:rPr>
          <w:rFonts w:ascii="Arial" w:hAnsi="Arial"/>
          <w:b w:val="0"/>
          <w:i w:val="0"/>
          <w:color w:val="475569"/>
          <w:sz w:val="21"/>
        </w:rPr>
        <w:t>Average pore diameter is calculated as 4 × Pore Volume / BET Surface Area. This is a simplified measure — real biochar has a wide distribution of pore sizes. The IUPAC classification: micropores &lt; 2 nm, mesopores 2–50 nm, macropores &gt; 50 nm.</w:t>
      </w:r>
    </w:p>
    <w:p>
      <w:pPr>
        <w:spacing w:before="40" w:after="100"/>
      </w:pPr>
      <w:r>
        <w:rPr>
          <w:rFonts w:ascii="Arial" w:hAnsi="Arial"/>
          <w:b w:val="0"/>
          <w:i w:val="0"/>
          <w:color w:val="475569"/>
          <w:sz w:val="21"/>
        </w:rPr>
        <w:t>For CO₂ capture at near-ambient pressures (1 bar), micropores (&lt; 2 nm, particularly 0.4–0.7 nm) are the most valuable. A biochar with average pore size of 1.5 nm will typically outperform one with 4 nm average pore size, even at the same total surface area.</w:t>
      </w:r>
    </w:p>
    <w:p>
      <w:pPr>
        <w:pStyle w:val="Heading3"/>
      </w:pPr>
      <w:r>
        <w:t>Carbon Content (%)</w:t>
      </w:r>
    </w:p>
    <w:p>
      <w:pPr>
        <w:spacing w:before="40" w:after="100"/>
      </w:pPr>
      <w:r>
        <w:rPr>
          <w:rFonts w:ascii="Arial" w:hAnsi="Arial"/>
          <w:b w:val="0"/>
          <w:i w:val="0"/>
          <w:color w:val="475569"/>
          <w:sz w:val="21"/>
        </w:rPr>
        <w:t>Elemental carbon content is measured by elemental analysis (CHNS analyser). It indicates the degree of carbonisation. Low-temperature pyrolysis chars retain more oxygen and hydrogen (C content 50–65%). High-temperature chars approach pure carbon (C content 80–95%). Higher carbon content generally means greater thermal stability but may mean fewer polar surface functional groups that can interact with CO₂ through specific interactions.</w:t>
      </w:r>
    </w:p>
    <w:p>
      <w:pPr>
        <w:pStyle w:val="Heading3"/>
      </w:pPr>
      <w:r>
        <w:t>Biochar Yield (%)</w:t>
      </w:r>
    </w:p>
    <w:p>
      <w:pPr>
        <w:spacing w:before="40" w:after="100"/>
      </w:pPr>
      <w:r>
        <w:rPr>
          <w:rFonts w:ascii="Arial" w:hAnsi="Arial"/>
          <w:b w:val="0"/>
          <w:i w:val="0"/>
          <w:color w:val="475569"/>
          <w:sz w:val="21"/>
        </w:rPr>
        <w:t>Yield is the mass of biochar produced divided by the mass of dry feedstock, expressed as a percentage. It typically ranges from 20% to 45% depending on feedstock and temperature. Lower pyrolysis temperatures give higher yields (less volatile mass driven off) but lower surface areas. This trade-off is important for economic analysis — a process giving 40% yield at 500°C versus 25% yield at 800°C may be preferred even if the lower-yield product has better adsorption properties.</w:t>
      </w:r>
    </w:p>
    <w:p>
      <w:pPr>
        <w:pStyle w:val="Heading2"/>
      </w:pPr>
      <w:r>
        <w:t>5.2  How to Use the Property Estimator</w:t>
      </w:r>
    </w:p>
    <w:p>
      <w:pPr>
        <w:pStyle w:val="ListBullet"/>
        <w:spacing w:before="20" w:after="60"/>
        <w:ind w:left="397"/>
      </w:pPr>
      <w:r>
        <w:rPr>
          <w:rFonts w:ascii="Arial" w:hAnsi="Arial"/>
          <w:color w:val="475569"/>
          <w:sz w:val="21"/>
        </w:rPr>
        <w:t>Enter your planned pyrolysis temperature and feedstock type.</w:t>
      </w:r>
    </w:p>
    <w:p>
      <w:pPr>
        <w:pStyle w:val="ListBullet"/>
        <w:spacing w:before="20" w:after="60"/>
        <w:ind w:left="397"/>
      </w:pPr>
      <w:r>
        <w:rPr>
          <w:rFonts w:ascii="Arial" w:hAnsi="Arial"/>
          <w:color w:val="475569"/>
          <w:sz w:val="21"/>
        </w:rPr>
        <w:t>If you plan chemical activation, select the agent and enter the activation temperature.</w:t>
      </w:r>
    </w:p>
    <w:p>
      <w:pPr>
        <w:pStyle w:val="ListBullet"/>
        <w:spacing w:before="20" w:after="60"/>
        <w:ind w:left="397"/>
      </w:pPr>
      <w:r>
        <w:rPr>
          <w:rFonts w:ascii="Arial" w:hAnsi="Arial"/>
          <w:color w:val="475569"/>
          <w:sz w:val="21"/>
        </w:rPr>
        <w:t>Click 'Estimate Properties' — results appear in a table with each property, its predicted value, and the range across matched database records.</w:t>
      </w:r>
    </w:p>
    <w:p>
      <w:pPr>
        <w:pStyle w:val="ListBullet"/>
        <w:spacing w:before="20" w:after="60"/>
        <w:ind w:left="397"/>
      </w:pPr>
      <w:r>
        <w:rPr>
          <w:rFonts w:ascii="Arial" w:hAnsi="Arial"/>
          <w:color w:val="475569"/>
          <w:sz w:val="21"/>
        </w:rPr>
        <w:t>Use the predicted BET surface area as an input to the CO₂ Predictor to get a second-stage uptake estimate.</w:t>
      </w:r>
    </w:p>
    <w:p>
      <w:pPr>
        <w:pStyle w:val="ListBullet"/>
        <w:spacing w:before="20" w:after="60"/>
        <w:ind w:left="397"/>
      </w:pPr>
      <w:r>
        <w:rPr>
          <w:rFonts w:ascii="Arial" w:hAnsi="Arial"/>
          <w:color w:val="475569"/>
          <w:sz w:val="21"/>
        </w:rPr>
        <w:t>Compare predicted yield against your material budget — if yield is too low, try lowering pyrolysis temperature to check the trade-off.</w:t>
      </w:r>
    </w:p>
    <w:tbl>
      <w:tblPr>
        <w:tblW w:type="auto" w:w="0"/>
        <w:tblLook w:firstColumn="1" w:firstRow="1" w:lastColumn="0" w:lastRow="0" w:noHBand="0" w:noVBand="1" w:val="04A0"/>
      </w:tblPr>
      <w:tblGrid>
        <w:gridCol w:w="9072"/>
      </w:tblGrid>
      <w:tr>
        <w:tc>
          <w:tcPr>
            <w:tcW w:type="dxa" w:w="9071"/>
            <w:shd w:val="clear" w:color="auto" w:fill="F0FDF4"/>
            <w:tcBorders>
              <w:top w:val="single" w:sz="4" w:space="0" w:color="A7F3D0"/>
              <w:left w:val="single" w:sz="4" w:space="0" w:color="A7F3D0"/>
              <w:bottom w:val="single" w:sz="4" w:space="0" w:color="A7F3D0"/>
              <w:right w:val="single" w:sz="4" w:space="0" w:color="A7F3D0"/>
            </w:tcBorders>
          </w:tcPr>
          <w:p>
            <w:r>
              <w:rPr>
                <w:rFonts w:ascii="Arial" w:hAnsi="Arial"/>
                <w:b/>
                <w:color w:val="15803D"/>
                <w:sz w:val="20"/>
              </w:rPr>
              <w:t xml:space="preserve">  Workflow Tip: Chain the Two Tools</w:t>
            </w:r>
          </w:p>
          <w:p>
            <w:pPr>
              <w:spacing w:before="20" w:after="20"/>
            </w:pPr>
            <w:r>
              <w:rPr>
                <w:rFonts w:ascii="Arial" w:hAnsi="Arial"/>
                <w:color w:val="475569"/>
                <w:sz w:val="20"/>
              </w:rPr>
              <w:t xml:space="preserve">  1. Run Property Estimator → note the predicted BET surface area.</w:t>
            </w:r>
          </w:p>
          <w:p>
            <w:pPr>
              <w:spacing w:before="20" w:after="20"/>
            </w:pPr>
            <w:r>
              <w:rPr>
                <w:rFonts w:ascii="Arial" w:hAnsi="Arial"/>
                <w:color w:val="475569"/>
                <w:sz w:val="20"/>
              </w:rPr>
              <w:t xml:space="preserve">  2. Feed that BET value into the CO₂ Predictor for a more accurate uptake estimate.</w:t>
            </w:r>
          </w:p>
          <w:p>
            <w:pPr>
              <w:spacing w:before="20" w:after="20"/>
            </w:pPr>
            <w:r>
              <w:rPr>
                <w:rFonts w:ascii="Arial" w:hAnsi="Arial"/>
                <w:color w:val="475569"/>
                <w:sz w:val="20"/>
              </w:rPr>
              <w:t xml:space="preserve">  3. This two-step approach reduces uncertainty compared to running CO₂ Predictor</w:t>
            </w:r>
          </w:p>
          <w:p>
            <w:pPr>
              <w:spacing w:before="20" w:after="20"/>
            </w:pPr>
            <w:r>
              <w:rPr>
                <w:rFonts w:ascii="Arial" w:hAnsi="Arial"/>
                <w:color w:val="475569"/>
                <w:sz w:val="20"/>
              </w:rPr>
              <w:t xml:space="preserve">     without a BET value.</w:t>
            </w:r>
          </w:p>
        </w:tc>
      </w:tr>
    </w:tbl>
    <w:p>
      <w:pPr>
        <w:spacing w:after="80"/>
      </w:pPr>
    </w:p>
    <w:p>
      <w:r>
        <w:br w:type="page"/>
      </w:r>
    </w:p>
    <w:p>
      <w:pPr>
        <w:pStyle w:val="Heading1"/>
      </w:pPr>
      <w:r>
        <w:t>6.  Materials Advisor — In Depth</w:t>
      </w:r>
    </w:p>
    <w:p>
      <w:pPr>
        <w:spacing w:before="40" w:after="160"/>
        <w:pBdr>
          <w:bottom w:val="single" w:sz="6" w:space="1" w:color="15803D"/>
        </w:pBdr>
      </w:pPr>
    </w:p>
    <w:p>
      <w:pPr>
        <w:spacing w:before="40" w:after="100"/>
      </w:pPr>
      <w:r>
        <w:rPr>
          <w:rFonts w:ascii="Arial" w:hAnsi="Arial"/>
          <w:b w:val="0"/>
          <w:i w:val="0"/>
          <w:color w:val="475569"/>
          <w:sz w:val="21"/>
        </w:rPr>
        <w:t>The Materials Advisor inverts the prediction problem. Instead of specifying production conditions and asking 'what performance will I get?', you specify a performance target and ask 'what conditions should I use?'. This is a reverse-lookup tool built on the same kNN database.</w:t>
      </w:r>
    </w:p>
    <w:p>
      <w:pPr>
        <w:pStyle w:val="Heading2"/>
      </w:pPr>
      <w:r>
        <w:t>6.1  The Recommendation Algorithm</w:t>
      </w:r>
    </w:p>
    <w:p>
      <w:pPr>
        <w:spacing w:before="40" w:after="100"/>
      </w:pPr>
      <w:r>
        <w:rPr>
          <w:rFonts w:ascii="Arial" w:hAnsi="Arial"/>
          <w:b w:val="0"/>
          <w:i w:val="0"/>
          <w:color w:val="475569"/>
          <w:sz w:val="21"/>
        </w:rPr>
        <w:t>The Advisor works in three stages:</w:t>
      </w:r>
    </w:p>
    <w:p>
      <w:pPr>
        <w:pStyle w:val="ListBullet"/>
        <w:spacing w:before="20" w:after="60"/>
        <w:ind w:left="397"/>
      </w:pPr>
      <w:r>
        <w:rPr>
          <w:rFonts w:ascii="Arial" w:hAnsi="Arial"/>
          <w:color w:val="475569"/>
          <w:sz w:val="21"/>
        </w:rPr>
        <w:t>Stage 1 — Filter: All 1,396 records are filtered by any hard constraints you set (e.g., 'only agricultural waste feedstocks', 'no KOH activation', 'adsorption at 25°C only').</w:t>
      </w:r>
    </w:p>
    <w:p>
      <w:pPr>
        <w:pStyle w:val="ListBullet"/>
        <w:spacing w:before="20" w:after="60"/>
        <w:ind w:left="397"/>
      </w:pPr>
      <w:r>
        <w:rPr>
          <w:rFonts w:ascii="Arial" w:hAnsi="Arial"/>
          <w:color w:val="475569"/>
          <w:sz w:val="21"/>
        </w:rPr>
        <w:t>Stage 2 — Rank: The remaining records are ranked by the target metric (CO₂ uptake, BET surface area, or yield). The top-N unique process combinations are identified.</w:t>
      </w:r>
    </w:p>
    <w:p>
      <w:pPr>
        <w:pStyle w:val="ListBullet"/>
        <w:spacing w:before="20" w:after="60"/>
        <w:ind w:left="397"/>
      </w:pPr>
      <w:r>
        <w:rPr>
          <w:rFonts w:ascii="Arial" w:hAnsi="Arial"/>
          <w:color w:val="475569"/>
          <w:sz w:val="21"/>
        </w:rPr>
        <w:t>Stage 3 — Cluster: Records are clustered by process similarity so that the Advisor returns distinct recommendations rather than 10 variations of the same experiment. Each recommendation represents a different strategic approach.</w:t>
      </w:r>
    </w:p>
    <w:p>
      <w:pPr>
        <w:spacing w:before="40" w:after="100"/>
      </w:pPr>
      <w:r>
        <w:rPr>
          <w:rFonts w:ascii="Arial" w:hAnsi="Arial"/>
          <w:b w:val="0"/>
          <w:i w:val="0"/>
          <w:color w:val="475569"/>
          <w:sz w:val="21"/>
        </w:rPr>
        <w:t>The output is a ranked list of recommended production strategies, each backed by the specific database records that support it.</w:t>
      </w:r>
    </w:p>
    <w:p>
      <w:pPr>
        <w:pStyle w:val="Heading2"/>
      </w:pPr>
      <w:r>
        <w:t>6.2  Setting Your Objective</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Objective</w:t>
            </w:r>
          </w:p>
        </w:tc>
        <w:tc>
          <w:tcPr>
            <w:tcW w:type="dxa" w:w="2551"/>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What to Select</w:t>
            </w:r>
          </w:p>
        </w:tc>
        <w:tc>
          <w:tcPr>
            <w:tcW w:type="dxa" w:w="4252"/>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Typical Top Recommendation</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Maximum CO₂ uptake at 25°C</w:t>
            </w:r>
          </w:p>
        </w:tc>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Target = CO₂ uptake, Temp = 25°C</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KOH-activated biochar from coconut shell or rice husk at 700–800°C</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Maximum CO₂ uptake at 0°C</w:t>
            </w:r>
          </w:p>
        </w:tc>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Target = CO₂ uptake, Temp = 0°C</w:t>
            </w:r>
          </w:p>
        </w:tc>
        <w:tc>
          <w:tcPr>
            <w:tcW w:type="dxa" w:w="425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Same as above but typically 0.5–1.5 mmol/g higher values</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Highest surface area</w:t>
            </w:r>
          </w:p>
        </w:tc>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Target = BET surface area</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KOH + high pyrolysis temp (800–900°C) with lignocellulosic feedstocks</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No chemical activation</w:t>
            </w:r>
          </w:p>
        </w:tc>
        <w:tc>
          <w:tcPr>
            <w:tcW w:type="dxa" w:w="2551"/>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Target = CO₂ uptake, Activation = None or CO₂ physical</w:t>
            </w:r>
          </w:p>
        </w:tc>
        <w:tc>
          <w:tcPr>
            <w:tcW w:type="dxa" w:w="4252"/>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CO₂-activated chars from woody biomass at 800–900°C</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Locally available Thai feedstocks</w:t>
            </w:r>
          </w:p>
        </w:tc>
        <w:tc>
          <w:tcPr>
            <w:tcW w:type="dxa" w:w="2551"/>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Feedstock filter = Rice husk / Sugarcane / Palm</w:t>
            </w:r>
          </w:p>
        </w:tc>
        <w:tc>
          <w:tcPr>
            <w:tcW w:type="dxa" w:w="4252"/>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Rice husk + KOH 700°C consistently top-ranked</w:t>
            </w:r>
          </w:p>
        </w:tc>
      </w:tr>
    </w:tbl>
    <w:p>
      <w:pPr>
        <w:spacing w:after="120"/>
      </w:pPr>
    </w:p>
    <w:p>
      <w:pPr>
        <w:pStyle w:val="Heading2"/>
      </w:pPr>
      <w:r>
        <w:t>6.3  Applying Constraints</w:t>
      </w:r>
    </w:p>
    <w:p>
      <w:pPr>
        <w:spacing w:before="40" w:after="100"/>
      </w:pPr>
      <w:r>
        <w:rPr>
          <w:rFonts w:ascii="Arial" w:hAnsi="Arial"/>
          <w:b w:val="0"/>
          <w:i w:val="0"/>
          <w:color w:val="475569"/>
          <w:sz w:val="21"/>
        </w:rPr>
        <w:t>Constraints let you exclude process routes that are impractical for your situation:</w:t>
      </w:r>
    </w:p>
    <w:p>
      <w:pPr>
        <w:pStyle w:val="ListBullet"/>
        <w:spacing w:before="20" w:after="60"/>
        <w:ind w:left="397"/>
      </w:pPr>
      <w:r>
        <w:rPr>
          <w:rFonts w:ascii="Arial" w:hAnsi="Arial"/>
          <w:color w:val="475569"/>
          <w:sz w:val="21"/>
        </w:rPr>
        <w:t>Feedstock filter — limit recommendations to specific biomass types (useful if only certain agricultural waste is locally available)</w:t>
      </w:r>
    </w:p>
    <w:p>
      <w:pPr>
        <w:pStyle w:val="ListBullet"/>
        <w:spacing w:before="20" w:after="60"/>
        <w:ind w:left="397"/>
      </w:pPr>
      <w:r>
        <w:rPr>
          <w:rFonts w:ascii="Arial" w:hAnsi="Arial"/>
          <w:color w:val="475569"/>
          <w:sz w:val="21"/>
        </w:rPr>
        <w:t>No chemical activation — restricts to physical activation (CO₂ gas) or unactivated routes, relevant where chemical waste disposal is a concern</w:t>
      </w:r>
    </w:p>
    <w:p>
      <w:pPr>
        <w:pStyle w:val="ListBullet"/>
        <w:spacing w:before="20" w:after="60"/>
        <w:ind w:left="397"/>
      </w:pPr>
      <w:r>
        <w:rPr>
          <w:rFonts w:ascii="Arial" w:hAnsi="Arial"/>
          <w:color w:val="475569"/>
          <w:sz w:val="21"/>
        </w:rPr>
        <w:t>Temperature limit — if your furnace cannot exceed 700°C, the Advisor removes records requiring higher temperatures</w:t>
      </w:r>
    </w:p>
    <w:p>
      <w:pPr>
        <w:pStyle w:val="ListBullet"/>
        <w:spacing w:before="20" w:after="60"/>
        <w:ind w:left="397"/>
      </w:pPr>
      <w:r>
        <w:rPr>
          <w:rFonts w:ascii="Arial" w:hAnsi="Arial"/>
          <w:color w:val="475569"/>
          <w:sz w:val="21"/>
        </w:rPr>
        <w:t>Minimum yield — if economics require at least 30% mass yield, low-yield high-temperature routes are excluded</w:t>
      </w:r>
    </w:p>
    <w:p>
      <w:pPr>
        <w:pStyle w:val="Heading2"/>
      </w:pPr>
      <w:r>
        <w:t>6.4  Interpreting Recommendations</w:t>
      </w:r>
    </w:p>
    <w:p>
      <w:pPr>
        <w:spacing w:before="40" w:after="100"/>
      </w:pPr>
      <w:r>
        <w:rPr>
          <w:rFonts w:ascii="Arial" w:hAnsi="Arial"/>
          <w:b w:val="0"/>
          <w:i w:val="0"/>
          <w:color w:val="475569"/>
          <w:sz w:val="21"/>
        </w:rPr>
        <w:t>Each recommendation card shows:</w:t>
      </w:r>
    </w:p>
    <w:p>
      <w:pPr>
        <w:pStyle w:val="ListBullet"/>
        <w:spacing w:before="20" w:after="60"/>
        <w:ind w:left="397"/>
      </w:pPr>
      <w:r>
        <w:rPr>
          <w:rFonts w:ascii="Arial" w:hAnsi="Arial"/>
          <w:color w:val="475569"/>
          <w:sz w:val="21"/>
        </w:rPr>
        <w:t>Recommended feedstock and process conditions</w:t>
      </w:r>
    </w:p>
    <w:p>
      <w:pPr>
        <w:pStyle w:val="ListBullet"/>
        <w:spacing w:before="20" w:after="60"/>
        <w:ind w:left="397"/>
      </w:pPr>
      <w:r>
        <w:rPr>
          <w:rFonts w:ascii="Arial" w:hAnsi="Arial"/>
          <w:color w:val="475569"/>
          <w:sz w:val="21"/>
        </w:rPr>
        <w:t>Predicted CO₂ uptake range (min–max across supporting records)</w:t>
      </w:r>
    </w:p>
    <w:p>
      <w:pPr>
        <w:pStyle w:val="ListBullet"/>
        <w:spacing w:before="20" w:after="60"/>
        <w:ind w:left="397"/>
      </w:pPr>
      <w:r>
        <w:rPr>
          <w:rFonts w:ascii="Arial" w:hAnsi="Arial"/>
          <w:color w:val="475569"/>
          <w:sz w:val="21"/>
        </w:rPr>
        <w:t>Number of supporting experimental records (higher = more reliable recommendation)</w:t>
      </w:r>
    </w:p>
    <w:p>
      <w:pPr>
        <w:pStyle w:val="ListBullet"/>
        <w:spacing w:before="20" w:after="60"/>
        <w:ind w:left="397"/>
      </w:pPr>
      <w:r>
        <w:rPr>
          <w:rFonts w:ascii="Arial" w:hAnsi="Arial"/>
          <w:color w:val="475569"/>
          <w:sz w:val="21"/>
        </w:rPr>
        <w:t>Link to matched database records — always click through to inspect the source experiments</w:t>
      </w:r>
    </w:p>
    <w:tbl>
      <w:tblPr>
        <w:tblW w:type="auto" w:w="0"/>
        <w:tblLook w:firstColumn="1" w:firstRow="1" w:lastColumn="0" w:lastRow="0" w:noHBand="0" w:noVBand="1" w:val="04A0"/>
      </w:tblPr>
      <w:tblGrid>
        <w:gridCol w:w="9072"/>
      </w:tblGrid>
      <w:tr>
        <w:tc>
          <w:tcPr>
            <w:tcW w:type="dxa" w:w="9071"/>
            <w:shd w:val="clear" w:color="auto" w:fill="FFF7ED"/>
            <w:tcBorders>
              <w:top w:val="single" w:sz="4" w:space="0" w:color="FDE68A"/>
              <w:left w:val="single" w:sz="4" w:space="0" w:color="FDE68A"/>
              <w:bottom w:val="single" w:sz="4" w:space="0" w:color="FDE68A"/>
              <w:right w:val="single" w:sz="4" w:space="0" w:color="FDE68A"/>
            </w:tcBorders>
          </w:tcPr>
          <w:p>
            <w:r>
              <w:rPr>
                <w:rFonts w:ascii="Arial" w:hAnsi="Arial"/>
                <w:b/>
                <w:color w:val="924007"/>
                <w:sz w:val="20"/>
              </w:rPr>
              <w:t xml:space="preserve">  Important Caveat</w:t>
            </w:r>
          </w:p>
          <w:p>
            <w:pPr>
              <w:spacing w:before="20" w:after="20"/>
            </w:pPr>
            <w:r>
              <w:rPr>
                <w:rFonts w:ascii="Arial" w:hAnsi="Arial"/>
                <w:color w:val="475569"/>
                <w:sz w:val="20"/>
              </w:rPr>
              <w:t xml:space="preserve">  The Advisor ranks by database performance, not by practical feasibility.</w:t>
            </w:r>
          </w:p>
          <w:p>
            <w:pPr>
              <w:spacing w:before="20" w:after="20"/>
            </w:pPr>
            <w:r>
              <w:rPr>
                <w:rFonts w:ascii="Arial" w:hAnsi="Arial"/>
                <w:color w:val="475569"/>
                <w:sz w:val="20"/>
              </w:rPr>
              <w:t xml:space="preserve">  KOH activation appears at the top of almost every ranking because it is the</w:t>
            </w:r>
          </w:p>
          <w:p>
            <w:pPr>
              <w:spacing w:before="20" w:after="20"/>
            </w:pPr>
            <w:r>
              <w:rPr>
                <w:rFonts w:ascii="Arial" w:hAnsi="Arial"/>
                <w:color w:val="475569"/>
                <w:sz w:val="20"/>
              </w:rPr>
              <w:t xml:space="preserve">  most studied and best-performing agent in the literature. This does not mean</w:t>
            </w:r>
          </w:p>
          <w:p>
            <w:pPr>
              <w:spacing w:before="20" w:after="20"/>
            </w:pPr>
            <w:r>
              <w:rPr>
                <w:rFonts w:ascii="Arial" w:hAnsi="Arial"/>
                <w:color w:val="475569"/>
                <w:sz w:val="20"/>
              </w:rPr>
              <w:t xml:space="preserve">  it is always the right choice — consider chemical handling requirements,</w:t>
            </w:r>
          </w:p>
          <w:p>
            <w:pPr>
              <w:spacing w:before="20" w:after="20"/>
            </w:pPr>
            <w:r>
              <w:rPr>
                <w:rFonts w:ascii="Arial" w:hAnsi="Arial"/>
                <w:color w:val="475569"/>
                <w:sz w:val="20"/>
              </w:rPr>
              <w:t xml:space="preserve">  washing steps, and disposal costs in your real-world assessment.</w:t>
            </w:r>
          </w:p>
        </w:tc>
      </w:tr>
    </w:tbl>
    <w:p>
      <w:pPr>
        <w:spacing w:after="80"/>
      </w:pPr>
    </w:p>
    <w:p>
      <w:r>
        <w:br w:type="page"/>
      </w:r>
    </w:p>
    <w:p>
      <w:pPr>
        <w:pStyle w:val="Heading1"/>
      </w:pPr>
      <w:r>
        <w:t>7.  Database Explorer — In Depth</w:t>
      </w:r>
    </w:p>
    <w:p>
      <w:pPr>
        <w:spacing w:before="40" w:after="160"/>
        <w:pBdr>
          <w:bottom w:val="single" w:sz="6" w:space="1" w:color="15803D"/>
        </w:pBdr>
      </w:pPr>
    </w:p>
    <w:p>
      <w:pPr>
        <w:spacing w:before="40" w:after="100"/>
      </w:pPr>
      <w:r>
        <w:rPr>
          <w:rFonts w:ascii="Arial" w:hAnsi="Arial"/>
          <w:b w:val="0"/>
          <w:i w:val="0"/>
          <w:color w:val="475569"/>
          <w:sz w:val="21"/>
        </w:rPr>
        <w:t>The Database page is the raw data layer of the platform. It exposes all 1,396 experimental records in a filterable, sortable, searchable table. Understanding the data structure helps you query it effectively and interpret the context of each record.</w:t>
      </w:r>
    </w:p>
    <w:p>
      <w:pPr>
        <w:pStyle w:val="Heading2"/>
      </w:pPr>
      <w:r>
        <w:t>7.1  Record Structure — Field by Field</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Field</w:t>
            </w:r>
          </w:p>
        </w:tc>
        <w:tc>
          <w:tcPr>
            <w:tcW w:type="dxa" w:w="1134"/>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Unit</w:t>
            </w:r>
          </w:p>
        </w:tc>
        <w:tc>
          <w:tcPr>
            <w:tcW w:type="dxa" w:w="5669"/>
            <w:shd w:val="clear" w:color="auto" w:fill="15803D"/>
            <w:tcBorders>
              <w:top w:val="single" w:sz="4" w:space="0" w:color="1A6B3A"/>
              <w:left w:val="single" w:sz="4" w:space="0" w:color="1A6B3A"/>
              <w:bottom w:val="single" w:sz="4" w:space="0" w:color="1A6B3A"/>
              <w:right w:val="single" w:sz="4" w:space="0" w:color="1A6B3A"/>
            </w:tcBorders>
          </w:tcPr>
          <w:p>
            <w:pPr>
              <w:jc w:val="center"/>
            </w:pPr>
            <w:r>
              <w:rPr>
                <w:rFonts w:ascii="Arial" w:hAnsi="Arial"/>
                <w:b/>
                <w:color w:val="FFFFFF"/>
                <w:sz w:val="19"/>
              </w:rPr>
              <w:t>Notes and Interpretation</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Biomass / Feedstock</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w:t>
            </w:r>
          </w:p>
        </w:tc>
        <w:tc>
          <w:tcPr>
            <w:tcW w:type="dxa" w:w="566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Raw material source. May include common name (rice husk) and botanical name. Grouped into: agricultural residue, woody biomass, sewage sludge, algae, food waste.</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Pyrolysis Temperature</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w:t>
            </w:r>
          </w:p>
        </w:tc>
        <w:tc>
          <w:tcPr>
            <w:tcW w:type="dxa" w:w="566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Temperature at which the biomass was carbonised. Most records: 400–900°C. Some lignocellulosic precursors tested at 300°C; some at 1100°C.</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Activation Agent</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w:t>
            </w:r>
          </w:p>
        </w:tc>
        <w:tc>
          <w:tcPr>
            <w:tcW w:type="dxa" w:w="566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None / KOH / K₂CO₃ / CO₂ / KOH+CO₂ / LiCl. 'None' means raw pyrolysis char without any post-treatment activation.</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Impregnation Ratio</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w:t>
            </w:r>
          </w:p>
        </w:tc>
        <w:tc>
          <w:tcPr>
            <w:tcW w:type="dxa" w:w="566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Mass ratio of activator to biochar precursor. Not always available. Where present, higher KOH ratios (2:1–4:1) produce higher surface areas.</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Activation Temperature</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w:t>
            </w:r>
          </w:p>
        </w:tc>
        <w:tc>
          <w:tcPr>
            <w:tcW w:type="dxa" w:w="566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Separate from pyrolysis temp. Typically 600–900°C for chemical activation. Often missing for physical CO₂ activation.</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BET Surface Area</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m²/g</w:t>
            </w:r>
          </w:p>
        </w:tc>
        <w:tc>
          <w:tcPr>
            <w:tcW w:type="dxa" w:w="566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Measured by N₂ adsorption. Primary structural quality metric. Range in dataset: 2–3,457 m²/g.</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Micropore Volume</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cm³/g</w:t>
            </w:r>
          </w:p>
        </w:tc>
        <w:tc>
          <w:tcPr>
            <w:tcW w:type="dxa" w:w="566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Subset of total pore volume. Not always reported. When available, correlates more strongly with CO₂ uptake than total volume.</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Total Pore Volume</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cm³/g</w:t>
            </w:r>
          </w:p>
        </w:tc>
        <w:tc>
          <w:tcPr>
            <w:tcW w:type="dxa" w:w="566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Full accessible pore volume. Range in dataset: 0.01–2.3 cm³/g.</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Average Pore Size</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nm</w:t>
            </w:r>
          </w:p>
        </w:tc>
        <w:tc>
          <w:tcPr>
            <w:tcW w:type="dxa" w:w="566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4V/A (BJH method). Range: 0.4–12 nm. Values &lt; 2 nm indicate micropore-dominant structure.</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Adsorption Temperature</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w:t>
            </w:r>
          </w:p>
        </w:tc>
        <w:tc>
          <w:tcPr>
            <w:tcW w:type="dxa" w:w="566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0°C, 25°C, or 50°C in the vast majority of records. A few records report 15°C or 35°C.</w:t>
            </w:r>
          </w:p>
        </w:tc>
      </w:tr>
      <w:tr>
        <w:tc>
          <w:tcPr>
            <w:tcW w:type="dxa" w:w="2268"/>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CO₂ Uptake</w:t>
            </w:r>
          </w:p>
        </w:tc>
        <w:tc>
          <w:tcPr>
            <w:tcW w:type="dxa" w:w="1134"/>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mmol/g</w:t>
            </w:r>
          </w:p>
        </w:tc>
        <w:tc>
          <w:tcPr>
            <w:tcW w:type="dxa" w:w="5669"/>
            <w:shd w:val="clear" w:color="auto" w:fill="F0FDF4"/>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The measured adsorption capacity — the primary outcome variable. Range: 0.1–8.9 mmol/g.</w:t>
            </w:r>
          </w:p>
        </w:tc>
      </w:tr>
      <w:tr>
        <w:tc>
          <w:tcPr>
            <w:tcW w:type="dxa" w:w="2268"/>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Reference DOI</w:t>
            </w:r>
          </w:p>
        </w:tc>
        <w:tc>
          <w:tcPr>
            <w:tcW w:type="dxa" w:w="1134"/>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w:t>
            </w:r>
          </w:p>
        </w:tc>
        <w:tc>
          <w:tcPr>
            <w:tcW w:type="dxa" w:w="5669"/>
            <w:shd w:val="clear" w:color="auto" w:fill="FFFFFF"/>
            <w:tcBorders>
              <w:top w:val="single" w:sz="4" w:space="0" w:color="D1FAE5"/>
              <w:left w:val="single" w:sz="4" w:space="0" w:color="D1FAE5"/>
              <w:bottom w:val="single" w:sz="4" w:space="0" w:color="D1FAE5"/>
              <w:right w:val="single" w:sz="4" w:space="0" w:color="D1FAE5"/>
            </w:tcBorders>
          </w:tcPr>
          <w:p>
            <w:r>
              <w:rPr>
                <w:rFonts w:ascii="Arial" w:hAnsi="Arial"/>
                <w:color w:val="475569"/>
                <w:sz w:val="19"/>
              </w:rPr>
              <w:t>Hyperlink to the source publication. Click to verify or access the original experimental method.</w:t>
            </w:r>
          </w:p>
        </w:tc>
      </w:tr>
    </w:tbl>
    <w:p>
      <w:pPr>
        <w:spacing w:after="120"/>
      </w:pPr>
    </w:p>
    <w:p>
      <w:pPr>
        <w:pStyle w:val="Heading2"/>
      </w:pPr>
      <w:r>
        <w:t>7.2  Using the Filter Panel</w:t>
      </w:r>
    </w:p>
    <w:p>
      <w:pPr>
        <w:spacing w:before="40" w:after="100"/>
      </w:pPr>
      <w:r>
        <w:rPr>
          <w:rFonts w:ascii="Arial" w:hAnsi="Arial"/>
          <w:b w:val="0"/>
          <w:i w:val="0"/>
          <w:color w:val="475569"/>
          <w:sz w:val="21"/>
        </w:rPr>
        <w:t>The filter panel on the left side of the Database page allows you to narrow the 1,396 records to a subset of interest. Filters are applied in combination (AND logic — all conditions must be satisfied):</w:t>
      </w:r>
    </w:p>
    <w:p>
      <w:pPr>
        <w:pStyle w:val="ListBullet"/>
        <w:spacing w:before="20" w:after="60"/>
        <w:ind w:left="397"/>
      </w:pPr>
      <w:r>
        <w:rPr>
          <w:rFonts w:ascii="Arial" w:hAnsi="Arial"/>
          <w:color w:val="475569"/>
          <w:sz w:val="21"/>
        </w:rPr>
        <w:t>Feedstock type — filter by specific biomass or by category (agricultural, woody, sludge, etc.)</w:t>
      </w:r>
    </w:p>
    <w:p>
      <w:pPr>
        <w:pStyle w:val="ListBullet"/>
        <w:spacing w:before="20" w:after="60"/>
        <w:ind w:left="397"/>
      </w:pPr>
      <w:r>
        <w:rPr>
          <w:rFonts w:ascii="Arial" w:hAnsi="Arial"/>
          <w:color w:val="475569"/>
          <w:sz w:val="21"/>
        </w:rPr>
        <w:t>Activation agent — select one or more agents, or filter for 'None' to see only unactivated chars</w:t>
      </w:r>
    </w:p>
    <w:p>
      <w:pPr>
        <w:pStyle w:val="ListBullet"/>
        <w:spacing w:before="20" w:after="60"/>
        <w:ind w:left="397"/>
      </w:pPr>
      <w:r>
        <w:rPr>
          <w:rFonts w:ascii="Arial" w:hAnsi="Arial"/>
          <w:color w:val="475569"/>
          <w:sz w:val="21"/>
        </w:rPr>
        <w:t>Pyrolysis temperature range — drag slider to set min/max °C</w:t>
      </w:r>
    </w:p>
    <w:p>
      <w:pPr>
        <w:pStyle w:val="ListBullet"/>
        <w:spacing w:before="20" w:after="60"/>
        <w:ind w:left="397"/>
      </w:pPr>
      <w:r>
        <w:rPr>
          <w:rFonts w:ascii="Arial" w:hAnsi="Arial"/>
          <w:color w:val="475569"/>
          <w:sz w:val="21"/>
        </w:rPr>
        <w:t>CO₂ uptake range — filter to only show records above a performance threshold (e.g., &gt; 4 mmol/g)</w:t>
      </w:r>
    </w:p>
    <w:p>
      <w:pPr>
        <w:pStyle w:val="ListBullet"/>
        <w:spacing w:before="20" w:after="60"/>
        <w:ind w:left="397"/>
      </w:pPr>
      <w:r>
        <w:rPr>
          <w:rFonts w:ascii="Arial" w:hAnsi="Arial"/>
          <w:color w:val="475569"/>
          <w:sz w:val="21"/>
        </w:rPr>
        <w:t>BET surface area range — useful for isolating high-surface-area records for benchmarking</w:t>
      </w:r>
    </w:p>
    <w:p>
      <w:pPr>
        <w:pStyle w:val="ListBullet"/>
        <w:spacing w:before="20" w:after="60"/>
        <w:ind w:left="397"/>
      </w:pPr>
      <w:r>
        <w:rPr>
          <w:rFonts w:ascii="Arial" w:hAnsi="Arial"/>
          <w:color w:val="475569"/>
          <w:sz w:val="21"/>
        </w:rPr>
        <w:t>Adsorption temperature — filter to 0°C, 25°C, or 50°C for direct comparison</w:t>
      </w:r>
    </w:p>
    <w:p>
      <w:pPr>
        <w:pStyle w:val="Heading2"/>
      </w:pPr>
      <w:r>
        <w:t>7.3  Sorting and Exporting</w:t>
      </w:r>
    </w:p>
    <w:p>
      <w:pPr>
        <w:pStyle w:val="ListBullet"/>
        <w:spacing w:before="20" w:after="60"/>
        <w:ind w:left="397"/>
      </w:pPr>
      <w:r>
        <w:rPr>
          <w:rFonts w:ascii="Arial" w:hAnsi="Arial"/>
          <w:color w:val="475569"/>
          <w:sz w:val="21"/>
        </w:rPr>
        <w:t>Click any column header to sort ascending (▲) or descending (▼). Double-click to clear sort.</w:t>
      </w:r>
    </w:p>
    <w:p>
      <w:pPr>
        <w:pStyle w:val="ListBullet"/>
        <w:spacing w:before="20" w:after="60"/>
        <w:ind w:left="397"/>
      </w:pPr>
      <w:r>
        <w:rPr>
          <w:rFonts w:ascii="Arial" w:hAnsi="Arial"/>
          <w:color w:val="475569"/>
          <w:sz w:val="21"/>
        </w:rPr>
        <w:t>Use the search box above the table for free-text search across feedstock names and reference fields.</w:t>
      </w:r>
    </w:p>
    <w:p>
      <w:pPr>
        <w:pStyle w:val="ListBullet"/>
        <w:spacing w:before="20" w:after="60"/>
        <w:ind w:left="397"/>
      </w:pPr>
      <w:r>
        <w:rPr>
          <w:rFonts w:ascii="Arial" w:hAnsi="Arial"/>
          <w:color w:val="475569"/>
          <w:sz w:val="21"/>
        </w:rPr>
        <w:t>The 'Export CSV' button downloads all currently filtered records as a comma-separated file for analysis in Excel, Python, or R.</w:t>
      </w:r>
    </w:p>
    <w:p>
      <w:pPr>
        <w:pStyle w:val="ListBullet"/>
        <w:spacing w:before="20" w:after="60"/>
        <w:ind w:left="397"/>
      </w:pPr>
      <w:r>
        <w:rPr>
          <w:rFonts w:ascii="Arial" w:hAnsi="Arial"/>
          <w:color w:val="475569"/>
          <w:sz w:val="21"/>
        </w:rPr>
        <w:t>Exported CSV retains all columns including BET, pore volume, and DOI — suitable as a supplementary dataset for academic work.</w:t>
      </w:r>
    </w:p>
    <w:tbl>
      <w:tblPr>
        <w:tblW w:type="auto" w:w="0"/>
        <w:tblLook w:firstColumn="1" w:firstRow="1" w:lastColumn="0" w:lastRow="0" w:noHBand="0" w:noVBand="1" w:val="04A0"/>
      </w:tblPr>
      <w:tblGrid>
        <w:gridCol w:w="9072"/>
      </w:tblGrid>
      <w:tr>
        <w:tc>
          <w:tcPr>
            <w:tcW w:type="dxa" w:w="9071"/>
            <w:shd w:val="clear" w:color="auto" w:fill="F0FDF4"/>
            <w:tcBorders>
              <w:top w:val="single" w:sz="4" w:space="0" w:color="A7F3D0"/>
              <w:left w:val="single" w:sz="4" w:space="0" w:color="A7F3D0"/>
              <w:bottom w:val="single" w:sz="4" w:space="0" w:color="A7F3D0"/>
              <w:right w:val="single" w:sz="4" w:space="0" w:color="A7F3D0"/>
            </w:tcBorders>
          </w:tcPr>
          <w:p>
            <w:r>
              <w:rPr>
                <w:rFonts w:ascii="Arial" w:hAnsi="Arial"/>
                <w:b/>
                <w:color w:val="15803D"/>
                <w:sz w:val="20"/>
              </w:rPr>
              <w:t xml:space="preserve">  Research Application: Using the Database for Literature Review</w:t>
            </w:r>
          </w:p>
          <w:p>
            <w:pPr>
              <w:spacing w:before="20" w:after="20"/>
            </w:pPr>
            <w:r>
              <w:rPr>
                <w:rFonts w:ascii="Arial" w:hAnsi="Arial"/>
                <w:color w:val="475569"/>
                <w:sz w:val="20"/>
              </w:rPr>
              <w:t xml:space="preserve">  1. Filter by your target feedstock and activation method.</w:t>
            </w:r>
          </w:p>
          <w:p>
            <w:pPr>
              <w:spacing w:before="20" w:after="20"/>
            </w:pPr>
            <w:r>
              <w:rPr>
                <w:rFonts w:ascii="Arial" w:hAnsi="Arial"/>
                <w:color w:val="475569"/>
                <w:sz w:val="20"/>
              </w:rPr>
              <w:t xml:space="preserve">  2. Sort by CO₂ uptake descending to identify the top-performing experiments.</w:t>
            </w:r>
          </w:p>
          <w:p>
            <w:pPr>
              <w:spacing w:before="20" w:after="20"/>
            </w:pPr>
            <w:r>
              <w:rPr>
                <w:rFonts w:ascii="Arial" w:hAnsi="Arial"/>
                <w:color w:val="475569"/>
                <w:sz w:val="20"/>
              </w:rPr>
              <w:t xml:space="preserve">  3. Export the filtered records to CSV.</w:t>
            </w:r>
          </w:p>
          <w:p>
            <w:pPr>
              <w:spacing w:before="20" w:after="20"/>
            </w:pPr>
            <w:r>
              <w:rPr>
                <w:rFonts w:ascii="Arial" w:hAnsi="Arial"/>
                <w:color w:val="475569"/>
                <w:sz w:val="20"/>
              </w:rPr>
              <w:t xml:space="preserve">  4. Follow DOI links to access the original papers — these give full experimental</w:t>
            </w:r>
          </w:p>
          <w:p>
            <w:pPr>
              <w:spacing w:before="20" w:after="20"/>
            </w:pPr>
            <w:r>
              <w:rPr>
                <w:rFonts w:ascii="Arial" w:hAnsi="Arial"/>
                <w:color w:val="475569"/>
                <w:sz w:val="20"/>
              </w:rPr>
              <w:t xml:space="preserve">     protocols (residence time, heating rate, impregnation ratio) not captured in</w:t>
            </w:r>
          </w:p>
          <w:p>
            <w:pPr>
              <w:spacing w:before="20" w:after="20"/>
            </w:pPr>
            <w:r>
              <w:rPr>
                <w:rFonts w:ascii="Arial" w:hAnsi="Arial"/>
                <w:color w:val="475569"/>
                <w:sz w:val="20"/>
              </w:rPr>
              <w:t xml:space="preserve">     the summary table.</w:t>
            </w:r>
          </w:p>
        </w:tc>
      </w:tr>
    </w:tbl>
    <w:p>
      <w:pPr>
        <w:spacing w:after="80"/>
      </w:pPr>
    </w:p>
    <w:p>
      <w:r>
        <w:br w:type="page"/>
      </w:r>
    </w:p>
    <w:p>
      <w:pPr>
        <w:pStyle w:val="Heading1"/>
      </w:pPr>
      <w:r>
        <w:t>8.  Key Terms &amp; Scientific Concepts</w:t>
      </w:r>
    </w:p>
    <w:p>
      <w:pPr>
        <w:spacing w:before="40" w:after="160"/>
        <w:pBdr>
          <w:bottom w:val="single" w:sz="6" w:space="1" w:color="15803D"/>
        </w:pBdr>
      </w:pPr>
    </w:p>
    <w:p>
      <w:pPr>
        <w:spacing w:before="40" w:after="100"/>
      </w:pPr>
      <w:r>
        <w:rPr>
          <w:rFonts w:ascii="Arial" w:hAnsi="Arial"/>
          <w:b w:val="0"/>
          <w:i w:val="0"/>
          <w:color w:val="475569"/>
          <w:sz w:val="21"/>
        </w:rPr>
        <w:t>This glossary provides deeper definitions than the in-platform glossary cards. Each term includes context for how it is used in the platform and what values to expect in the biochar CO₂ adsorption domain.</w:t>
      </w:r>
    </w:p>
    <w:p>
      <w:pPr>
        <w:spacing w:before="40" w:after="100"/>
      </w:pPr>
      <w:r>
        <w:rPr>
          <w:rFonts w:ascii="Arial" w:hAnsi="Arial"/>
          <w:b/>
          <w:i w:val="0"/>
          <w:color w:val="15803D"/>
          <w:sz w:val="21"/>
        </w:rPr>
        <w:t>Adsorption</w:t>
      </w:r>
    </w:p>
    <w:p>
      <w:pPr>
        <w:spacing w:before="40" w:after="100"/>
      </w:pPr>
      <w:r>
        <w:rPr>
          <w:rFonts w:ascii="Arial" w:hAnsi="Arial"/>
          <w:b w:val="0"/>
          <w:i w:val="0"/>
          <w:color w:val="475569"/>
          <w:sz w:val="21"/>
        </w:rPr>
        <w:t>The process by which molecules (adsorbate, here CO₂) accumulate on the surface of a solid material (adsorbent, here biochar). Distinguished from absorption (which involves penetration into the bulk). In biochar CO₂ capture, adsorption occurs within micropores via physisorption (van der Waals forces). It is reversible — raising temperature or lowering pressure releases the CO₂, enabling adsorbent regeneration.</w:t>
      </w:r>
    </w:p>
    <w:p>
      <w:pPr>
        <w:spacing w:before="40" w:after="160"/>
        <w:pBdr>
          <w:bottom w:val="single" w:sz="6" w:space="1" w:color="E2E8F0"/>
        </w:pBdr>
      </w:pPr>
    </w:p>
    <w:p>
      <w:pPr>
        <w:spacing w:before="40" w:after="100"/>
      </w:pPr>
      <w:r>
        <w:rPr>
          <w:rFonts w:ascii="Arial" w:hAnsi="Arial"/>
          <w:b/>
          <w:i w:val="0"/>
          <w:color w:val="15803D"/>
          <w:sz w:val="21"/>
        </w:rPr>
        <w:t>Physisorption vs Chemisorption</w:t>
      </w:r>
    </w:p>
    <w:p>
      <w:pPr>
        <w:spacing w:before="40" w:after="100"/>
      </w:pPr>
      <w:r>
        <w:rPr>
          <w:rFonts w:ascii="Arial" w:hAnsi="Arial"/>
          <w:b w:val="0"/>
          <w:i w:val="0"/>
          <w:color w:val="475569"/>
          <w:sz w:val="21"/>
        </w:rPr>
        <w:t>Physisorption: weak, reversible van der Waals interactions. No chemical bond formed. Low energy (&lt; 40 kJ/mol). Occurs readily at low temperatures. All CO₂ uptake in the platform database is physisorption. Chemisorption: strong, often irreversible chemical bonding (&gt; 80 kJ/mol). Relevant for amine-grafted sorbents, not standard biochar.</w:t>
      </w:r>
    </w:p>
    <w:p>
      <w:pPr>
        <w:spacing w:before="40" w:after="160"/>
        <w:pBdr>
          <w:bottom w:val="single" w:sz="6" w:space="1" w:color="E2E8F0"/>
        </w:pBdr>
      </w:pPr>
    </w:p>
    <w:p>
      <w:pPr>
        <w:spacing w:before="40" w:after="100"/>
      </w:pPr>
      <w:r>
        <w:rPr>
          <w:rFonts w:ascii="Arial" w:hAnsi="Arial"/>
          <w:b/>
          <w:i w:val="0"/>
          <w:color w:val="15803D"/>
          <w:sz w:val="21"/>
        </w:rPr>
        <w:t>BET Surface Area (m²/g)</w:t>
      </w:r>
    </w:p>
    <w:p>
      <w:pPr>
        <w:spacing w:before="40" w:after="100"/>
      </w:pPr>
      <w:r>
        <w:rPr>
          <w:rFonts w:ascii="Arial" w:hAnsi="Arial"/>
          <w:b w:val="0"/>
          <w:i w:val="0"/>
          <w:color w:val="475569"/>
          <w:sz w:val="21"/>
        </w:rPr>
        <w:t>Total accessible internal surface area measured by the Brunauer–Emmett–Teller method using N₂ at −196°C. The most universally reported biochar characterisation metric. Platform database range: 2–3,457 m²/g. A value above 1,000 m²/g reliably produces CO₂ uptake &gt; 3.5 mmol/g at 25°C with appropriate pore size distribution.</w:t>
      </w:r>
    </w:p>
    <w:p>
      <w:pPr>
        <w:spacing w:before="40" w:after="160"/>
        <w:pBdr>
          <w:bottom w:val="single" w:sz="6" w:space="1" w:color="E2E8F0"/>
        </w:pBdr>
      </w:pPr>
    </w:p>
    <w:p>
      <w:pPr>
        <w:spacing w:before="40" w:after="100"/>
      </w:pPr>
      <w:r>
        <w:rPr>
          <w:rFonts w:ascii="Arial" w:hAnsi="Arial"/>
          <w:b/>
          <w:i w:val="0"/>
          <w:color w:val="15803D"/>
          <w:sz w:val="21"/>
        </w:rPr>
        <w:t>Micropores / Mesopores / Macropores</w:t>
      </w:r>
    </w:p>
    <w:p>
      <w:pPr>
        <w:spacing w:before="40" w:after="100"/>
      </w:pPr>
      <w:r>
        <w:rPr>
          <w:rFonts w:ascii="Arial" w:hAnsi="Arial"/>
          <w:b w:val="0"/>
          <w:i w:val="0"/>
          <w:color w:val="475569"/>
          <w:sz w:val="21"/>
        </w:rPr>
        <w:t>IUPAC classification: Micropores &lt; 2 nm (primary CO₂ capture sites at ambient pressure), Mesopores 2–50 nm (mass transfer channels, important for kinetics but less so for equilibrium uptake), Macropores &gt; 50 nm (bulk transport, minimal contribution to CO₂ capacity). Best biochar for CO₂ has micropore volume fraction &gt; 60%.</w:t>
      </w:r>
    </w:p>
    <w:p>
      <w:pPr>
        <w:spacing w:before="40" w:after="160"/>
        <w:pBdr>
          <w:bottom w:val="single" w:sz="6" w:space="1" w:color="E2E8F0"/>
        </w:pBdr>
      </w:pPr>
    </w:p>
    <w:p>
      <w:pPr>
        <w:spacing w:before="40" w:after="100"/>
      </w:pPr>
      <w:r>
        <w:rPr>
          <w:rFonts w:ascii="Arial" w:hAnsi="Arial"/>
          <w:b/>
          <w:i w:val="0"/>
          <w:color w:val="15803D"/>
          <w:sz w:val="21"/>
        </w:rPr>
        <w:t>Pyrolysis</w:t>
      </w:r>
    </w:p>
    <w:p>
      <w:pPr>
        <w:spacing w:before="40" w:after="100"/>
      </w:pPr>
      <w:r>
        <w:rPr>
          <w:rFonts w:ascii="Arial" w:hAnsi="Arial"/>
          <w:b w:val="0"/>
          <w:i w:val="0"/>
          <w:color w:val="475569"/>
          <w:sz w:val="21"/>
        </w:rPr>
        <w:t>Thermal decomposition of biomass at 300–1200°C without oxygen. Products: biochar (solid), bio-oil (liquid condensate), and syngas. Higher temperature favours biochar with higher carbon content and larger surface area but lower yield.</w:t>
      </w:r>
    </w:p>
    <w:p>
      <w:pPr>
        <w:spacing w:before="40" w:after="160"/>
        <w:pBdr>
          <w:bottom w:val="single" w:sz="6" w:space="1" w:color="E2E8F0"/>
        </w:pBdr>
      </w:pPr>
    </w:p>
    <w:p>
      <w:pPr>
        <w:spacing w:before="40" w:after="100"/>
      </w:pPr>
      <w:r>
        <w:rPr>
          <w:rFonts w:ascii="Arial" w:hAnsi="Arial"/>
          <w:b/>
          <w:i w:val="0"/>
          <w:color w:val="15803D"/>
          <w:sz w:val="21"/>
        </w:rPr>
        <w:t>Chemical Activation</w:t>
      </w:r>
    </w:p>
    <w:p>
      <w:pPr>
        <w:spacing w:before="40" w:after="100"/>
      </w:pPr>
      <w:r>
        <w:rPr>
          <w:rFonts w:ascii="Arial" w:hAnsi="Arial"/>
          <w:b w:val="0"/>
          <w:i w:val="0"/>
          <w:color w:val="475569"/>
          <w:sz w:val="21"/>
        </w:rPr>
        <w:t>Post-pyrolysis (or co-treatment) with a chemical agent that etches and opens pores. Common agents: KOH (most effective — etches via K intercalation and CO₂ evolution), K₂CO₃ (milder, more selective micropore formation), ZnCl₂ (less common in this dataset). Produces surface areas up to 10× higher than unactivated char.</w:t>
      </w:r>
    </w:p>
    <w:p>
      <w:pPr>
        <w:spacing w:before="40" w:after="160"/>
        <w:pBdr>
          <w:bottom w:val="single" w:sz="6" w:space="1" w:color="E2E8F0"/>
        </w:pBdr>
      </w:pPr>
    </w:p>
    <w:p>
      <w:pPr>
        <w:spacing w:before="40" w:after="100"/>
      </w:pPr>
      <w:r>
        <w:rPr>
          <w:rFonts w:ascii="Arial" w:hAnsi="Arial"/>
          <w:b/>
          <w:i w:val="0"/>
          <w:color w:val="15803D"/>
          <w:sz w:val="21"/>
        </w:rPr>
        <w:t>Physical Activation</w:t>
      </w:r>
    </w:p>
    <w:p>
      <w:pPr>
        <w:spacing w:before="40" w:after="100"/>
      </w:pPr>
      <w:r>
        <w:rPr>
          <w:rFonts w:ascii="Arial" w:hAnsi="Arial"/>
          <w:b w:val="0"/>
          <w:i w:val="0"/>
          <w:color w:val="475569"/>
          <w:sz w:val="21"/>
        </w:rPr>
        <w:t>Using gases (steam or CO₂) at high temperature (750–950°C) to gasify and open pores. Slower than chemical activation, produces more uniform micropore size distribution, no chemical residue. CO₂ activation at 850°C for 2–4 hours is the most common route in the platform database.</w:t>
      </w:r>
    </w:p>
    <w:p>
      <w:pPr>
        <w:spacing w:before="40" w:after="160"/>
        <w:pBdr>
          <w:bottom w:val="single" w:sz="6" w:space="1" w:color="E2E8F0"/>
        </w:pBdr>
      </w:pPr>
    </w:p>
    <w:p>
      <w:pPr>
        <w:spacing w:before="40" w:after="100"/>
      </w:pPr>
      <w:r>
        <w:rPr>
          <w:rFonts w:ascii="Arial" w:hAnsi="Arial"/>
          <w:b/>
          <w:i w:val="0"/>
          <w:color w:val="15803D"/>
          <w:sz w:val="21"/>
        </w:rPr>
        <w:t>KNN (k-Nearest Neighbours)</w:t>
      </w:r>
    </w:p>
    <w:p>
      <w:pPr>
        <w:spacing w:before="40" w:after="100"/>
      </w:pPr>
      <w:r>
        <w:rPr>
          <w:rFonts w:ascii="Arial" w:hAnsi="Arial"/>
          <w:b w:val="0"/>
          <w:i w:val="0"/>
          <w:color w:val="475569"/>
          <w:sz w:val="21"/>
        </w:rPr>
        <w:t>The machine learning algorithm used by BiocharHub's prediction tools. It finds the k most similar experiments in the database to your query and aggregates their outcomes. Advantages: fully interpretable, cannot predict outside the data, naturally handles multi-modal distributions. Limitation: accuracy degrades in sparse regions of the feature space.</w:t>
      </w:r>
    </w:p>
    <w:p>
      <w:pPr>
        <w:spacing w:before="40" w:after="160"/>
        <w:pBdr>
          <w:bottom w:val="single" w:sz="6" w:space="1" w:color="E2E8F0"/>
        </w:pBdr>
      </w:pPr>
    </w:p>
    <w:p>
      <w:pPr>
        <w:spacing w:before="40" w:after="100"/>
      </w:pPr>
      <w:r>
        <w:rPr>
          <w:rFonts w:ascii="Arial" w:hAnsi="Arial"/>
          <w:b/>
          <w:i w:val="0"/>
          <w:color w:val="15803D"/>
          <w:sz w:val="21"/>
        </w:rPr>
        <w:t>Adsorption Isotherm</w:t>
      </w:r>
    </w:p>
    <w:p>
      <w:pPr>
        <w:spacing w:before="40" w:after="100"/>
      </w:pPr>
      <w:r>
        <w:rPr>
          <w:rFonts w:ascii="Arial" w:hAnsi="Arial"/>
          <w:b w:val="0"/>
          <w:i w:val="0"/>
          <w:color w:val="475569"/>
          <w:sz w:val="21"/>
        </w:rPr>
        <w:t>A curve showing CO₂ uptake (mmol/g) as a function of CO₂ partial pressure at a fixed temperature. Type I isotherms (Langmuir-like) with rapid initial uptake and a plateau are characteristic of microporous materials. Platform predictions are for uptake at 1 bar (ambient pressure) — the plateau region of a well-activated biochar isotherm.</w:t>
      </w:r>
    </w:p>
    <w:p>
      <w:pPr>
        <w:spacing w:before="40" w:after="160"/>
        <w:pBdr>
          <w:bottom w:val="single" w:sz="6" w:space="1" w:color="E2E8F0"/>
        </w:pBdr>
      </w:pPr>
    </w:p>
    <w:p>
      <w:pPr>
        <w:spacing w:before="40" w:after="100"/>
      </w:pPr>
      <w:r>
        <w:rPr>
          <w:rFonts w:ascii="Arial" w:hAnsi="Arial"/>
          <w:b/>
          <w:i w:val="0"/>
          <w:color w:val="15803D"/>
          <w:sz w:val="21"/>
        </w:rPr>
        <w:t>Carbon Sequestration</w:t>
      </w:r>
    </w:p>
    <w:p>
      <w:pPr>
        <w:spacing w:before="40" w:after="100"/>
      </w:pPr>
      <w:r>
        <w:rPr>
          <w:rFonts w:ascii="Arial" w:hAnsi="Arial"/>
          <w:b w:val="0"/>
          <w:i w:val="0"/>
          <w:color w:val="475569"/>
          <w:sz w:val="21"/>
        </w:rPr>
        <w:t>Long-term storage of carbon dioxide in a stable form to offset atmospheric emissions. Biochar can contribute through: (a) soil amendment — locking biomass carbon in a stable form for centuries, (b) industrial CO₂ capture — using biochar as an adsorbent in packed-bed capture systems. The platform primarily supports the latter application.</w:t>
      </w:r>
    </w:p>
    <w:p>
      <w:pPr>
        <w:spacing w:before="40" w:after="160"/>
        <w:pBdr>
          <w:bottom w:val="single" w:sz="6" w:space="1" w:color="E2E8F0"/>
        </w:pBdr>
      </w:pPr>
    </w:p>
    <w:p>
      <w:pPr>
        <w:spacing w:before="40" w:after="100"/>
      </w:pPr>
      <w:r>
        <w:rPr>
          <w:rFonts w:ascii="Arial" w:hAnsi="Arial"/>
          <w:b/>
          <w:i w:val="0"/>
          <w:color w:val="15803D"/>
          <w:sz w:val="21"/>
        </w:rPr>
        <w:t>Impregnation Ratio</w:t>
      </w:r>
    </w:p>
    <w:p>
      <w:pPr>
        <w:spacing w:before="40" w:after="100"/>
      </w:pPr>
      <w:r>
        <w:rPr>
          <w:rFonts w:ascii="Arial" w:hAnsi="Arial"/>
          <w:b w:val="0"/>
          <w:i w:val="0"/>
          <w:color w:val="475569"/>
          <w:sz w:val="21"/>
        </w:rPr>
        <w:t>Mass ratio of activating agent to biochar precursor before the activation step. E.g., KOH:char = 2:1 means 2 grams of KOH per gram of char. Higher ratios increase surface area but also increase chemical consumption and waste. Optimum for KOH is typically 2:1–4:1.</w:t>
      </w:r>
    </w:p>
    <w:p>
      <w:pPr>
        <w:spacing w:before="40" w:after="160"/>
        <w:pBdr>
          <w:bottom w:val="single" w:sz="6" w:space="1" w:color="E2E8F0"/>
        </w:pBdr>
      </w:pPr>
    </w:p>
    <w:p>
      <w:pPr>
        <w:spacing w:before="40" w:after="100"/>
      </w:pPr>
      <w:r>
        <w:rPr>
          <w:rFonts w:ascii="Arial" w:hAnsi="Arial"/>
          <w:b/>
          <w:i w:val="0"/>
          <w:color w:val="15803D"/>
          <w:sz w:val="21"/>
        </w:rPr>
        <w:t>Peer-Reviewed Record</w:t>
      </w:r>
    </w:p>
    <w:p>
      <w:pPr>
        <w:spacing w:before="40" w:after="100"/>
      </w:pPr>
      <w:r>
        <w:rPr>
          <w:rFonts w:ascii="Arial" w:hAnsi="Arial"/>
          <w:b w:val="0"/>
          <w:i w:val="0"/>
          <w:color w:val="475569"/>
          <w:sz w:val="21"/>
        </w:rPr>
        <w:t>Every database entry is sourced from a journal article that has passed independent expert review (peer review). The DOI field links to the original paper, allowing verification of any prediction against the full experimental protocol.</w:t>
      </w:r>
    </w:p>
    <w:p>
      <w:pPr>
        <w:spacing w:before="40" w:after="160"/>
        <w:pBdr>
          <w:bottom w:val="single" w:sz="6" w:space="1" w:color="E2E8F0"/>
        </w:pBdr>
      </w:pPr>
    </w:p>
    <w:p>
      <w:r>
        <w:br w:type="page"/>
      </w:r>
    </w:p>
    <w:p>
      <w:pPr>
        <w:pStyle w:val="Heading1"/>
      </w:pPr>
      <w:r>
        <w:t>9.  Frequently Asked Questions</w:t>
      </w:r>
    </w:p>
    <w:p>
      <w:pPr>
        <w:spacing w:before="40" w:after="160"/>
        <w:pBdr>
          <w:bottom w:val="single" w:sz="6" w:space="1" w:color="15803D"/>
        </w:pBdr>
      </w:pPr>
    </w:p>
    <w:p>
      <w:pPr>
        <w:spacing w:before="160" w:after="40"/>
      </w:pPr>
      <w:r>
        <w:rPr>
          <w:rFonts w:ascii="Arial" w:hAnsi="Arial"/>
          <w:b/>
          <w:color w:val="15803D"/>
          <w:sz w:val="21"/>
        </w:rPr>
        <w:t>Q:  Is BiocharHub free to use?</w:t>
      </w:r>
    </w:p>
    <w:p>
      <w:pPr>
        <w:spacing w:before="40" w:after="100"/>
      </w:pPr>
      <w:r>
        <w:rPr>
          <w:rFonts w:ascii="Arial" w:hAnsi="Arial"/>
          <w:b w:val="0"/>
          <w:i w:val="0"/>
          <w:color w:val="475569"/>
          <w:sz w:val="21"/>
        </w:rPr>
        <w:t>A:  Yes. The platform is completely free and requires no account or login. All 1,396 records and all three ML tools are publicly accessible with no usage limits.</w:t>
      </w:r>
    </w:p>
    <w:p>
      <w:pPr>
        <w:spacing w:before="40" w:after="160"/>
        <w:pBdr>
          <w:bottom w:val="single" w:sz="6" w:space="1" w:color="E2E8F0"/>
        </w:pBdr>
      </w:pPr>
    </w:p>
    <w:p>
      <w:pPr>
        <w:spacing w:before="160" w:after="40"/>
      </w:pPr>
      <w:r>
        <w:rPr>
          <w:rFonts w:ascii="Arial" w:hAnsi="Arial"/>
          <w:b/>
          <w:color w:val="15803D"/>
          <w:sz w:val="21"/>
        </w:rPr>
        <w:t>Q:  How accurate are the predictions?</w:t>
      </w:r>
    </w:p>
    <w:p>
      <w:pPr>
        <w:spacing w:before="40" w:after="100"/>
      </w:pPr>
      <w:r>
        <w:rPr>
          <w:rFonts w:ascii="Arial" w:hAnsi="Arial"/>
          <w:b w:val="0"/>
          <w:i w:val="0"/>
          <w:color w:val="475569"/>
          <w:sz w:val="21"/>
        </w:rPr>
        <w:t>A:  Predictions derive from k-nearest-neighbour retrieval from experimentally validated records — they are interpolative estimates within the experimental space, not extrapolations. When BET surface area is provided and similarity score is above 0.80, predictions typically fall within ±0.5 mmol/g of actual experimental values for well-studied feedstock–activator combinations. Accuracy drops in sparse regions (unusual feedstocks, extreme temperatures). Always check the similarity score and matched records before drawing conclusions.</w:t>
      </w:r>
    </w:p>
    <w:p>
      <w:pPr>
        <w:spacing w:before="40" w:after="160"/>
        <w:pBdr>
          <w:bottom w:val="single" w:sz="6" w:space="1" w:color="E2E8F0"/>
        </w:pBdr>
      </w:pPr>
    </w:p>
    <w:p>
      <w:pPr>
        <w:spacing w:before="160" w:after="40"/>
      </w:pPr>
      <w:r>
        <w:rPr>
          <w:rFonts w:ascii="Arial" w:hAnsi="Arial"/>
          <w:b/>
          <w:color w:val="15803D"/>
          <w:sz w:val="21"/>
        </w:rPr>
        <w:t>Q:  Why does the same feedstock give different predictions at different temperatures?</w:t>
      </w:r>
    </w:p>
    <w:p>
      <w:pPr>
        <w:spacing w:before="40" w:after="100"/>
      </w:pPr>
      <w:r>
        <w:rPr>
          <w:rFonts w:ascii="Arial" w:hAnsi="Arial"/>
          <w:b w:val="0"/>
          <w:i w:val="0"/>
          <w:color w:val="475569"/>
          <w:sz w:val="21"/>
        </w:rPr>
        <w:t>A:  CO₂ adsorption is thermodynamically favoured at lower temperatures (physisorption is exothermic). The database shows the 0°C–25°C gap averages 0.8 mmol/g, and the 25°C–50°C gap averages 0.6 mmol/g, but these vary substantially by material. The predictor uses adsorption temperature as a direct input parameter, so always specify the temperature relevant to your application.</w:t>
      </w:r>
    </w:p>
    <w:p>
      <w:pPr>
        <w:spacing w:before="40" w:after="160"/>
        <w:pBdr>
          <w:bottom w:val="single" w:sz="6" w:space="1" w:color="E2E8F0"/>
        </w:pBdr>
      </w:pPr>
    </w:p>
    <w:p>
      <w:pPr>
        <w:spacing w:before="160" w:after="40"/>
      </w:pPr>
      <w:r>
        <w:rPr>
          <w:rFonts w:ascii="Arial" w:hAnsi="Arial"/>
          <w:b/>
          <w:color w:val="15803D"/>
          <w:sz w:val="21"/>
        </w:rPr>
        <w:t>Q:  Can I use these predictions in a published paper?</w:t>
      </w:r>
    </w:p>
    <w:p>
      <w:pPr>
        <w:spacing w:before="40" w:after="100"/>
      </w:pPr>
      <w:r>
        <w:rPr>
          <w:rFonts w:ascii="Arial" w:hAnsi="Arial"/>
          <w:b w:val="0"/>
          <w:i w:val="0"/>
          <w:color w:val="475569"/>
          <w:sz w:val="21"/>
        </w:rPr>
        <w:t>A:  Yes, with appropriate citation of the platform and acknowledgement that results are ML-derived estimates from peer-reviewed data. The platform is itself a citable research output — contact the research team for the correct citation format. You should always validate key predictions with a laboratory experiment before publication.</w:t>
      </w:r>
    </w:p>
    <w:p>
      <w:pPr>
        <w:spacing w:before="40" w:after="160"/>
        <w:pBdr>
          <w:bottom w:val="single" w:sz="6" w:space="1" w:color="E2E8F0"/>
        </w:pBdr>
      </w:pPr>
    </w:p>
    <w:p>
      <w:pPr>
        <w:spacing w:before="160" w:after="40"/>
      </w:pPr>
      <w:r>
        <w:rPr>
          <w:rFonts w:ascii="Arial" w:hAnsi="Arial"/>
          <w:b/>
          <w:color w:val="15803D"/>
          <w:sz w:val="21"/>
        </w:rPr>
        <w:t>Q:  What if my feedstock is not in the database?</w:t>
      </w:r>
    </w:p>
    <w:p>
      <w:pPr>
        <w:spacing w:before="40" w:after="100"/>
      </w:pPr>
      <w:r>
        <w:rPr>
          <w:rFonts w:ascii="Arial" w:hAnsi="Arial"/>
          <w:b w:val="0"/>
          <w:i w:val="0"/>
          <w:color w:val="475569"/>
          <w:sz w:val="21"/>
        </w:rPr>
        <w:t>A:  Select the closest available feedstock type by biomass category (agricultural residue, woody biomass, etc.). The prediction will use records from chemically similar biomasses. The similarity score will typically be lower — use this as a caution signal and treat the result as a rough order-of-magnitude estimate.</w:t>
      </w:r>
    </w:p>
    <w:p>
      <w:pPr>
        <w:spacing w:before="40" w:after="160"/>
        <w:pBdr>
          <w:bottom w:val="single" w:sz="6" w:space="1" w:color="E2E8F0"/>
        </w:pBdr>
      </w:pPr>
    </w:p>
    <w:p>
      <w:pPr>
        <w:spacing w:before="160" w:after="40"/>
      </w:pPr>
      <w:r>
        <w:rPr>
          <w:rFonts w:ascii="Arial" w:hAnsi="Arial"/>
          <w:b/>
          <w:color w:val="15803D"/>
          <w:sz w:val="21"/>
        </w:rPr>
        <w:t>Q:  What is the difference between CO₂ Predictor and Property Estimator?</w:t>
      </w:r>
    </w:p>
    <w:p>
      <w:pPr>
        <w:spacing w:before="40" w:after="100"/>
      </w:pPr>
      <w:r>
        <w:rPr>
          <w:rFonts w:ascii="Arial" w:hAnsi="Arial"/>
          <w:b w:val="0"/>
          <w:i w:val="0"/>
          <w:color w:val="475569"/>
          <w:sz w:val="21"/>
        </w:rPr>
        <w:t>A:  CO₂ Predictor: outputs one value — the expected CO₂ adsorption capacity (mmol/g). Property Estimator: outputs five values — BET surface area, pore volume, average pore size, carbon content, and yield — from the same production inputs. The two tools complement each other: run Property Estimator first, then feed its BET output into the CO₂ Predictor for a more informed uptake estimate.</w:t>
      </w:r>
    </w:p>
    <w:p>
      <w:pPr>
        <w:spacing w:before="40" w:after="160"/>
        <w:pBdr>
          <w:bottom w:val="single" w:sz="6" w:space="1" w:color="E2E8F0"/>
        </w:pBdr>
      </w:pPr>
    </w:p>
    <w:p>
      <w:pPr>
        <w:spacing w:before="160" w:after="40"/>
      </w:pPr>
      <w:r>
        <w:rPr>
          <w:rFonts w:ascii="Arial" w:hAnsi="Arial"/>
          <w:b/>
          <w:color w:val="15803D"/>
          <w:sz w:val="21"/>
        </w:rPr>
        <w:t>Q:  Can I submit my own experimental data to the database?</w:t>
      </w:r>
    </w:p>
    <w:p>
      <w:pPr>
        <w:spacing w:before="40" w:after="100"/>
      </w:pPr>
      <w:r>
        <w:rPr>
          <w:rFonts w:ascii="Arial" w:hAnsi="Arial"/>
          <w:b w:val="0"/>
          <w:i w:val="0"/>
          <w:color w:val="475569"/>
          <w:sz w:val="21"/>
        </w:rPr>
        <w:t>A:  A 'Share Data' feature is available for authorised contributors. Data submissions go through a quality check (unit consistency, DOI verification, outlier screening) before being added to the database. Contact the research team to request contributor access. Contributions are attributed to the submitting researcher.</w:t>
      </w:r>
    </w:p>
    <w:p>
      <w:pPr>
        <w:spacing w:before="40" w:after="160"/>
        <w:pBdr>
          <w:bottom w:val="single" w:sz="6" w:space="1" w:color="E2E8F0"/>
        </w:pBdr>
      </w:pPr>
    </w:p>
    <w:p>
      <w:pPr>
        <w:spacing w:before="160" w:after="40"/>
      </w:pPr>
      <w:r>
        <w:rPr>
          <w:rFonts w:ascii="Arial" w:hAnsi="Arial"/>
          <w:b/>
          <w:color w:val="15803D"/>
          <w:sz w:val="21"/>
        </w:rPr>
        <w:t>Q:  Why does switching to Thai change the layout slightly?</w:t>
      </w:r>
    </w:p>
    <w:p>
      <w:pPr>
        <w:spacing w:before="40" w:after="100"/>
      </w:pPr>
      <w:r>
        <w:rPr>
          <w:rFonts w:ascii="Arial" w:hAnsi="Arial"/>
          <w:b w:val="0"/>
          <w:i w:val="0"/>
          <w:color w:val="475569"/>
          <w:sz w:val="21"/>
        </w:rPr>
        <w:t>A:  Thai script characters have different typographic metrics from Latin characters — they render at a slightly smaller visual size at the same font-size setting in most browsers. BiocharHub compensates by using a slightly larger font size for Thai headings. Minor visual differences between EN and TH are expected and do not affect functionality.</w:t>
      </w:r>
    </w:p>
    <w:p>
      <w:pPr>
        <w:spacing w:before="40" w:after="160"/>
        <w:pBdr>
          <w:bottom w:val="single" w:sz="6" w:space="1" w:color="E2E8F0"/>
        </w:pBdr>
      </w:pPr>
    </w:p>
    <w:p>
      <w:pPr>
        <w:spacing w:before="160" w:after="40"/>
      </w:pPr>
      <w:r>
        <w:rPr>
          <w:rFonts w:ascii="Arial" w:hAnsi="Arial"/>
          <w:b/>
          <w:color w:val="15803D"/>
          <w:sz w:val="21"/>
        </w:rPr>
        <w:t>Q:  How is the database updated?</w:t>
      </w:r>
    </w:p>
    <w:p>
      <w:pPr>
        <w:spacing w:before="40" w:after="100"/>
      </w:pPr>
      <w:r>
        <w:rPr>
          <w:rFonts w:ascii="Arial" w:hAnsi="Arial"/>
          <w:b w:val="0"/>
          <w:i w:val="0"/>
          <w:color w:val="475569"/>
          <w:sz w:val="21"/>
        </w:rPr>
        <w:t>A:  New records are added as the research team reviews newly published literature. The current dataset covers publications primarily from 2010–2024. The version number (shown in the platform footer and on this document) increments with each dataset update.</w:t>
      </w:r>
    </w:p>
    <w:p>
      <w:pPr>
        <w:spacing w:before="40" w:after="160"/>
        <w:pBdr>
          <w:bottom w:val="single" w:sz="6" w:space="1" w:color="E2E8F0"/>
        </w:pBdr>
      </w:pPr>
    </w:p>
    <w:sectPr w:rsidR="00FC693F" w:rsidRPr="0006063C" w:rsidSect="00034616">
      <w:headerReference w:type="default" r:id="rId9"/>
      <w:foot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475569"/>
        <w:sz w:val="15"/>
      </w:rPr>
      <w:t>BiocharHub  ·  v1.7  ·  Biochar CO₂ Adsorption Intelligence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475569"/>
        <w:sz w:val="16"/>
      </w:rPr>
      <w:t>BiocharHub Platform  |  User Guide — Knowledge Centre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5803D"/>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5803D"/>
      <w:sz w:val="3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15803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