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 w:after="0"/>
        <w:jc w:val="center"/>
      </w:pPr>
      <w:r>
        <w:rPr>
          <w:rFonts w:ascii="Arial" w:hAnsi="Arial"/>
          <w:b/>
          <w:color w:val="15803D"/>
          <w:sz w:val="56"/>
        </w:rPr>
        <w:t>🌱  BiocharHub</w:t>
      </w:r>
    </w:p>
    <w:p>
      <w:pPr>
        <w:spacing w:before="80" w:after="120"/>
        <w:jc w:val="center"/>
      </w:pPr>
      <w:r>
        <w:rPr>
          <w:rFonts w:ascii="Arial" w:hAnsi="Arial"/>
          <w:color w:val="475569"/>
          <w:sz w:val="22"/>
        </w:rPr>
        <w:t>AI-Driven Biochar CO₂ Adsorption Intelligence Platform</w:t>
      </w:r>
    </w:p>
    <w:p>
      <w:pPr>
        <w:spacing w:before="0" w:after="320"/>
        <w:jc w:val="center"/>
      </w:pPr>
      <w:r>
        <w:rPr>
          <w:rFonts w:ascii="Arial" w:hAnsi="Arial"/>
          <w:b/>
          <w:color w:val="16A34A"/>
          <w:sz w:val="19"/>
        </w:rPr>
        <w:t>Biochar Informatics · Data Mining · ML-Enhanced Research</w:t>
      </w:r>
    </w:p>
    <w:p>
      <w:pPr>
        <w:spacing w:before="40" w:after="160"/>
        <w:pBdr>
          <w:bottom w:val="single" w:sz="6" w:space="1" w:color="15803D"/>
        </w:pBdr>
      </w:pPr>
    </w:p>
    <w:p>
      <w:pPr>
        <w:spacing w:before="400" w:after="120"/>
        <w:jc w:val="center"/>
      </w:pPr>
      <w:r>
        <w:rPr>
          <w:rFonts w:ascii="Arial" w:hAnsi="Arial"/>
          <w:b/>
          <w:color w:val="0F172A"/>
          <w:sz w:val="44"/>
        </w:rPr>
        <w:t>แผนพัฒนาในอนาคต &amp; แผนที่นำทางการวิจัย</w:t>
      </w:r>
    </w:p>
    <w:p>
      <w:pPr>
        <w:spacing w:before="80" w:after="640"/>
        <w:jc w:val="center"/>
      </w:pPr>
      <w:r>
        <w:rPr>
          <w:rFonts w:ascii="Arial" w:hAnsi="Arial"/>
          <w:i/>
          <w:color w:val="475569"/>
          <w:sz w:val="22"/>
        </w:rPr>
        <w:t>แพลตฟอร์มฐานข้อมูลเชิงปัญญาประดิษฐ์สำหรับสารสนเทศไบโอชาร์และการทำเหมืองข้อมูล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F0FDF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b/>
                <w:color w:val="15803D"/>
                <w:sz w:val="19"/>
              </w:rPr>
              <w:t>Document Type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Research Development Plan &amp; Strategic Roadmap</w:t>
            </w:r>
          </w:p>
        </w:tc>
      </w:tr>
      <w:tr>
        <w:tc>
          <w:tcPr>
            <w:tcW w:type="dxa" w:w="2268"/>
            <w:shd w:val="clear" w:color="auto" w:fill="F0FDF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b/>
                <w:color w:val="15803D"/>
                <w:sz w:val="19"/>
              </w:rPr>
              <w:t>Version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ฉบับปี 2569</w:t>
            </w:r>
          </w:p>
        </w:tc>
      </w:tr>
      <w:tr>
        <w:tc>
          <w:tcPr>
            <w:tcW w:type="dxa" w:w="2268"/>
            <w:shd w:val="clear" w:color="auto" w:fill="F0FDF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b/>
                <w:color w:val="15803D"/>
                <w:sz w:val="19"/>
              </w:rPr>
              <w:t>Language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ภาษาไทย (TH)</w:t>
            </w:r>
          </w:p>
        </w:tc>
      </w:tr>
      <w:tr>
        <w:tc>
          <w:tcPr>
            <w:tcW w:type="dxa" w:w="2268"/>
            <w:shd w:val="clear" w:color="auto" w:fill="F0FDF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b/>
                <w:color w:val="15803D"/>
                <w:sz w:val="19"/>
              </w:rPr>
              <w:t>Platform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BiocharHub v1.7  ·  Biochar Informatics Platform</w:t>
            </w:r>
          </w:p>
        </w:tc>
      </w:tr>
      <w:tr>
        <w:tc>
          <w:tcPr>
            <w:tcW w:type="dxa" w:w="2268"/>
            <w:shd w:val="clear" w:color="auto" w:fill="F0FDF4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b/>
                <w:color w:val="15803D"/>
                <w:sz w:val="19"/>
              </w:rPr>
              <w:t>Prepared for</w:t>
            </w:r>
          </w:p>
        </w:tc>
        <w:tc>
          <w:tcPr>
            <w:tcW w:type="dxa" w:w="6803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MS Thesis Research  ·  AI-Driven Biochar Database</w:t>
            </w:r>
          </w:p>
        </w:tc>
      </w:tr>
    </w:tbl>
    <w:p/>
    <w:p>
      <w:r>
        <w:br w:type="page"/>
      </w:r>
    </w:p>
    <w:p>
      <w:pPr>
        <w:pStyle w:val="Heading1"/>
      </w:pPr>
      <w:r>
        <w:t>บทสรุปผู้บริหาร</w:t>
      </w:r>
    </w:p>
    <w:p>
      <w:pPr>
        <w:spacing w:before="40" w:after="160"/>
        <w:pBdr>
          <w:bottom w:val="single" w:sz="6" w:space="1" w:color="15803D"/>
        </w:pBdr>
      </w:pP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BiocharHub v1.7 ได้สร้างแพลตฟอร์มอัจฉริยะแบบเปิดที่รวบรวมระเบียนการทดลองการดูดซับ CO₂ ของไบโอชาร์ที่ผ่านการตรวจสอบจำนวน 1,396 รายการ พร้อมด้วยเครื่องมือพยากรณ์แบบแมชชีนเลิร์นนิง 3 ชุด เอกสารนี้อธิบายแผนงานพัฒนาเชิงกลยุทธ์สามระยะเพื่อพัฒนา BiocharHub ให้เป็นระบบนิเวศสารสนเทศไบโอชาร์และการทำเหมืองข้อมูลที่ครอบคลุม</w:t>
      </w:r>
    </w:p>
    <w:p>
      <w:pPr>
        <w:spacing w:before="40" w:after="120"/>
      </w:pPr>
      <w:r>
        <w:rPr>
          <w:rFonts w:ascii="Arial" w:hAnsi="Arial"/>
          <w:b/>
          <w:i w:val="0"/>
          <w:color w:val="475569"/>
          <w:sz w:val="21"/>
        </w:rPr>
        <w:t>แผนงานแบ่งออกเป็นสามขอบฟ้า: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ระยะ</w:t>
            </w:r>
          </w:p>
        </w:tc>
        <w:tc>
          <w:tcPr>
            <w:tcW w:type="dxa" w:w="1417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ขอบฟ้า</w:t>
            </w:r>
          </w:p>
        </w:tc>
        <w:tc>
          <w:tcPr>
            <w:tcW w:type="dxa" w:w="5102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จุดเน้น</w:t>
            </w:r>
          </w:p>
        </w:tc>
        <w:tc>
          <w:tcPr>
            <w:tcW w:type="dxa" w:w="1134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กรอบเวลา</w:t>
            </w:r>
          </w:p>
        </w:tc>
      </w:tr>
      <w:tr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ระยะที่ 1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ระยะสั้น</w:t>
            </w:r>
          </w:p>
        </w:tc>
        <w:tc>
          <w:tcPr>
            <w:tcW w:type="dxa" w:w="51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ปรับปรุงแพลตฟอร์ม API การส่งข้อมูลผู้ใช้</w:t>
            </w:r>
          </w:p>
        </w:tc>
        <w:tc>
          <w:tcPr>
            <w:tcW w:type="dxa" w:w="113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6–12 เดือน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ระยะที่ 2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ระยะกลาง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เครื่องมือสารสนเทศไบโอชาร์ ท่อส่งข้อมูล</w:t>
            </w:r>
          </w:p>
        </w:tc>
        <w:tc>
          <w:tcPr>
            <w:tcW w:type="dxa" w:w="1134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12–24 เดือน</w:t>
            </w:r>
          </w:p>
        </w:tc>
      </w:tr>
      <w:tr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ระยะที่ 3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ระยะยาว</w:t>
            </w:r>
          </w:p>
        </w:tc>
        <w:tc>
          <w:tcPr>
            <w:tcW w:type="dxa" w:w="51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เครือข่ายวิจัยระดับโลก ข้อมูลเชื่อมโยงสิ่งพิมพ์</w:t>
            </w:r>
          </w:p>
        </w:tc>
        <w:tc>
          <w:tcPr>
            <w:tcW w:type="dxa" w:w="113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24–36 เดือน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>1.  สถานะปัจจุบันของแพลตฟอร์ม (v1.7)</w:t>
      </w:r>
    </w:p>
    <w:p>
      <w:pPr>
        <w:spacing w:before="40" w:after="160"/>
        <w:pBdr>
          <w:bottom w:val="single" w:sz="6" w:space="1" w:color="15803D"/>
        </w:pBdr>
      </w:pPr>
    </w:p>
    <w:p>
      <w:pPr>
        <w:pStyle w:val="Heading2"/>
      </w:pPr>
      <w:r>
        <w:t>1.1  ฟีเจอร์ที่ใช้งานได้ในปัจจุบัน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โมดูล</w:t>
            </w:r>
          </w:p>
        </w:tc>
        <w:tc>
          <w:tcPr>
            <w:tcW w:type="dxa" w:w="1417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สถานะ</w:t>
            </w:r>
          </w:p>
        </w:tc>
        <w:tc>
          <w:tcPr>
            <w:tcW w:type="dxa" w:w="5102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คำอธิบาย</w:t>
            </w:r>
          </w:p>
        </w:tc>
      </w:tr>
      <w:tr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ระบบสำรวจฐานข้อมูล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✅ ใช้งานได้</w:t>
            </w:r>
          </w:p>
        </w:tc>
        <w:tc>
          <w:tcPr>
            <w:tcW w:type="dxa" w:w="51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1,396 ระเบียน กรองได้ เรียงลำดับได้ ส่งออก CSV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ตัวพยากรณ์ CO₂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✅ ใช้งานได้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การพยากรณ์ kNN สำหรับการดูดซับ CO₂ (mmol/g)</w:t>
            </w:r>
          </w:p>
        </w:tc>
      </w:tr>
      <w:tr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เครื่องมือประเมินคุณสมบัติ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✅ ใช้งานได้</w:t>
            </w:r>
          </w:p>
        </w:tc>
        <w:tc>
          <w:tcPr>
            <w:tcW w:type="dxa" w:w="51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พยากรณ์พื้นที่ผิว BET ปริมาตรรูพรุน ผลได้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ที่ปรึกษาวัสดุ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✅ ใช้งานได้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แนะนำวัตถุดิบและตัวกระตุ้นตามเป้าหมาย</w:t>
            </w:r>
          </w:p>
        </w:tc>
      </w:tr>
      <w:tr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UI สองภาษา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✅ ใช้งานได้</w:t>
            </w:r>
          </w:p>
        </w:tc>
        <w:tc>
          <w:tcPr>
            <w:tcW w:type="dxa" w:w="51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อินเทอร์เฟซ EN / TH ครบถ้วนพร้อมสลับธีม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Share Data (Admin)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🔒 ทดสอบ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พอร์ทัลส่งข้อมูลสำหรับผู้มีส่วนร่วมที่ได้รับอนุญาต</w:t>
            </w:r>
          </w:p>
        </w:tc>
      </w:tr>
      <w:tr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REST API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🔜 วางแผน</w:t>
            </w:r>
          </w:p>
        </w:tc>
        <w:tc>
          <w:tcPr>
            <w:tcW w:type="dxa" w:w="51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API สาธารณะสำหรับการเข้าถึงข้อมูลแบบโปรแกรม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การขุดข้อมูลอัตโนมัติ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🔜 วางแผน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การดึงระเบียนจากวรรณกรรมด้วย NLP</w:t>
            </w:r>
          </w:p>
        </w:tc>
      </w:tr>
    </w:tbl>
    <w:p>
      <w:pPr>
        <w:spacing w:after="120"/>
      </w:pPr>
    </w:p>
    <w:p>
      <w:pPr>
        <w:pStyle w:val="Heading2"/>
      </w:pPr>
      <w:r>
        <w:t>1.2  ความครอบคลุมของชุดข้อมูล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02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ตัวชี้วัด</w:t>
            </w:r>
          </w:p>
        </w:tc>
        <w:tc>
          <w:tcPr>
            <w:tcW w:type="dxa" w:w="1701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ค่าปัจจุบัน</w:t>
            </w:r>
          </w:p>
        </w:tc>
        <w:tc>
          <w:tcPr>
            <w:tcW w:type="dxa" w:w="3969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เป้าหมาย (ระยะที่ 3)</w:t>
            </w:r>
          </w:p>
        </w:tc>
      </w:tr>
      <w:tr>
        <w:tc>
          <w:tcPr>
            <w:tcW w:type="dxa" w:w="34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จำนวนระเบียนทั้งหมด</w:t>
            </w:r>
          </w:p>
        </w:tc>
        <w:tc>
          <w:tcPr>
            <w:tcW w:type="dxa" w:w="170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1,396</w:t>
            </w:r>
          </w:p>
        </w:tc>
        <w:tc>
          <w:tcPr>
            <w:tcW w:type="dxa" w:w="3969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5,000+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การทดลองที่ไม่ซ้ำกัน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59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200+</w:t>
            </w:r>
          </w:p>
        </w:tc>
      </w:tr>
      <w:tr>
        <w:tc>
          <w:tcPr>
            <w:tcW w:type="dxa" w:w="34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ประเภทชีวมวลที่ครอบคลุม</w:t>
            </w:r>
          </w:p>
        </w:tc>
        <w:tc>
          <w:tcPr>
            <w:tcW w:type="dxa" w:w="170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~40</w:t>
            </w:r>
          </w:p>
        </w:tc>
        <w:tc>
          <w:tcPr>
            <w:tcW w:type="dxa" w:w="3969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100+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วิธีการกระตุ้น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6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15+</w:t>
            </w:r>
          </w:p>
        </w:tc>
      </w:tr>
      <w:tr>
        <w:tc>
          <w:tcPr>
            <w:tcW w:type="dxa" w:w="34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แหล่งวารสาร</w:t>
            </w:r>
          </w:p>
        </w:tc>
        <w:tc>
          <w:tcPr>
            <w:tcW w:type="dxa" w:w="170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~25</w:t>
            </w:r>
          </w:p>
        </w:tc>
        <w:tc>
          <w:tcPr>
            <w:tcW w:type="dxa" w:w="3969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100+</w:t>
            </w:r>
          </w:p>
        </w:tc>
      </w:tr>
      <w:tr>
        <w:tc>
          <w:tcPr>
            <w:tcW w:type="dxa" w:w="34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ช่วงปีที่ตีพิมพ์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2010–2024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2000–ปัจจุบัน (อัปเดตอัตโนมัติ)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>2.  แผนงานพัฒนา</w:t>
      </w:r>
    </w:p>
    <w:p>
      <w:pPr>
        <w:spacing w:before="40" w:after="160"/>
        <w:pBdr>
          <w:bottom w:val="single" w:sz="6" w:space="1" w:color="15803D"/>
        </w:pBdr>
      </w:pPr>
    </w:p>
    <w:p>
      <w:pPr>
        <w:pStyle w:val="Heading2"/>
      </w:pPr>
      <w:r>
        <w:t>2.1  ระยะที่ 1 — ปรับปรุงแพลตฟอร์ม (6–12 เดือน)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CFDF5"/>
            <w:tcBorders>
              <w:top w:val="single" w:sz="4" w:space="0" w:color="A7F3D0"/>
              <w:left w:val="single" w:sz="4" w:space="0" w:color="A7F3D0"/>
              <w:bottom w:val="single" w:sz="4" w:space="0" w:color="A7F3D0"/>
              <w:right w:val="single" w:sz="4" w:space="0" w:color="A7F3D0"/>
            </w:tcBorders>
          </w:tcPr>
          <w:p>
            <w:r>
              <w:rPr>
                <w:rFonts w:ascii="Arial" w:hAnsi="Arial"/>
                <w:b/>
                <w:color w:val="15803D"/>
                <w:sz w:val="22"/>
              </w:rPr>
              <w:t xml:space="preserve">  Phase 1  ·  ปรับปรุงแพลตฟอร์ม  ·  6–12 เดือน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REST API สาธารณะสำหรับการเข้าถึงระเบียนทั้ง 1,396 รายการแบบโปรแกรม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พอร์ทัลส่งข้อมูลผู้ใช้พร้อมกระบวนการตรวจสอบโดยผู้เชี่ยวชาญ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การกรองขั้นสูง: การค้นหาแบบหลายพารามิเตอร์และตัวเลื่อนช่วง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ส่งออกการอ้างอิง (BibTeX, RIS, APA) สำหรับระเบียนทั้งหมด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กราฟกระจายและแผนที่ความร้อนแบบโต้ตอบสำหรับการวิเคราะห์เชิงสำรวจ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โมเดล ML ที่ปรับปรุงแล้ว: Random Forest + Gradient Boosting ensemble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การแสดงช่วงความเชื่อมั่นบนผลลัพธ์การพยากรณ์ทั้งหมด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เลย์เอาต์ที่ปรับให้เหมาะสมสำหรับมือถือสำหรับนักวิจัยในภาคสนาม</w:t>
            </w:r>
          </w:p>
        </w:tc>
      </w:tr>
    </w:tbl>
    <w:p>
      <w:pPr>
        <w:spacing w:after="120"/>
      </w:pPr>
    </w:p>
    <w:p>
      <w:pPr>
        <w:pStyle w:val="Heading2"/>
      </w:pPr>
      <w:r>
        <w:t>2.2  ระยะที่ 2 — เครื่องมือสารสนเทศไบโอชาร์ (12–24 เดือน)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6FF"/>
            <w:tcBorders>
              <w:top w:val="single" w:sz="4" w:space="0" w:color="BFDBFE"/>
              <w:left w:val="single" w:sz="4" w:space="0" w:color="BFDBFE"/>
              <w:bottom w:val="single" w:sz="4" w:space="0" w:color="BFDBFE"/>
              <w:right w:val="single" w:sz="4" w:space="0" w:color="BFDBFE"/>
            </w:tcBorders>
          </w:tcPr>
          <w:p>
            <w:r>
              <w:rPr>
                <w:rFonts w:ascii="Arial" w:hAnsi="Arial"/>
                <w:b/>
                <w:color w:val="15803D"/>
                <w:sz w:val="22"/>
              </w:rPr>
              <w:t xml:space="preserve">  Phase 2  ·  เครื่องมือสารสนเทศไบโอชาร์  ·  12–24 เดือน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การขุดวรรณกรรมอัตโนมัติด้วย NLP จาก PubMed, Scopus &amp; Web of Science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การดึงระเบียนกึ่งอัตโนมัติ: แยกวิเคราะห์ตารางการทดลองจาก PDF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การพยากรณ์หลายคุณสมบัติพร้อมกัน (CO₂ + BET + ปริมาตรรูพรุน + ผลได้)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โมเดล Transfer Learning: ปรับจากชีวมวลที่มีข้อมูลมากไปยังชนิดหายาก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เครื่องมือแนะนำการออกแบบการทดลอง: แนะนำเงื่อนไขที่เหมาะสมที่สุด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การตรวจจับความผิดปกติ: ระบุระเบียนที่ผิดปกติทางสถิติเพื่อการตรวจสอบ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ระบบการให้คะแนนคุณภาพข้อมูลสำหรับระเบียนที่ส่งและขุดได้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การติดตามแหล่งที่มาที่เชื่อมโยง DOI สำหรับทุกระเบียน</w:t>
            </w:r>
          </w:p>
        </w:tc>
      </w:tr>
    </w:tbl>
    <w:p>
      <w:pPr>
        <w:spacing w:after="120"/>
      </w:pPr>
    </w:p>
    <w:p>
      <w:pPr>
        <w:pStyle w:val="Heading2"/>
      </w:pPr>
      <w:r>
        <w:t>2.3  ระยะที่ 3 — เครือข่ายวิจัยระดับโลก (24–36 เดือน)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5F3FF"/>
            <w:tcBorders>
              <w:top w:val="single" w:sz="4" w:space="0" w:color="DDD6FE"/>
              <w:left w:val="single" w:sz="4" w:space="0" w:color="DDD6FE"/>
              <w:bottom w:val="single" w:sz="4" w:space="0" w:color="DDD6FE"/>
              <w:right w:val="single" w:sz="4" w:space="0" w:color="DDD6FE"/>
            </w:tcBorders>
          </w:tcPr>
          <w:p>
            <w:r>
              <w:rPr>
                <w:rFonts w:ascii="Arial" w:hAnsi="Arial"/>
                <w:b/>
                <w:color w:val="15803D"/>
                <w:sz w:val="22"/>
              </w:rPr>
              <w:t xml:space="preserve">  Phase 3  ·  เครือข่ายวิจัยร่วมมือระดับโลก  ·  24–36 เดือน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ฐานข้อมูลหลายสถาบันที่มีประวัติระเบียนแบบมีเวอร์ชัน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การรับข้อมูลการทดลองแบบเรียลไทม์จากเครื่องมือในห้องปฏิบัติการ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ข้อมูลเชื่อมโยงสิ่งพิมพ์: อัปเดตฐานข้อมูลอัตโนมัติเมื่อมีการตีพิมพ์ใหม่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การปฏิบัติตามหลักการข้อมูล FAIR (ค้นหาได้ เข้าถึงได้ ทำงานร่วมกันได้ นำกลับมาใช้ได้)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ขยายไปยังวัสดุอื่น: คาร์บอนกัมมันต์ MOFs ซีโอไลต์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ชั้น Query แบบกระจาย: ค้นหาฐานข้อมูลของสถาบันพันธมิตรโดยไม่รวมศูนย์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ระบบนิเวศ Open API พร้อม SDK สำหรับ Python, R และ MATLAB</w:t>
            </w:r>
          </w:p>
          <w:p>
            <w:pPr>
              <w:spacing w:before="20" w:after="40"/>
            </w:pPr>
            <w:r>
              <w:rPr>
                <w:rFonts w:ascii="Arial" w:hAnsi="Arial"/>
                <w:color w:val="475569"/>
                <w:sz w:val="20"/>
              </w:rPr>
              <w:t xml:space="preserve">  ✦  ชั้นตรวจสอบและคำอธิบายประกอบโดยชุมชนสำหรับแต่ละระเบียน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>3.  สารสนเทศไบโอชาร์และการทำเหมืองข้อมูล</w:t>
      </w:r>
    </w:p>
    <w:p>
      <w:pPr>
        <w:spacing w:before="40" w:after="160"/>
        <w:pBdr>
          <w:bottom w:val="single" w:sz="6" w:space="1" w:color="15803D"/>
        </w:pBdr>
      </w:pP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สารสนเทศไบโอชาร์ (Biochar Informatics) นำวิธีการคำนวณและวิทยาศาสตร์ข้อมูลมาประยุกต์ใช้อย่างเป็นระบบกับการศึกษาคุณสมบัติ เงื่อนไขการผลิต และผลลัพธ์ประสิทธิภาพของไบโอชาร์ โดเมนย่อยต่อไปนี้แสดงโอกาสการวิจัยหลักสำหรับแพลตฟอร์มฐานข้อมูลที่ขับเคลื่อนด้วย AI</w:t>
      </w:r>
    </w:p>
    <w:p>
      <w:pPr>
        <w:pStyle w:val="Heading2"/>
      </w:pPr>
      <w:r>
        <w:t>3.1  โอกาสการทำเหมืองข้อมูล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งานทำเหมืองข้อมูล</w:t>
            </w:r>
          </w:p>
        </w:tc>
        <w:tc>
          <w:tcPr>
            <w:tcW w:type="dxa" w:w="2835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แนวทาง</w:t>
            </w:r>
          </w:p>
        </w:tc>
        <w:tc>
          <w:tcPr>
            <w:tcW w:type="dxa" w:w="3402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คุณค่าการวิจัย</w:t>
            </w:r>
          </w:p>
        </w:tc>
      </w:tr>
      <w:tr>
        <w:tc>
          <w:tcPr>
            <w:tcW w:type="dxa" w:w="2835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การขุดความสัมพันธ์โครงสร้าง-คุณสมบัติ</w:t>
            </w:r>
          </w:p>
        </w:tc>
        <w:tc>
          <w:tcPr>
            <w:tcW w:type="dxa" w:w="2835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Association rule learning บนเงื่อนไขกระบวนการ vs. การดูดซับ CO₂</w:t>
            </w:r>
          </w:p>
        </w:tc>
        <w:tc>
          <w:tcPr>
            <w:tcW w:type="dxa" w:w="34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ค้นพบว่าการรวมพารามิเตอร์ใดที่ให้ประสิทธิภาพสูงอย่างสม่ำเสมอ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การจัดกลุ่มวัตถุดิบ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การจัดกลุ่มแบบไม่มีผู้ดูแล (k-means, HDBSCAN) บนองค์ประกอบชีวมวล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จัดกลุ่มประเภทชีวมวลตามพฤติกรรมการดูดซับที่คาดการณ์ได้</w:t>
            </w:r>
          </w:p>
        </w:tc>
      </w:tr>
      <w:tr>
        <w:tc>
          <w:tcPr>
            <w:tcW w:type="dxa" w:w="2835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การตรวจจับระเบียนผิดปกติและแชมป์</w:t>
            </w:r>
          </w:p>
        </w:tc>
        <w:tc>
          <w:tcPr>
            <w:tcW w:type="dxa" w:w="2835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Isolation Forest + การวิเคราะห์ z-score ทางสถิติ</w:t>
            </w:r>
          </w:p>
        </w:tc>
        <w:tc>
          <w:tcPr>
            <w:tcW w:type="dxa" w:w="3402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ระบุวัสดุที่โดดเด่นที่ควรสืบสวนเพิ่มเติม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ประสิทธิภาพวิธีการกระตุ้น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Multi-variate ANOVA + การเปรียบเทียบแบบจับคู่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วัดปริมาณว่าตัวกระตุ้นใดให้ BET &amp; CO₂ สูงสุด</w:t>
            </w:r>
          </w:p>
        </w:tc>
      </w:tr>
    </w:tbl>
    <w:p>
      <w:pPr>
        <w:spacing w:after="120"/>
      </w:pPr>
    </w:p>
    <w:p>
      <w:pPr>
        <w:pStyle w:val="Heading2"/>
      </w:pPr>
      <w:r>
        <w:t>3.2  แผนงานปรับปรุงโมเดล 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ประเภทโมเดล</w:t>
            </w:r>
          </w:p>
        </w:tc>
        <w:tc>
          <w:tcPr>
            <w:tcW w:type="dxa" w:w="1417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ระยะ</w:t>
            </w:r>
          </w:p>
        </w:tc>
        <w:tc>
          <w:tcPr>
            <w:tcW w:type="dxa" w:w="1984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ตัวชี้วัดเป้าหมาย</w:t>
            </w:r>
          </w:p>
        </w:tc>
        <w:tc>
          <w:tcPr>
            <w:tcW w:type="dxa" w:w="2551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การปรับปรุงที่คาดหวัง</w:t>
            </w:r>
          </w:p>
        </w:tc>
      </w:tr>
      <w:tr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k-Nearest Neighbour (ปัจจุบัน)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v1.7</w:t>
            </w:r>
          </w:p>
        </w:tc>
        <w:tc>
          <w:tcPr>
            <w:tcW w:type="dxa" w:w="198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MAE &lt; 1.2 mmol/g</w:t>
            </w:r>
          </w:p>
        </w:tc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เส้นฐาน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Random Forest Ensemble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ระยะที่ 1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MAE &lt; 0.8 mmol/g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+33% ความแม่นยำ</w:t>
            </w:r>
          </w:p>
        </w:tc>
      </w:tr>
      <w:tr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Gradient Boosting (XGBoost/LGB)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ระยะที่ 1</w:t>
            </w:r>
          </w:p>
        </w:tc>
        <w:tc>
          <w:tcPr>
            <w:tcW w:type="dxa" w:w="198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MAE &lt; 0.6 mmol/g</w:t>
            </w:r>
          </w:p>
        </w:tc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+50% ความแม่นยำ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Graph Neural Network (GNN)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ระยะที่ 2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MAE &lt; 0.4 mmol/g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จับความสัมพันธ์ระหว่างฟีเจอร์</w:t>
            </w:r>
          </w:p>
        </w:tc>
      </w:tr>
      <w:tr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Physics-Informed Neural Network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ระยะที่ 2</w:t>
            </w:r>
          </w:p>
        </w:tc>
        <w:tc>
          <w:tcPr>
            <w:tcW w:type="dxa" w:w="198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ตีความได้</w:t>
            </w:r>
          </w:p>
        </w:tc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ฝังทฤษฎีการดูดซับเป็นข้อจำกัด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Fine-tune โมเดลภาษาขนาดใหญ่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ระยะที่ 3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การขุดวรรณกรรม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ดึงข้อมูลจากบทความใหม่อัตโนมัติ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>4.  โอกาสการวิจัย</w:t>
      </w:r>
    </w:p>
    <w:p>
      <w:pPr>
        <w:spacing w:before="40" w:after="160"/>
        <w:pBdr>
          <w:bottom w:val="single" w:sz="6" w:space="1" w:color="15803D"/>
        </w:pBdr>
      </w:pP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แพลตฟอร์ม BiocharHub เปิดแนวทางการวิจัยต้นฉบับหลายแนวที่ผสมผสานวิทยาศาสตร์ข้อมูล สารสนเทศวัสดุ และวิศวกรรมสิ่งแวดล้อม ต่อไปนี้คือคำถามการวิจัยที่มีความสำคัญสูงซึ่งแพลตฟอร์มมีตำแหน่งพิเศษในการตอบ</w:t>
      </w:r>
    </w:p>
    <w:p>
      <w:pPr>
        <w:spacing w:before="160" w:after="40"/>
      </w:pPr>
      <w:r>
        <w:rPr>
          <w:rFonts w:ascii="Arial" w:hAnsi="Arial"/>
          <w:b/>
          <w:color w:val="15803D"/>
          <w:sz w:val="21"/>
        </w:rPr>
        <w:t>[R1]  โมเดล ML ทั่วไปสำหรับการดูดซับ CO₂ ของไบโอชาร์</w:t>
      </w: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โมเดล ML ทั่วไปที่ฝึกบนระเบียน 1,396+ รายการสามารถเอาชนะโมเดลถดถอยของแต่ละการศึกษาได้หรือไม่? ความสัมพันธ์กระบวนการ-ประสิทธิภาพสากลมีอะไรบ้าง?</w:t>
      </w:r>
    </w:p>
    <w:p>
      <w:pPr>
        <w:spacing w:before="40" w:after="160"/>
        <w:pBdr>
          <w:bottom w:val="single" w:sz="6" w:space="1" w:color="E2E8F0"/>
        </w:pBdr>
      </w:pPr>
    </w:p>
    <w:p>
      <w:pPr>
        <w:spacing w:before="160" w:after="40"/>
      </w:pPr>
      <w:r>
        <w:rPr>
          <w:rFonts w:ascii="Arial" w:hAnsi="Arial"/>
          <w:b/>
          <w:color w:val="15803D"/>
          <w:sz w:val="21"/>
        </w:rPr>
        <w:t>[R2]  การขุดวรรณกรรมไบโอชาร์อัตโนมัติในระดับขนาดใหญ่</w:t>
      </w: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โมเดล NLP สามารถดึงข้อมูลตารางการทดลองจากบทความ PDF แบบข้อความเต็มได้อย่างน่าเชื่อถือ &gt;90% เพื่อขยายฐานข้อมูลจาก 1,396 เป็น 10,000+ ระเบียนหรือไม่?</w:t>
      </w:r>
    </w:p>
    <w:p>
      <w:pPr>
        <w:spacing w:before="40" w:after="160"/>
        <w:pBdr>
          <w:bottom w:val="single" w:sz="6" w:space="1" w:color="E2E8F0"/>
        </w:pBdr>
      </w:pPr>
    </w:p>
    <w:p>
      <w:pPr>
        <w:spacing w:before="160" w:after="40"/>
      </w:pPr>
      <w:r>
        <w:rPr>
          <w:rFonts w:ascii="Arial" w:hAnsi="Arial"/>
          <w:b/>
          <w:color w:val="15803D"/>
          <w:sz w:val="21"/>
        </w:rPr>
        <w:t>[R3]  การเพิ่มประสิทธิภาพการออกแบบการทดลองด้วยวิธี Bayesian</w:t>
      </w: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การเพิ่มประสิทธิภาพ Bayesian บนพื้นที่ข้อมูลที่มีอยู่สามารถแนะนำเงื่อนไขการผลิตใหม่ที่ยังไม่ได้ทดสอบ โดยมี CO₂ uptake ที่คาดการณ์เกินค่าสูงสุดปัจจุบัน (&gt;7.5 mmol/g) ได้หรือไม่?</w:t>
      </w:r>
    </w:p>
    <w:p>
      <w:pPr>
        <w:spacing w:before="40" w:after="160"/>
        <w:pBdr>
          <w:bottom w:val="single" w:sz="6" w:space="1" w:color="E2E8F0"/>
        </w:pBdr>
      </w:pPr>
    </w:p>
    <w:p>
      <w:pPr>
        <w:spacing w:before="160" w:after="40"/>
      </w:pPr>
      <w:r>
        <w:rPr>
          <w:rFonts w:ascii="Arial" w:hAnsi="Arial"/>
          <w:b/>
          <w:color w:val="15803D"/>
          <w:sz w:val="21"/>
        </w:rPr>
        <w:t>[R4]  Transfer Learning ข้ามตระกูลชีวมวล</w:t>
      </w: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โมเดลที่ฝึกบนชีวมวลที่มีตัวแทนดี (แกลบข้าว ฟางข้าวโพด) สามารถถ่ายโอนประสิทธิภาพไปยังชีวมวลไทยหายากหรือเฉพาะภูมิภาคที่มีจุดข้อมูลน้อยได้หรือไม่?</w:t>
      </w:r>
    </w:p>
    <w:p>
      <w:pPr>
        <w:spacing w:before="40" w:after="160"/>
        <w:pBdr>
          <w:bottom w:val="single" w:sz="6" w:space="1" w:color="E2E8F0"/>
        </w:pBdr>
      </w:pPr>
    </w:p>
    <w:p>
      <w:pPr>
        <w:spacing w:before="160" w:after="40"/>
      </w:pPr>
      <w:r>
        <w:rPr>
          <w:rFonts w:ascii="Arial" w:hAnsi="Arial"/>
          <w:b/>
          <w:color w:val="15803D"/>
          <w:sz w:val="21"/>
        </w:rPr>
        <w:t>[R5]  การพยากรณ์หลายคุณสมบัติและการวิเคราะห์การแลกเปลี่ยน</w:t>
      </w: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การแลกเปลี่ยนพื้นฐานระหว่างการดูดซับ CO₂ พื้นที่ผิว BET ปริมาตรรูพรุน และผลได้ไบโอชาร์มีอะไรบ้าง? การเพิ่มประสิทธิภาพหลายวัตถุประสงค์สามารถระบุเงื่อนไขการผลิตที่เหมาะสมแบบ Pareto ได้หรือไม่?</w:t>
      </w:r>
    </w:p>
    <w:p>
      <w:pPr>
        <w:spacing w:before="40" w:after="160"/>
        <w:pBdr>
          <w:bottom w:val="single" w:sz="6" w:space="1" w:color="E2E8F0"/>
        </w:pBdr>
      </w:pPr>
    </w:p>
    <w:p>
      <w:pPr>
        <w:spacing w:before="160" w:after="40"/>
      </w:pPr>
      <w:r>
        <w:rPr>
          <w:rFonts w:ascii="Arial" w:hAnsi="Arial"/>
          <w:b/>
          <w:color w:val="15803D"/>
          <w:sz w:val="21"/>
        </w:rPr>
        <w:t>[R6]  การประเมินผลกระทบต่อสภาพภูมิอากาศของเส้นทางไบโอชาร์ที่เหมาะสมที่สุด</w:t>
      </w: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การผสานการพยากรณ์ ML กับข้อมูล LCA (Life-Cycle Assessment): เส้นทางการผลิตใดที่เพิ่มการดักจับ CO₂ ให้สูงสุดในขณะที่ลดการปล่อยก๊าซในระยะการผลิตให้น้อยที่สุด?</w:t>
      </w:r>
    </w:p>
    <w:p>
      <w:pPr>
        <w:spacing w:before="40" w:after="160"/>
        <w:pBdr>
          <w:bottom w:val="single" w:sz="6" w:space="1" w:color="E2E8F0"/>
        </w:pBdr>
      </w:pPr>
    </w:p>
    <w:p>
      <w:r>
        <w:br w:type="page"/>
      </w:r>
    </w:p>
    <w:p>
      <w:pPr>
        <w:pStyle w:val="Heading1"/>
      </w:pPr>
      <w:r>
        <w:t>5.  วิวัฒนาการสถาปัตยกรรมทางเทคนิค</w:t>
      </w:r>
    </w:p>
    <w:p>
      <w:pPr>
        <w:spacing w:before="40" w:after="160"/>
        <w:pBdr>
          <w:bottom w:val="single" w:sz="6" w:space="1" w:color="15803D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ชั้น</w:t>
            </w:r>
          </w:p>
        </w:tc>
        <w:tc>
          <w:tcPr>
            <w:tcW w:type="dxa" w:w="3118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ปัจจุบัน (v1.7)</w:t>
            </w:r>
          </w:p>
        </w:tc>
        <w:tc>
          <w:tcPr>
            <w:tcW w:type="dxa" w:w="3969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เป้าหมาย (ระยะที่ 2)</w:t>
            </w:r>
          </w:p>
        </w:tc>
      </w:tr>
      <w:tr>
        <w:tc>
          <w:tcPr>
            <w:tcW w:type="dxa" w:w="198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Frontend</w:t>
            </w:r>
          </w:p>
        </w:tc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React + Vite + Tailwind (แบบ static)</w:t>
            </w:r>
          </w:p>
        </w:tc>
        <w:tc>
          <w:tcPr>
            <w:tcW w:type="dxa" w:w="3969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React + Vite (เดิม) + GraphQL client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API Layer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ไม่มี (client-side เท่านั้น)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FastAPI (Python) REST + GraphQL</w:t>
            </w:r>
          </w:p>
        </w:tc>
      </w:tr>
      <w:tr>
        <w:tc>
          <w:tcPr>
            <w:tcW w:type="dxa" w:w="198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ML Engine</w:t>
            </w:r>
          </w:p>
        </w:tc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kNN บน static JSON</w:t>
            </w:r>
          </w:p>
        </w:tc>
        <w:tc>
          <w:tcPr>
            <w:tcW w:type="dxa" w:w="3969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Scikit-learn + XGBoost + PyTorch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Database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Static JSON bundle (1,396 ระเบียน)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PostgreSQL + pgvector</w:t>
            </w:r>
          </w:p>
        </w:tc>
      </w:tr>
      <w:tr>
        <w:tc>
          <w:tcPr>
            <w:tcW w:type="dxa" w:w="198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การขุดข้อมูล</w:t>
            </w:r>
          </w:p>
        </w:tc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การจัดการด้วยมือ</w:t>
            </w:r>
          </w:p>
        </w:tc>
        <w:tc>
          <w:tcPr>
            <w:tcW w:type="dxa" w:w="3969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Apache Airflow + LLM PDF extractor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Auth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ไม่มี (เปิดสาธารณะ)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OAuth 2.0 สำหรับผู้มีส่วนร่วม + admin</w:t>
            </w:r>
          </w:p>
        </w:tc>
      </w:tr>
      <w:tr>
        <w:tc>
          <w:tcPr>
            <w:tcW w:type="dxa" w:w="1984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Hosting</w:t>
            </w:r>
          </w:p>
        </w:tc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Static CDN</w:t>
            </w:r>
          </w:p>
        </w:tc>
        <w:tc>
          <w:tcPr>
            <w:tcW w:type="dxa" w:w="3969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Docker container + cloud deployment</w:t>
            </w:r>
          </w:p>
        </w:tc>
      </w:tr>
    </w:tbl>
    <w:p>
      <w:pPr>
        <w:spacing w:after="120"/>
      </w:pPr>
    </w:p>
    <w:p>
      <w:pPr>
        <w:pStyle w:val="Heading2"/>
      </w:pPr>
      <w:r>
        <w:t>5.1  ท่อข้อมูล (Data Pipeline)</w:t>
      </w:r>
    </w:p>
    <w:p>
      <w:pPr>
        <w:pStyle w:val="ListBullet"/>
        <w:spacing w:before="20" w:after="60"/>
        <w:ind w:left="397"/>
      </w:pPr>
      <w:r>
        <w:rPr>
          <w:rFonts w:ascii="Arial" w:hAnsi="Arial"/>
          <w:color w:val="475569"/>
          <w:sz w:val="21"/>
        </w:rPr>
        <w:t>การรับข้อมูล — ฟีด RSS/API จาก PubMed, Scopus, Web of Science สำหรับบทความไบโอชาร์ใหม่</w:t>
      </w:r>
    </w:p>
    <w:p>
      <w:pPr>
        <w:pStyle w:val="ListBullet"/>
        <w:spacing w:before="20" w:after="60"/>
        <w:ind w:left="397"/>
      </w:pPr>
      <w:r>
        <w:rPr>
          <w:rFonts w:ascii="Arial" w:hAnsi="Arial"/>
          <w:color w:val="475569"/>
          <w:sz w:val="21"/>
        </w:rPr>
        <w:t>การดึงข้อมูล — ตัวแยกวิเคราะห์ PDF ด้วย LLM ดึงตารางการทดลอง เงื่อนไข และผลลัพธ์</w:t>
      </w:r>
    </w:p>
    <w:p>
      <w:pPr>
        <w:pStyle w:val="ListBullet"/>
        <w:spacing w:before="20" w:after="60"/>
        <w:ind w:left="397"/>
      </w:pPr>
      <w:r>
        <w:rPr>
          <w:rFonts w:ascii="Arial" w:hAnsi="Arial"/>
          <w:color w:val="475569"/>
          <w:sz w:val="21"/>
        </w:rPr>
        <w:t>การตรวจสอบ — การตรวจสอบช่วงทางสถิติ + คิวตรวจสอบโดยมนุษย์สำหรับระเบียนที่ถูกตั้งค่าสถานะ</w:t>
      </w:r>
    </w:p>
    <w:p>
      <w:pPr>
        <w:pStyle w:val="ListBullet"/>
        <w:spacing w:before="20" w:after="60"/>
        <w:ind w:left="397"/>
      </w:pPr>
      <w:r>
        <w:rPr>
          <w:rFonts w:ascii="Arial" w:hAnsi="Arial"/>
          <w:color w:val="475569"/>
          <w:sz w:val="21"/>
        </w:rPr>
        <w:t>การเพิ่มข้อมูล — เชื่อมโยง DOI อัตโนมัติ ORCID ผู้แต่ง อนุกรมวิธานชีวมวล และการจัดประเภทการกระตุ้น</w:t>
      </w:r>
    </w:p>
    <w:p>
      <w:pPr>
        <w:pStyle w:val="ListBullet"/>
        <w:spacing w:before="20" w:after="60"/>
        <w:ind w:left="397"/>
      </w:pPr>
      <w:r>
        <w:rPr>
          <w:rFonts w:ascii="Arial" w:hAnsi="Arial"/>
          <w:color w:val="475569"/>
          <w:sz w:val="21"/>
        </w:rPr>
        <w:t>การฝึก — การฝึกโมเดล ML ใหม่ทุกคืนเมื่อระเบียนที่ตรวจสอบแล้วเกินเกณฑ์ (50+)</w:t>
      </w:r>
    </w:p>
    <w:p>
      <w:pPr>
        <w:pStyle w:val="ListBullet"/>
        <w:spacing w:before="20" w:after="60"/>
        <w:ind w:left="397"/>
      </w:pPr>
      <w:r>
        <w:rPr>
          <w:rFonts w:ascii="Arial" w:hAnsi="Arial"/>
          <w:color w:val="475569"/>
          <w:sz w:val="21"/>
        </w:rPr>
        <w:t>การให้บริการ — โมเดลให้บริการผ่าน FastAPI พร้อมการแคชการพยากรณ์สำหรับการรวมพารามิเตอร์ทั่วไป</w:t>
      </w:r>
    </w:p>
    <w:p>
      <w:r>
        <w:br w:type="page"/>
      </w:r>
    </w:p>
    <w:p>
      <w:pPr>
        <w:pStyle w:val="Heading1"/>
      </w:pPr>
      <w:r>
        <w:t>6.  ความต้องการทรัพยากรและกรอบเวลา</w:t>
      </w:r>
    </w:p>
    <w:p>
      <w:pPr>
        <w:spacing w:before="40" w:after="160"/>
        <w:pBdr>
          <w:bottom w:val="single" w:sz="6" w:space="1" w:color="15803D"/>
        </w:pBdr>
      </w:pPr>
    </w:p>
    <w:p>
      <w:pPr>
        <w:pStyle w:val="Heading2"/>
      </w:pPr>
      <w:r>
        <w:t>6.1  เหตุการณ์สำคัญ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18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เหตุการณ์สำคัญ</w:t>
            </w:r>
          </w:p>
        </w:tc>
        <w:tc>
          <w:tcPr>
            <w:tcW w:type="dxa" w:w="1417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วันที่เป้าหมาย</w:t>
            </w:r>
          </w:p>
        </w:tc>
        <w:tc>
          <w:tcPr>
            <w:tcW w:type="dxa" w:w="4535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ผลส่งมอบ</w:t>
            </w:r>
          </w:p>
        </w:tc>
      </w:tr>
      <w:tr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M1  เปิดตัว REST API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เดือนที่ 6</w:t>
            </w:r>
          </w:p>
        </w:tc>
        <w:tc>
          <w:tcPr>
            <w:tcW w:type="dxa" w:w="4535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API สาธารณะพร้อมการเข้าถึง 1,396 ระเบียนและเอกสาร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M2  อัปเกรด ML แบบ Ensemble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เดือนที่ 9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Random Forest + XGBoost แทนที่ kNN เดิม</w:t>
            </w:r>
          </w:p>
        </w:tc>
      </w:tr>
      <w:tr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M3  พอร์ทัลส่งข้อมูลผู้ใช้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เดือนที่ 12</w:t>
            </w:r>
          </w:p>
        </w:tc>
        <w:tc>
          <w:tcPr>
            <w:tcW w:type="dxa" w:w="4535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พอร์ทัลผู้มีส่วนร่วมเปิดพร้อมท่อตรวจสอบ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M4  เครื่องขุดอัตโนมัติ (อัลฟ่า)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เดือนที่ 18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ตัวดึง NLP ประมวลผล 50+ บทความต่อเดือน</w:t>
            </w:r>
          </w:p>
        </w:tc>
      </w:tr>
      <w:tr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M5  ก้าวถึง 5,000 ระเบียน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เดือนที่ 24</w:t>
            </w:r>
          </w:p>
        </w:tc>
        <w:tc>
          <w:tcPr>
            <w:tcW w:type="dxa" w:w="4535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ฐานข้อมูลขยายเป็น 5,000+ ระเบียนที่ตรวจสอบแล้ว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M6  ตัวพยากรณ์หลายคุณสมบัติ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เดือนที่ 24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การพยากรณ์พร้อมกันสำหรับ 5 คุณสมบัติไบโอชาร์</w:t>
            </w:r>
          </w:p>
        </w:tc>
      </w:tr>
      <w:tr>
        <w:tc>
          <w:tcPr>
            <w:tcW w:type="dxa" w:w="3118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M7  เครือข่ายพันธมิตรระดับโลก</w:t>
            </w:r>
          </w:p>
        </w:tc>
        <w:tc>
          <w:tcPr>
            <w:tcW w:type="dxa" w:w="1417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เดือนที่ 30</w:t>
            </w:r>
          </w:p>
        </w:tc>
        <w:tc>
          <w:tcPr>
            <w:tcW w:type="dxa" w:w="4535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สถาบัน 3+ แห่งร่วมส่งข้อมูล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M8  การรับรองข้อมูล FAIR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เดือนที่ 36</w:t>
            </w:r>
          </w:p>
        </w:tc>
        <w:tc>
          <w:tcPr>
            <w:tcW w:type="dxa" w:w="4535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การปฏิบัติตาม FAIR ครบถ้วนและการตีพิมพ์ข้อมูลเปิด</w:t>
            </w:r>
          </w:p>
        </w:tc>
      </w:tr>
    </w:tbl>
    <w:p>
      <w:pPr>
        <w:spacing w:after="120"/>
      </w:pPr>
    </w:p>
    <w:p>
      <w:pPr>
        <w:pStyle w:val="Heading2"/>
      </w:pPr>
      <w:r>
        <w:t>6.2  เครื่องมือและกรอบงานที่แนะนำ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โดเมน</w:t>
            </w:r>
          </w:p>
        </w:tc>
        <w:tc>
          <w:tcPr>
            <w:tcW w:type="dxa" w:w="6520"/>
            <w:shd w:val="clear" w:color="auto" w:fill="15803D"/>
            <w:tcBorders>
              <w:top w:val="single" w:sz="4" w:space="0" w:color="1A6B3A"/>
              <w:left w:val="single" w:sz="4" w:space="0" w:color="1A6B3A"/>
              <w:bottom w:val="single" w:sz="4" w:space="0" w:color="1A6B3A"/>
              <w:right w:val="single" w:sz="4" w:space="0" w:color="1A6B3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เครื่องมือที่แนะนำ</w:t>
            </w:r>
          </w:p>
        </w:tc>
      </w:tr>
      <w:tr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ML / การสร้างแบบจำลอง</w:t>
            </w:r>
          </w:p>
        </w:tc>
        <w:tc>
          <w:tcPr>
            <w:tcW w:type="dxa" w:w="6520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Scikit-learn, XGBoost, LightGBM, PyTorch, Optuna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NLP / การขุด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spaCy, Hugging Face Transformers, Grobid, LangChain</w:t>
            </w:r>
          </w:p>
        </w:tc>
      </w:tr>
      <w:tr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ฐานข้อมูล</w:t>
            </w:r>
          </w:p>
        </w:tc>
        <w:tc>
          <w:tcPr>
            <w:tcW w:type="dxa" w:w="6520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PostgreSQL + pgvector, Redis, Apache Parquet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Pipeline / การประสานงาน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Apache Airflow, Prefect หรือ Dagster</w:t>
            </w:r>
          </w:p>
        </w:tc>
      </w:tr>
      <w:tr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API</w:t>
            </w:r>
          </w:p>
        </w:tc>
        <w:tc>
          <w:tcPr>
            <w:tcW w:type="dxa" w:w="6520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FastAPI (Python), Pydantic, GraphQL (Strawberry)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การแสดงภาพ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Recharts (frontend), Plotly, Seaborn</w:t>
            </w:r>
          </w:p>
        </w:tc>
      </w:tr>
      <w:tr>
        <w:tc>
          <w:tcPr>
            <w:tcW w:type="dxa" w:w="2551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DevOps</w:t>
            </w:r>
          </w:p>
        </w:tc>
        <w:tc>
          <w:tcPr>
            <w:tcW w:type="dxa" w:w="6520"/>
            <w:shd w:val="clear" w:color="auto" w:fill="F0FDF4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Docker, GitHub Actions CI/CD, AWS / GCP / Azure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มาตรฐานข้อมูล</w:t>
            </w:r>
          </w:p>
        </w:tc>
        <w:tc>
          <w:tcPr>
            <w:tcW w:type="dxa" w:w="6520"/>
            <w:shd w:val="clear" w:color="auto" w:fill="FFFFFF"/>
            <w:tcBorders>
              <w:top w:val="single" w:sz="4" w:space="0" w:color="D1FAE5"/>
              <w:left w:val="single" w:sz="4" w:space="0" w:color="D1FAE5"/>
              <w:bottom w:val="single" w:sz="4" w:space="0" w:color="D1FAE5"/>
              <w:right w:val="single" w:sz="4" w:space="0" w:color="D1FAE5"/>
            </w:tcBorders>
          </w:tcPr>
          <w:p>
            <w:r>
              <w:rPr>
                <w:rFonts w:ascii="Arial" w:hAnsi="Arial"/>
                <w:color w:val="475569"/>
                <w:sz w:val="19"/>
              </w:rPr>
              <w:t>schema.org/Dataset, DataCite, FAIR, Dublin Core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>7.  บทสรุป</w:t>
      </w:r>
    </w:p>
    <w:p>
      <w:pPr>
        <w:spacing w:before="40" w:after="160"/>
        <w:pBdr>
          <w:bottom w:val="single" w:sz="6" w:space="1" w:color="15803D"/>
        </w:pBdr>
      </w:pP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BiocharHub มีตำแหน่งที่จะเติบโตจากการสาธิต ML ของวิทยานิพนธ์เดียวไปสู่แพลตฟอร์มสารสนเทศไบโอชาร์แบบเปิดที่ครอบคลุมที่สุดในโลก แผนงานสามระยะที่นำเสนอในที่นี้มีพื้นฐานจากชุดข้อมูลปัจจุบัน 1,396 ระเบียนที่ผ่านการตรวจสอบทางการทดลองและมีแนวทางจากวิสัยทัศน์ที่กว้างขึ้นของวิทยาศาสตร์ข้อมูลไบโอชาร์ที่ FAIR อัตโนมัติ และปรับปรุงด้วย AI</w:t>
      </w:r>
    </w:p>
    <w:p>
      <w:pPr>
        <w:spacing w:before="40" w:after="120"/>
      </w:pPr>
      <w:r>
        <w:rPr>
          <w:rFonts w:ascii="Arial" w:hAnsi="Arial"/>
          <w:b w:val="0"/>
          <w:i w:val="0"/>
          <w:color w:val="475569"/>
          <w:sz w:val="21"/>
        </w:rPr>
        <w:t>การบรรจบกันของการขุดวรรณกรรมอัตโนมัติ โมเดล ML ที่ใช้ฟิสิกส์เป็นพื้นฐาน และเครือข่ายวิจัยร่วมมือ สร้างผลสะสม: ข้อมูลที่มากขึ้นปรับปรุงความแม่นยำของโมเดล โมเดลที่ดีขึ้นดึงดูดผู้มีส่วนร่วมมากขึ้น และชุมชนที่ใหญ่ขึ้นเร่งการค้นพบทางวิทยาศาสตร์ในการดักจับคาร์บอน เกษตรกรรมยั่งยืน และระบบเศรษฐกิจชีวมวลแบบวงกลม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4" w:space="1" w:color="CCCCCC"/>
      </w:pBdr>
      <w:jc w:val="center"/>
    </w:pPr>
    <w:r>
      <w:rPr>
        <w:rFonts w:ascii="Arial" w:hAnsi="Arial"/>
        <w:color w:val="475569"/>
        <w:sz w:val="15"/>
      </w:rPr>
      <w:t>BiocharHub  ·  Biochar Informatics &amp; AI Research Platform  · 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1" w:color="15803D"/>
      </w:pBdr>
    </w:pPr>
    <w:r>
      <w:rPr>
        <w:rFonts w:ascii="Arial" w:hAnsi="Arial"/>
        <w:color w:val="475569"/>
        <w:sz w:val="16"/>
      </w:rPr>
      <w:t>BiocharHub Platform  |  แผนพัฒนาและแผนที่นำทางการวิจัย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5803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5803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580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