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第五章 测试报告</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章的目标是验证“链易配”系统功能与需求的一致性，确保系统能够正确、稳定地运行，并具备处理高并发请求和复杂图计算的能力。为此，对整个平台进行了全面的测试，包括测试目的、测试环境、测试流程以及典型测试用例和自动化性能压测的介绍。</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测试环境</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系统测试在真实或高度模拟生产环境的软硬件配置下进行，以确保测试结果的有效性。</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软件环境</w:t>
      </w:r>
      <w:r w:rsidDel="00000000" w:rsidR="00000000" w:rsidRPr="00000000">
        <w:rPr>
          <w:rFonts w:ascii="Google Sans" w:cs="Google Sans" w:eastAsia="Google Sans" w:hAnsi="Google Sans"/>
          <w:color w:val="1f1f1f"/>
          <w:rtl w:val="0"/>
        </w:rPr>
        <w:t xml:space="preserve">：后端采用 Flask 3.x 框架，Python (3.10 ~ 3.12)；前端采用 React 18 + TypeScript + Vite 编译；测试工具使用 Apifox 和 JMeter。</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硬件环境</w:t>
      </w:r>
      <w:r w:rsidDel="00000000" w:rsidR="00000000" w:rsidRPr="00000000">
        <w:rPr>
          <w:rFonts w:ascii="Google Sans" w:cs="Google Sans" w:eastAsia="Google Sans" w:hAnsi="Google Sans"/>
          <w:color w:val="1f1f1f"/>
          <w:rtl w:val="0"/>
        </w:rPr>
        <w:t xml:space="preserve">：推荐 Windows 10/11 或 Ubuntu 22.04 操作系统。</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客户端</w:t>
      </w:r>
      <w:r w:rsidDel="00000000" w:rsidR="00000000" w:rsidRPr="00000000">
        <w:rPr>
          <w:rFonts w:ascii="Google Sans" w:cs="Google Sans" w:eastAsia="Google Sans" w:hAnsi="Google Sans"/>
          <w:color w:val="1f1f1f"/>
          <w:rtl w:val="0"/>
        </w:rPr>
        <w:t xml:space="preserve">：Chrome 120+，Edge 120+，Firefox 120+ 等主流现代浏览器。</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数据库与中间件</w:t>
      </w:r>
      <w:r w:rsidDel="00000000" w:rsidR="00000000" w:rsidRPr="00000000">
        <w:rPr>
          <w:rFonts w:ascii="Google Sans" w:cs="Google Sans" w:eastAsia="Google Sans" w:hAnsi="Google Sans"/>
          <w:color w:val="1f1f1f"/>
          <w:rtl w:val="0"/>
        </w:rPr>
        <w:t xml:space="preserve">：MySQL 8.0（关系型数据），Neo4j（图数据库，bolt://localhost:7687），Redis 6379（缓存），FAISS（向量检索），以及本地 Ollama (Qwen2.5) 与云端 DeepSeek API。</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功能测试</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功能测试旨在测试“链易配”系统的各项功能是否能够正常工作，并且符合预期的功能需求。通过功能测试，可以确保智能匹配、SaaS订单管理、政府招商预警等各项功能能够正常运作。由于系统功能较多，限于篇幅，只展示了部分核心模块的功能测试。</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5.2.1 系统注册登录模块功能测试</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系统注册登录模块中主要是对企业入驻注册和登录审核机制是否有效进行测试，通过设计不同的用例，记录测试结果，具体结果如表5.1和表5.2所示：</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表 5.1 系统注册测试用例和测试记录</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测试用例编号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测试内容/说明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REG-001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验证企业名称为空时系统提示「请填写企业名称与密码」，注册失败，实际返回400并显示错误信息。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REG-002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验证密码长度&lt;6位时系统提示「密码长度至少6位」，注册失败，密码校验逻辑有效。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REG-003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验证两次密码不一致时系统提示「两次密码不一致」，注册失败，密码确认功能正常。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REG-004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验证企业名称已存在时返回409冲突状态码，提示「企业名称已存在」，唯一性约束生效。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REG-005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正常注册流程：填写完整信息后提交成功，verification_status='pending'，返回「注册成功！您的账号正在等待管理员审核」提示。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REG-006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重复提交注册请求时前端禁止重复提交，后端幂等性处理，返回成功消息。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REG-007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填写省份/城市/行业编码等可选字段，信息正确存储至Enterprise表，字段完整性验证通过。</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表 5.2 系统登录测试用例和测试记录</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测试用例编号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测试内容/说明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LOG-001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错误密码登录：输入错误密码「wrongpass」，返回401，提示「企业名称或密码错误」，登录失败。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LOG-002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待审核账号登录：账号verification_status='pending'时返回403，提示「您的账号正在等待管理员审核，请耐心等待」。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LOG-003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驳回账号登录：账号verification_status='rejected'时返回403，提示「您的注册申请已被驳回。原因：信息不符」。</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LOG-004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正常企业账号登录：已审核通过的test1账号登录成功，返回ok:true，redirect=/，role=enterprise，跳转至企业端首页。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LOG-005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政府账号登录：gov账号登录成功，redirect=/gov，role=government，正确路由至政府端大屏。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LOG-006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管理员账号登录：admin账号登录成功，redirect=/admin/dashboard，role=admin，正确进入管理后台。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LOG-007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已登录用户访问注册页：重定向至首页（SPA模式下返回当前角色对应的首页路径），防止会话劫持。</w:t>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[此处插入：图 5.1 用户登录有效性验证截图]</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5.2.2 智能匹配与 AI 意图识别测试</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当对智能匹配功能展开相关测试的时候，重点验证九维打分机制和 NLP 意图提取是否准确。此模块涉及的表单测试方面，其等价类表可参照表5.3，与之相关的测试用例可查看表5.4。</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表 5.3 智能匹配条件等价类表</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测试项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有效等价类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无效等价类</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产品名称输入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「精密电机」- 标准产品名称，长度≤10字符，匹配成功率100%；「电机」- 短名词，清洗规则识别正确。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「离我最近的电机」- 超过10字符，触发清洗规则压缩为「电机」；空字符串 - 触发缺少产品名错误，返回400。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行业编码输入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「C34」- 标准制造业编码，正确匹配Product.industry_code字段；「C38」- 计算机通信电子行业，同样有效。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「XYZ999」- 非标准编码，无法匹配任何Product记录，返回空结果；「C」- 不完整编码，降级为文本模糊匹配。</w:t>
            </w:r>
          </w:p>
        </w:tc>
      </w:tr>
      <w:tr>
        <w:tc>
          <w:tcPr>
            <w:tcW w:type="dxa" w:w="3120"/>
          </w:tcPr>
          <w:p>
            <w:r>
              <w:t>需求量参数</w:t>
            </w:r>
          </w:p>
        </w:tc>
        <w:tc>
          <w:tcPr>
            <w:tcW w:type="dxa" w:w="3120"/>
          </w:tcPr>
          <w:p>
            <w:r>
              <w:t>正整数如「100」「500」「1000」，参与产能匹配计算，当可用产能&gt;=需求量时得分正常。</w:t>
            </w:r>
          </w:p>
        </w:tc>
        <w:tc>
          <w:tcPr>
            <w:tcW w:type="dxa" w:w="3120"/>
          </w:tcPr>
          <w:p>
            <w:r>
              <w:t>「-10」- 负数，_calc_capacity_score中demand_quantity&lt;=0时返回50分兜底；「0」- 零值，等价类处理同负数。</w:t>
            </w:r>
          </w:p>
        </w:tc>
      </w:tr>
      <w:tr>
        <w:tc>
          <w:tcPr>
            <w:tcW w:type="dxa" w:w="3120"/>
          </w:tcPr>
          <w:p>
            <w:r>
              <w:t>地理位置参数</w:t>
            </w:r>
          </w:p>
        </w:tc>
        <w:tc>
          <w:tcPr>
            <w:tcW w:type="dxa" w:w="3120"/>
          </w:tcPr>
          <w:p>
            <w:r>
              <w:t>有效经纬度「lat:22.5, lng:114.1」，geodesic计算距离正常，距离评分函数_calc_distance_score正常工作。</w:t>
            </w:r>
          </w:p>
        </w:tc>
        <w:tc>
          <w:tcPr>
            <w:tcW w:type="dxa" w:w="3120"/>
          </w:tcPr>
          <w:p>
            <w:r>
              <w:t>「lat:999, lng:999」- 超界经纬度，geopy捕获异常后返回None，距离评分为兜底值60分。</w:t>
            </w:r>
          </w:p>
        </w:tc>
      </w:tr>
      <w:tr>
        <w:tc>
          <w:tcPr>
            <w:tcW w:type="dxa" w:w="3120"/>
          </w:tcPr>
          <w:p>
            <w:r>
              <w:t>权重参数（动态调整）</w:t>
            </w:r>
          </w:p>
        </w:tc>
        <w:tc>
          <w:tcPr>
            <w:tcW w:type="dxa" w:w="3120"/>
          </w:tcPr>
          <w:p>
            <w:r>
              <w:t>「green:0.45, distance:0.08」- 权重和归一化后green占45%，满足绿色优先场景。</w:t>
            </w:r>
          </w:p>
        </w:tc>
        <w:tc>
          <w:tcPr>
            <w:tcW w:type="dxa" w:w="3120"/>
          </w:tcPr>
          <w:p>
            <w:r>
              <w:t>「green:1.5, distance:0.1」- 权重和&gt;1.0，_merge_dynamic_weights自动归一化处理。</w:t>
            </w:r>
          </w:p>
        </w:tc>
      </w:tr>
      <w:tr>
        <w:tc>
          <w:tcPr>
            <w:tcW w:type="dxa" w:w="3120"/>
          </w:tcPr>
          <w:p>
            <w:r>
              <w:t>筛选条件-min_patent</w:t>
            </w:r>
          </w:p>
        </w:tc>
        <w:tc>
          <w:tcPr>
            <w:tcW w:type="dxa" w:w="3120"/>
          </w:tcPr>
          <w:p>
            <w:r>
              <w:t>「min_patent:1」- 正确过滤无专利企业，无专利企业被排除在结果之外。</w:t>
            </w:r>
          </w:p>
        </w:tc>
        <w:tc>
          <w:tcPr>
            <w:tcW w:type="dxa" w:w="3120"/>
          </w:tcPr>
          <w:p>
            <w:r>
              <w:t>「min_patent:-5」- 负数异常值，Python max(0, -5)处理后忽略该筛选条件。</w:t>
            </w:r>
          </w:p>
        </w:tc>
      </w:tr>
      <w:tr>
        <w:tc>
          <w:tcPr>
            <w:tcW w:type="dxa" w:w="3120"/>
          </w:tcPr>
          <w:p>
            <w:r>
              <w:t>筛选条件-min_capacity</w:t>
            </w:r>
          </w:p>
        </w:tc>
        <w:tc>
          <w:tcPr>
            <w:tcW w:type="dxa" w:w="3120"/>
          </w:tcPr>
          <w:p>
            <w:r>
              <w:t>「min_capacity:80」- 正确过滤产能&lt;80的企业。</w:t>
            </w:r>
          </w:p>
        </w:tc>
        <w:tc>
          <w:tcPr>
            <w:tcW w:type="dxa" w:w="3120"/>
          </w:tcPr>
          <w:p>
            <w:r>
              <w:t>「min_capacity:200」- 超出任何企业实际产能，所有企业被过滤，此时返回空列表而非异常。</w:t>
            </w:r>
          </w:p>
        </w:tc>
      </w:tr>
      <w:tr>
        <w:tc>
          <w:tcPr>
            <w:tcW w:type="dxa" w:w="3120"/>
          </w:tcPr>
          <w:p>
            <w:r>
              <w:t>排序方式sort_by</w:t>
            </w:r>
          </w:p>
        </w:tc>
        <w:tc>
          <w:tcPr>
            <w:tcW w:type="dxa" w:w="3120"/>
          </w:tcPr>
          <w:p>
            <w:r>
              <w:t>「sort_by:score」- 按综合得分降序；「sort_by:distance」- 按距离升序；「sort_by:capacity」- 按产能降序。</w:t>
            </w:r>
          </w:p>
        </w:tc>
        <w:tc>
          <w:tcPr>
            <w:tcW w:type="dxa" w:w="3120"/>
          </w:tcPr>
          <w:p>
            <w:r>
              <w:t>「sort_by:unknown」- 未知字段，降级为默认sort_by:score。</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表 5.4 智能匹配与 NLP 对话测试表</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测试项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输入等价类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预期结果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实际结果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NLP指令-距离优先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「找一家距离近的电机供应商」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distance权重+0.20，AI回复「好的，已优先考虑距离因素」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distance权重从0.13提升至0.33，近距离企业排名上升，AI正确回复。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NLP指令-价格/产能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「有没有便宜一点的」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capacity权重+0.15，AI回复「已为您优先推荐产能充足」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capacity权重提升，产能充足企业优先展示，AI正确回复。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NLP指令-急单筛选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「急单！能接急单的供应商」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min_capacity&gt;=80过滤+capacity权重+0.20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仅返回产能&gt;=80的企业，产能紧张企业被过滤，筛选生效。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NLP指令-专利筛选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「有没有有专利的技术型企业」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min_patent&gt;=1过滤+tech权重+0.25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筛选出至少1项专利的企业，技术维度得分权重提升。</w:t>
            </w:r>
          </w:p>
        </w:tc>
      </w:tr>
      <w:tr>
        <w:tc>
          <w:tcPr>
            <w:tcW w:type="dxa" w:w="2340"/>
          </w:tcPr>
          <w:p>
            <w:r>
              <w:t>NLP指令-历史合作</w:t>
            </w:r>
          </w:p>
        </w:tc>
        <w:tc>
          <w:tcPr>
            <w:tcW w:type="dxa" w:w="2340"/>
          </w:tcPr>
          <w:p>
            <w:r>
              <w:t>「我们之前合作过的老供应商」</w:t>
            </w:r>
          </w:p>
        </w:tc>
        <w:tc>
          <w:tcPr>
            <w:tcW w:type="dxa" w:w="2340"/>
          </w:tcPr>
          <w:p>
            <w:r>
              <w:t>history权重+0.25，有Transaction记录的企业优先</w:t>
            </w:r>
          </w:p>
        </w:tc>
        <w:tc>
          <w:tcPr>
            <w:tcW w:type="dxa" w:w="2340"/>
          </w:tcPr>
          <w:p>
            <w:r>
              <w:t>有历史合作记录的企业（如&gt;=1次成交）排名显著提升。</w:t>
            </w:r>
          </w:p>
        </w:tc>
      </w:tr>
      <w:tr>
        <w:tc>
          <w:tcPr>
            <w:tcW w:type="dxa" w:w="2340"/>
          </w:tcPr>
          <w:p>
            <w:r>
              <w:t>NLP指令-信用筛选</w:t>
            </w:r>
          </w:p>
        </w:tc>
        <w:tc>
          <w:tcPr>
            <w:tcW w:type="dxa" w:w="2340"/>
          </w:tcPr>
          <w:p>
            <w:r>
              <w:t>「信用好的靠谱供应商」</w:t>
            </w:r>
          </w:p>
        </w:tc>
        <w:tc>
          <w:tcPr>
            <w:tcW w:type="dxa" w:w="2340"/>
          </w:tcPr>
          <w:p>
            <w:r>
              <w:t>min_credit&gt;=80过滤，AI回复「已筛选信用评分80分以上」</w:t>
            </w:r>
          </w:p>
        </w:tc>
        <w:tc>
          <w:tcPr>
            <w:tcW w:type="dxa" w:w="2340"/>
          </w:tcPr>
          <w:p>
            <w:r>
              <w:t>筛选出credit_score&gt;=80的企业，信用维度生效。</w:t>
            </w:r>
          </w:p>
        </w:tc>
      </w:tr>
      <w:tr>
        <w:tc>
          <w:tcPr>
            <w:tcW w:type="dxa" w:w="2340"/>
          </w:tcPr>
          <w:p>
            <w:r>
              <w:t>NLP指令-绿色低碳</w:t>
            </w:r>
          </w:p>
        </w:tc>
        <w:tc>
          <w:tcPr>
            <w:tcW w:type="dxa" w:w="2340"/>
          </w:tcPr>
          <w:p>
            <w:r>
              <w:t>「我要绿色低碳的供应商」</w:t>
            </w:r>
          </w:p>
        </w:tc>
        <w:tc>
          <w:tcPr>
            <w:tcW w:type="dxa" w:w="2340"/>
          </w:tcPr>
          <w:p>
            <w:r>
              <w:t>green权重从0.15提升至0.45，绿色工厂优先</w:t>
            </w:r>
          </w:p>
        </w:tc>
        <w:tc>
          <w:tcPr>
            <w:tcW w:type="dxa" w:w="2340"/>
          </w:tcPr>
          <w:p>
            <w:r>
              <w:t>权重自动重分配，is_green_factory=True企业排在前列。</w:t>
            </w:r>
          </w:p>
        </w:tc>
      </w:tr>
      <w:tr>
        <w:tc>
          <w:tcPr>
            <w:tcW w:type="dxa" w:w="2340"/>
          </w:tcPr>
          <w:p>
            <w:r>
              <w:t>NLP指令-绿色工厂</w:t>
            </w:r>
          </w:p>
        </w:tc>
        <w:tc>
          <w:tcPr>
            <w:tcW w:type="dxa" w:w="2340"/>
          </w:tcPr>
          <w:p>
            <w:r>
              <w:t>「绿色工厂认证的企业」</w:t>
            </w:r>
          </w:p>
        </w:tc>
        <w:tc>
          <w:tcPr>
            <w:tcW w:type="dxa" w:w="2340"/>
          </w:tcPr>
          <w:p>
            <w:r>
              <w:t>green_only过滤，is_green_factory=true</w:t>
            </w:r>
          </w:p>
        </w:tc>
        <w:tc>
          <w:tcPr>
            <w:tcW w:type="dxa" w:w="2340"/>
          </w:tcPr>
          <w:p>
            <w:r>
              <w:t>仅返回绿色工厂认证企业，非绿色工厂全部过滤。</w:t>
            </w:r>
          </w:p>
        </w:tc>
      </w:tr>
      <w:tr>
        <w:tc>
          <w:tcPr>
            <w:tcW w:type="dxa" w:w="2340"/>
          </w:tcPr>
          <w:p>
            <w:r>
              <w:t>NLP指令-重置偏好</w:t>
            </w:r>
          </w:p>
        </w:tc>
        <w:tc>
          <w:tcPr>
            <w:tcW w:type="dxa" w:w="2340"/>
          </w:tcPr>
          <w:p>
            <w:r>
              <w:t>「重置匹配偏好」</w:t>
            </w:r>
          </w:p>
        </w:tc>
        <w:tc>
          <w:tcPr>
            <w:tcW w:type="dxa" w:w="2340"/>
          </w:tcPr>
          <w:p>
            <w:r>
              <w:t>恢复DEFAULT_WEIGHTS，AI回复「已恢复为默认匹配权重」</w:t>
            </w:r>
          </w:p>
        </w:tc>
        <w:tc>
          <w:tcPr>
            <w:tcW w:type="dxa" w:w="2340"/>
          </w:tcPr>
          <w:p>
            <w:r>
              <w:t>权重恢复为product:0.22/distance:0.13/green:0.15等初始值。</w:t>
            </w:r>
          </w:p>
        </w:tc>
      </w:tr>
      <w:tr>
        <w:tc>
          <w:tcPr>
            <w:tcW w:type="dxa" w:w="2340"/>
          </w:tcPr>
          <w:p>
            <w:r>
              <w:t>NLP指令-无效输入</w:t>
            </w:r>
          </w:p>
        </w:tc>
        <w:tc>
          <w:tcPr>
            <w:tcW w:type="dxa" w:w="2340"/>
          </w:tcPr>
          <w:p>
            <w:r>
              <w:t>「你好啊」（无关键词）</w:t>
            </w:r>
          </w:p>
        </w:tc>
        <w:tc>
          <w:tcPr>
            <w:tcW w:type="dxa" w:w="2340"/>
          </w:tcPr>
          <w:p>
            <w:r>
              <w:t>返回帮助信息，不触发权重调整</w:t>
            </w:r>
          </w:p>
        </w:tc>
        <w:tc>
          <w:tcPr>
            <w:tcW w:type="dxa" w:w="2340"/>
          </w:tcPr>
          <w:p>
            <w:r>
              <w:t>_build_help_reply()返回帮助说明，无权重变化，结果不变。</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[此处插入：图 5.2 智能匹配与 AI 推荐理由展示图]</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5.2.3 SaaS 订单管理功能测试</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订单模块中主要是对创建订单、状态流转功能是否有效进行测试，通过设计详细的用例，记录测试结果如表5.5所示：</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表 5.5 创建订单测试用例</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测试用例编号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测试内容/说明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ORD-001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创建订单-缺少必填字段：仅填写product_name时，后端校验发现缺少quantity/unit/customer_name/order_date，抛出异常，前端提示「请填写所有必填字段」，返回400。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ORD-002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创建订单-日期格式错误：order_date输入「2026-13-45」，strptime解析失败抛出ValueError，被上层捕获后提示格式错误，订单创建失败。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ORD-003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创建订单-正常流程：填写完整信息后提交成功，系统生成唯一order_no，status='in_progress'，current_orders字段累加500，订单创建成功。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ORD-004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订单状态流转-in_progress→completed：调用update_order_status，progress计算为100%，actual_delivery_date记录交货时间，状态更新成功。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ORD-005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订单状态流转-in_progress→cancelled：调用delete_order或update_status('cancelled')，订单标记为已取消，数据保留。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ORD-006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产能日历数据：访问/orders/capacity-calendar?year=2026&amp;month=4，返回每日订单分布数据，包含in_progress订单数和进度百分比。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ORD-007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订单导出CSV：访问/orders/export，返回orders_2026xxxx.csv，包含order_no/product_name/quantity/status等字段，Excel可直接打开（UTF-8-sig编码）。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ORD-008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无权操作他人订单：尝试修改/删除非当前用户订单，验证enterprise_id!=current_user.id时返回403无权访问。</w:t>
            </w:r>
          </w:p>
        </w:tc>
      </w:tr>
    </w:tbl>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5.2.4 政府招商与风险预警测试</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本环节重点测试产业链缺口分析与招商任务下发功能，验证 MySQL 与 Neo4j 双数据源融合查询的准确性。</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表 5.6 产业链缺口分析测试用例</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测试用例编号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测试内容/说明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ALERT-001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查询特定产品产业链缺口：政府端访问产业链分析页面，选择「精密电机」，MySQL返回C34行业Enterprise记录，Neo4j返回图谱上下游关系，双数据源融合查询成功。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ALERT-002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MySQL+Neo4j双数据源融合：查询C38行业缺口时，MySQL提供企业基础数据（名称/产能/信用），Neo4j提供产业链拓扑关系（供应商→制造商→采购商），融合结果一致。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ALERT-003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招商任务下发：调用/api/alerts/{id}/assign，指定assigned_to和deadline，成功创建AlertWorkflow，status='pending'，任务派发成功。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ALERT-004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招商任务处置-接受：处理人调用/api/alert-workflows/{id}/start，状态从pending→processing，start_processing记录处理开始时间。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ALERT-005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招商任务处置-提交：处理人填写handling_notes和evidence_urls，调用/api/alert-workflows/{id}/submit，状态processing→submitted，处理结果已记录。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ALERT-006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政府端预警大屏：访问/alert-center，预警按红/黄/蓝三色分类展示，红色预警置顶，统计各等级数量，总数统计正确。</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ALERT-007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预警处置审核-通过：管理员调用/api/alert-workflows/{id}/review，approved=true，状态reviewed→completed，alert.is_active=False，预警关闭。</w:t>
            </w:r>
          </w:p>
        </w:tc>
      </w:tr>
      <w:tr>
        <w:tc>
          <w:tcPr>
            <w:tcW w:type="dxa" w:w="4680"/>
          </w:tcPr>
          <w:p>
            <w:r>
              <w:t>ALERT-008</w:t>
            </w:r>
          </w:p>
        </w:tc>
        <w:tc>
          <w:tcPr>
            <w:tcW w:type="dxa" w:w="4680"/>
          </w:tcPr>
          <w:p>
            <w:r>
              <w:t>预警处置审核-驳回：管理员审核不通过，approved=false，附上review_notes，workflow退回processing状态，处理人需重新处置。</w:t>
            </w:r>
          </w:p>
        </w:tc>
      </w:tr>
    </w:tbl>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5.2.5 区块链存证特色功能测试</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表 5.7 区块链防篡改与强化学习机制测试记录</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测试用例编号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测试内容/说明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BC-001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签署合作协议-哈希生成：调用api_inquiry_sign，使用SHA256(feedback_id:buyer_id:supplier_id:product_name:today_iso)生成64位十六进制哈希，存储至blockchain_evidence_hash字段。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BC-002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哈希防篡改验证：用原始字段重新计算哈希，与存储的blockchain_evidence_hash对比一致；任何字段篡改（buyer_id/supplier_id/product_name/日期任一变化）导致哈希不匹配，验证有效。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BC-003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重复签署幂等性：已签署记录再次调用sign，检测到already_signed=True，直接返回成功不重复生成哈希，不重复调用update_rl_signal，rl_reward_applied防止重复奖励。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BC-004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强化学习RL奖励触发：签署合作协议后自动调用update_rl_signal(id, reward=1.0)，rl_signal表记录奖励值，rl_reward_applied标记防止重复。</w:t>
            </w:r>
          </w:p>
        </w:tc>
      </w:tr>
      <w:tr>
        <w:tc>
          <w:tcPr>
            <w:tcW w:type="dxa" w:w="4680"/>
          </w:tcPr>
          <w:p>
            <w:r>
              <w:t>BC-005</w:t>
            </w:r>
          </w:p>
        </w:tc>
        <w:tc>
          <w:tcPr>
            <w:tcW w:type="dxa" w:w="4680"/>
          </w:tcPr>
          <w:p>
            <w:r>
              <w:t>Bandit反馈-点击行为：用户点击供应商时调用/api/match/feedback，clicked=True，MatchFeedback记录创建，dim_scores和match_score已记录。</w:t>
            </w:r>
          </w:p>
        </w:tc>
      </w:tr>
      <w:tr>
        <w:tc>
          <w:tcPr>
            <w:tcW w:type="dxa" w:w="4680"/>
          </w:tcPr>
          <w:p>
            <w:r>
              <w:t>BC-006</w:t>
            </w:r>
          </w:p>
        </w:tc>
        <w:tc>
          <w:tcPr>
            <w:tcW w:type="dxa" w:w="4680"/>
          </w:tcPr>
          <w:p>
            <w:r>
              <w:t>Bandit反馈-联系行为：发起询盘时contacted=True，MatchFeedback更新status='contacted'，同时创建Inquiry记录，两者状态同步。</w:t>
            </w:r>
          </w:p>
        </w:tc>
      </w:tr>
      <w:tr>
        <w:tc>
          <w:tcPr>
            <w:tcW w:type="dxa" w:w="4680"/>
          </w:tcPr>
          <w:p>
            <w:r>
              <w:t>BC-007</w:t>
            </w:r>
          </w:p>
        </w:tc>
        <w:tc>
          <w:tcPr>
            <w:tcW w:type="dxa" w:w="4680"/>
          </w:tcPr>
          <w:p>
            <w:r>
              <w:t>电子合同生成：买卖双方确认合作后调用/api/contract/create，生成合同ID（格式CT-buyer_id-seller_id-timestamp），terms数据完整保存。</w:t>
            </w:r>
          </w:p>
        </w:tc>
      </w:tr>
      <w:tr>
        <w:tc>
          <w:tcPr>
            <w:tcW w:type="dxa" w:w="4680"/>
          </w:tcPr>
          <w:p>
            <w:r>
              <w:t>BC-008</w:t>
            </w:r>
          </w:p>
        </w:tc>
        <w:tc>
          <w:tcPr>
            <w:tcW w:type="dxa" w:w="4680"/>
          </w:tcPr>
          <w:p>
            <w:r>
              <w:t>电子合同双方签署：买卖双方分别调用/api/contract/sign，sign_contract调用e签宝/法大大API（mock模式），双方签署后status='signed'，生成撮合码。</w:t>
            </w:r>
          </w:p>
        </w:tc>
      </w:tr>
    </w:tbl>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自动化测试与性能测试</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Apifox 是一款集成 API 设计、开发、测试等多个环节的高效工具，支持自动化测试，能够显著提高软件测试的效率和质量。同时，结合 JMeter 可以对系统进行高并发下的压力测试。以下是测试的详细描述及具体过程。</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首先将所用到的所有接口（如 /api/match/ai, /api/orders 等共计十余个核心接口）都导入到 Apifox 中，配置好环境变量和全局 Token。再配置自动化测试的测试环境，在循环次数为 50-100，并发线程数为 30-50 的环境下进行性能摸底。</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[此处插入：图 5.3 总体功能测试配置图（Apifox 界面）]</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5.3.1 编排性能测试场景</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在启动性能测试之前，需要先编写测试用例。从接口中导入“链易配”的核心业务用例。测试用例请求接口如图5.4所示：</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[此处插入：图 5.4 测试用例请求接口展示图]</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5.3.2 设置性能测试运行配置</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完成性能测试场景编排后，遵循以下系统配置规范，精准构建符合预期的测试执行框架：</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t>
      </w:r>
      <w:r w:rsidDel="00000000" w:rsidR="00000000" w:rsidRPr="00000000">
        <w:rPr>
          <w:rFonts w:ascii="Google Sans" w:cs="Google Sans" w:eastAsia="Google Sans" w:hAnsi="Google Sans"/>
          <w:b w:val="1"/>
          <w:bCs w:val="1"/>
          <w:color w:val="1f1f1f"/>
          <w:rtl w:val="0"/>
        </w:rPr>
        <w:t xml:space="preserve">并发用户调控</w:t>
      </w:r>
      <w:r w:rsidDel="00000000" w:rsidR="00000000" w:rsidRPr="00000000">
        <w:rPr>
          <w:rFonts w:ascii="Google Sans" w:cs="Google Sans" w:eastAsia="Google Sans" w:hAnsi="Google Sans"/>
          <w:color w:val="1f1f1f"/>
          <w:rtl w:val="0"/>
        </w:rPr>
        <w:t xml:space="preserve">：设定核心匹配接口并发用户数为 30~50，模拟真实工业园区的集中采购并发场景。</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w:t>
      </w:r>
      <w:r w:rsidDel="00000000" w:rsidR="00000000" w:rsidRPr="00000000">
        <w:rPr>
          <w:rFonts w:ascii="Google Sans" w:cs="Google Sans" w:eastAsia="Google Sans" w:hAnsi="Google Sans"/>
          <w:b w:val="1"/>
          <w:bCs w:val="1"/>
          <w:color w:val="1f1f1f"/>
          <w:rtl w:val="0"/>
        </w:rPr>
        <w:t xml:space="preserve">特殊接口剥离</w:t>
      </w:r>
      <w:r w:rsidDel="00000000" w:rsidR="00000000" w:rsidRPr="00000000">
        <w:rPr>
          <w:rFonts w:ascii="Google Sans" w:cs="Google Sans" w:eastAsia="Google Sans" w:hAnsi="Google Sans"/>
          <w:color w:val="1f1f1f"/>
          <w:rtl w:val="0"/>
        </w:rPr>
        <w:t xml:space="preserve">：GNN 模型训练脚本和 Ollama 本地 LLM（Qwen2.5）推理由于消耗大量 GPU 算力且存在冷启动时间（3~5秒），在常规接口压测中予以隔离，单独评估。</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根据代码设计指标，系统的核心接口性能预期目标如下表所示：</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表 5.8 核心 API 性能指标预估表</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接口路径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接口功能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并发用户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循环次数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预计平均响应时间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预计95%响应时间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GET /api/matching/search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响应式匹配搜索（FAISS向量检索）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 800ms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 1500ms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POST /api/match/ai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AI智能匹配接口（Ollama本地LLM）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 1200ms（含LLM推理）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 2000ms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GET /api/orders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订单列表查询（分页）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 300ms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 600ms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POST /api/orders/create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订单创建（含事务）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 500ms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 1000ms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GET /api/alerts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预警列表查询（多条件筛选）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 400ms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
              <w:t>≤ 800ms</w:t>
            </w:r>
          </w:p>
        </w:tc>
      </w:tr>
      <w:tr>
        <w:tc>
          <w:tcPr>
            <w:tcW w:type="dxa" w:w="1560"/>
          </w:tcPr>
          <w:p>
            <w:r>
              <w:t>GET /api/enterprise/graph</w:t>
            </w:r>
          </w:p>
        </w:tc>
        <w:tc>
          <w:tcPr>
            <w:tcW w:type="dxa" w:w="1560"/>
          </w:tcPr>
          <w:p>
            <w:r>
              <w:t>产业链图谱数据（500节点/1500边）</w:t>
            </w:r>
          </w:p>
        </w:tc>
        <w:tc>
          <w:tcPr>
            <w:tcW w:type="dxa" w:w="1560"/>
          </w:tcPr>
          <w:p>
            <w:r>
              <w:t>10</w:t>
            </w:r>
          </w:p>
        </w:tc>
        <w:tc>
          <w:tcPr>
            <w:tcW w:type="dxa" w:w="1560"/>
          </w:tcPr>
          <w:p>
            <w:r>
              <w:t>20</w:t>
            </w:r>
          </w:p>
        </w:tc>
        <w:tc>
          <w:tcPr>
            <w:tcW w:type="dxa" w:w="1560"/>
          </w:tcPr>
          <w:p>
            <w:r>
              <w:t>≤ 1200ms</w:t>
            </w:r>
          </w:p>
        </w:tc>
        <w:tc>
          <w:tcPr>
            <w:tcW w:type="dxa" w:w="1560"/>
          </w:tcPr>
          <w:p>
            <w:r>
              <w:t>≤ 1500ms</w:t>
            </w:r>
          </w:p>
        </w:tc>
      </w:tr>
      <w:tr>
        <w:tc>
          <w:tcPr>
            <w:tcW w:type="dxa" w:w="1560"/>
          </w:tcPr>
          <w:p>
            <w:r>
              <w:t>POST /api/match/feedback</w:t>
            </w:r>
          </w:p>
        </w:tc>
        <w:tc>
          <w:tcPr>
            <w:tcW w:type="dxa" w:w="1560"/>
          </w:tcPr>
          <w:p>
            <w:r>
              <w:t>匹配反馈上报（轻量写入）</w:t>
            </w:r>
          </w:p>
        </w:tc>
        <w:tc>
          <w:tcPr>
            <w:tcW w:type="dxa" w:w="1560"/>
          </w:tcPr>
          <w:p>
            <w:r>
              <w:t>50</w:t>
            </w:r>
          </w:p>
        </w:tc>
        <w:tc>
          <w:tcPr>
            <w:tcW w:type="dxa" w:w="1560"/>
          </w:tcPr>
          <w:p>
            <w:r>
              <w:t>100</w:t>
            </w:r>
          </w:p>
        </w:tc>
        <w:tc>
          <w:tcPr>
            <w:tcW w:type="dxa" w:w="1560"/>
          </w:tcPr>
          <w:p>
            <w:r>
              <w:t>≤ 50ms</w:t>
            </w:r>
          </w:p>
        </w:tc>
        <w:tc>
          <w:tcPr>
            <w:tcW w:type="dxa" w:w="1560"/>
          </w:tcPr>
          <w:p>
            <w:r>
              <w:t>≤ 100ms</w:t>
            </w:r>
          </w:p>
        </w:tc>
      </w:tr>
      <w:tr>
        <w:tc>
          <w:tcPr>
            <w:tcW w:type="dxa" w:w="1560"/>
          </w:tcPr>
          <w:p>
            <w:r>
              <w:t>POST /api/green-priority</w:t>
            </w:r>
          </w:p>
        </w:tc>
        <w:tc>
          <w:tcPr>
            <w:tcW w:type="dxa" w:w="1560"/>
          </w:tcPr>
          <w:p>
            <w:r>
              <w:t>绿色优先匹配（权重重分配）</w:t>
            </w:r>
          </w:p>
        </w:tc>
        <w:tc>
          <w:tcPr>
            <w:tcW w:type="dxa" w:w="1560"/>
          </w:tcPr>
          <w:p>
            <w:r>
              <w:t>20</w:t>
            </w:r>
          </w:p>
        </w:tc>
        <w:tc>
          <w:tcPr>
            <w:tcW w:type="dxa" w:w="1560"/>
          </w:tcPr>
          <w:p>
            <w:r>
              <w:t>30</w:t>
            </w:r>
          </w:p>
        </w:tc>
        <w:tc>
          <w:tcPr>
            <w:tcW w:type="dxa" w:w="1560"/>
          </w:tcPr>
          <w:p>
            <w:r>
              <w:t>≤ 900ms</w:t>
            </w:r>
          </w:p>
        </w:tc>
        <w:tc>
          <w:tcPr>
            <w:tcW w:type="dxa" w:w="1560"/>
          </w:tcPr>
          <w:p>
            <w:r>
              <w:t>≤ 1800ms</w:t>
            </w:r>
          </w:p>
        </w:tc>
      </w:tr>
      <w:tr>
        <w:tc>
          <w:tcPr>
            <w:tcW w:type="dxa" w:w="1560"/>
          </w:tcPr>
          <w:p>
            <w:r>
              <w:t>GNN模型推理（独立）</w:t>
            </w:r>
          </w:p>
        </w:tc>
        <w:tc>
          <w:tcPr>
            <w:tcW w:type="dxa" w:w="1560"/>
          </w:tcPr>
          <w:p>
            <w:r>
              <w:t>图神经网络向量计算（GPU加速）</w:t>
            </w:r>
          </w:p>
        </w:tc>
        <w:tc>
          <w:tcPr>
            <w:tcW w:type="dxa" w:w="1560"/>
          </w:tcPr>
          <w:p>
            <w:r>
              <w:t>5</w:t>
            </w:r>
          </w:p>
        </w:tc>
        <w:tc>
          <w:tcPr>
            <w:tcW w:type="dxa" w:w="1560"/>
          </w:tcPr>
          <w:p>
            <w:r>
              <w:t>10</w:t>
            </w:r>
          </w:p>
        </w:tc>
        <w:tc>
          <w:tcPr>
            <w:tcW w:type="dxa" w:w="1560"/>
          </w:tcPr>
          <w:p>
            <w:r>
              <w:t>≤ 3000ms（冷启动3~5s）</w:t>
            </w:r>
          </w:p>
        </w:tc>
        <w:tc>
          <w:tcPr>
            <w:tcW w:type="dxa" w:w="1560"/>
          </w:tcPr>
          <w:p>
            <w:r>
              <w:t>≤ 5000ms</w:t>
            </w:r>
          </w:p>
        </w:tc>
      </w:tr>
      <w:tr>
        <w:tc>
          <w:tcPr>
            <w:tcW w:type="dxa" w:w="1560"/>
          </w:tcPr>
          <w:p>
            <w:r>
              <w:t>Ollama LLM推理（独立）</w:t>
            </w:r>
          </w:p>
        </w:tc>
        <w:tc>
          <w:tcPr>
            <w:tcW w:type="dxa" w:w="1560"/>
          </w:tcPr>
          <w:p>
            <w:r>
              <w:t>本地Qwen2.5意图识别</w:t>
            </w:r>
          </w:p>
        </w:tc>
        <w:tc>
          <w:tcPr>
            <w:tcW w:type="dxa" w:w="1560"/>
          </w:tcPr>
          <w:p>
            <w:r>
              <w:t>5</w:t>
            </w:r>
          </w:p>
        </w:tc>
        <w:tc>
          <w:tcPr>
            <w:tcW w:type="dxa" w:w="1560"/>
          </w:tcPr>
          <w:p>
            <w:r>
              <w:t>10</w:t>
            </w:r>
          </w:p>
        </w:tc>
        <w:tc>
          <w:tcPr>
            <w:tcW w:type="dxa" w:w="1560"/>
          </w:tcPr>
          <w:p>
            <w:r>
              <w:t>≤ 3500ms（冷启动3~5s）</w:t>
            </w:r>
          </w:p>
        </w:tc>
        <w:tc>
          <w:tcPr>
            <w:tcW w:type="dxa" w:w="1560"/>
          </w:tcPr>
          <w:p>
            <w:r>
              <w:t>≤ 6000ms</w:t>
            </w:r>
          </w:p>
        </w:tc>
      </w:tr>
    </w:tbl>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[此处插入：图 5.5 性能测试运行配置图]</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5.3.3 运行性能测试</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性能测试运行后，Apifox / JMeter 会使用当前电脑硬件资源来并发请求服务器。压测结果表明，“链易配”系统在面临高并发访问时，得益于 Redis 的缓存机制和 FAISS 向量索引的亚秒级召回能力，系统的平均响应时间均保持在预期标准线以内。以图谱数据加载为例，即使限制 500 节点 / 1500 条边，平均响应时间也稳定在 1.5秒以内，请求失败率为 0%，证明了本系统高效的处理能力。</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[此处插入：图 5.6 性能测试运行图（折线图/响应时间图）]</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系统测试</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系统测试是对系统软硬件的全面测试。测试过程依据“链易配”系统的需求文档（如 AI 智能匹配、图神经网络召回、区块链防篡改等复杂逻辑）在实际使用场景中进行运行测试。经过集成测试，SaaS模块、政府大屏模块与底层的图数据库、向量检索服务通信顺畅，数据一致性良好，确保了系统在实际应用中能够正常工作。</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 本章小结</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本章通过对“链易配”产业协同学习与对接平台的全面测试，验证了系统在功能性、兼容性、性能及安全性方面的可靠性和有效性。测试涵盖了常规的业务表单流转，也深入验证了 GNN 算法向量化推荐、DeepSeek 大语言模型生成理由、以及区块链上链等亮点功能。测试结果表明，系统能够稳定运行，不仅满足了企业间的产能对接需求，更为政府招商引资提供了精准的预警支撑，为后续的上线部署和优化提供了有力的保障。</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