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5F37">
      <w:pPr>
        <w:numPr>
          <w:ilvl w:val="0"/>
          <w:numId w:val="1"/>
        </w:numPr>
        <w:ind w:left="105" w:leftChars="0" w:firstLine="0" w:firstLineChars="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功能模块详细设计</w:t>
      </w:r>
    </w:p>
    <w:p w14:paraId="2606242F">
      <w:pPr>
        <w:numPr>
          <w:numId w:val="0"/>
        </w:numPr>
        <w:ind w:left="105" w:leftChars="0"/>
        <w:rPr>
          <w:rFonts w:hint="eastAsia"/>
        </w:rPr>
      </w:pPr>
    </w:p>
    <w:p w14:paraId="0B4DB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本章将对链易配平台的主要功能模块进行详细设计，包括企业用户端、政府用户端和管理员端共十九个核心模块。</w:t>
      </w:r>
    </w:p>
    <w:p w14:paraId="30C42E76">
      <w:pPr>
        <w:rPr>
          <w:rFonts w:hint="eastAsia"/>
        </w:rPr>
      </w:pPr>
    </w:p>
    <w:p w14:paraId="6D8DC65F">
      <w:pPr>
        <w:rPr>
          <w:rFonts w:hint="eastAsia"/>
        </w:rPr>
      </w:pPr>
      <w:r>
        <w:rPr>
          <w:rFonts w:hint="eastAsia" w:ascii="黑体" w:hAnsi="黑体" w:eastAsia="黑体" w:cs="黑体"/>
          <w:sz w:val="32"/>
          <w:szCs w:val="32"/>
        </w:rPr>
        <w:t>3.1 智能供需匹配模块流程</w:t>
      </w:r>
    </w:p>
    <w:p w14:paraId="346EB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智能供需匹配模块旨在解决中小企业“找工厂”的信息差问题，提供AI驱动的精准推荐。</w:t>
      </w:r>
    </w:p>
    <w:p w14:paraId="23210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（1）需求输入：采购方可通过自然语言描述需求（如“距离近的”“能接急单的”“有专利的”），系统调用Ollama qwen2.5模型进行意图解析，提取产品类型、数量、交期、质量要求等结构化信息。</w:t>
      </w:r>
    </w:p>
    <w:p w14:paraId="421C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（2）五维匹配评分：系统从产品匹配度、距离临近度、产能充足度、信用评分、技术实力五个维度对供应商进行综合打分，支持绿色工厂认证筛选和碳排放估算（SDG 17.4）。</w:t>
      </w:r>
    </w:p>
    <w:p w14:paraId="07D18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（3）动态权重调整：用户可通过对话式交互调整匹配偏好（如“我更看重价格”），系统实时更新权重并刷新推荐列表。</w:t>
      </w:r>
    </w:p>
    <w:p w14:paraId="61602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（4）强化学习优化：基于Bandit算法，根据用户的点击和联系行为持续优化推荐策略。</w:t>
      </w:r>
    </w:p>
    <w:p w14:paraId="2FD89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（5）供应商反馈：系统记录供应商的询盘意向，意向协议签署后生成模拟链上哈希存证。</w:t>
      </w:r>
    </w:p>
    <w:p w14:paraId="16947A9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16455" cy="3973195"/>
            <wp:effectExtent l="0" t="0" r="1905" b="444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645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2CF8">
      <w:pPr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图1.</w:t>
      </w:r>
      <w:r>
        <w:rPr>
          <w:rFonts w:hint="eastAsia" w:ascii="宋体" w:hAnsi="宋体" w:eastAsia="宋体" w:cs="宋体"/>
          <w:sz w:val="21"/>
          <w:szCs w:val="21"/>
        </w:rPr>
        <w:t>智能供需匹配模块流程</w:t>
      </w:r>
    </w:p>
    <w:p w14:paraId="0931DDDF">
      <w:pPr>
        <w:jc w:val="center"/>
        <w:rPr>
          <w:rFonts w:hint="default" w:eastAsiaTheme="minorEastAsia"/>
          <w:lang w:val="en-US" w:eastAsia="zh-CN"/>
        </w:rPr>
      </w:pPr>
    </w:p>
    <w:p w14:paraId="342B41EA"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3.2 采购管理模块流程</w:t>
      </w:r>
    </w:p>
    <w:p w14:paraId="0066C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采购管理模块支持企业发布供需信息、管理报价池和发起集采拼单。</w:t>
      </w:r>
    </w:p>
    <w:p w14:paraId="0764E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（1）发布供需：企业填写产品类型、需求量、描述等信息，发布采购需求或供应信息。</w:t>
      </w:r>
    </w:p>
    <w:p w14:paraId="67037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（2）集采拼单：多个企业可聚合采购需求，凑单达到目标量后统一采购，降低采购成本。</w:t>
      </w:r>
    </w:p>
    <w:p w14:paraId="6A74B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（3）报价池管理：系统自动汇集供应商的意向报价，采购方可查看并提交正式结构化报价。</w:t>
      </w:r>
    </w:p>
    <w:p w14:paraId="558D68C7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162810" cy="6444615"/>
            <wp:effectExtent l="0" t="0" r="1270" b="190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0DFC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图2.采购管理模块流程</w:t>
      </w:r>
    </w:p>
    <w:p w14:paraId="604684FC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3.3 销售管理模块流程</w:t>
      </w:r>
    </w:p>
    <w:p w14:paraId="18531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销售管理模块为供应商提供商机收件箱、意向报价和AI商机评估功能。</w:t>
      </w:r>
    </w:p>
    <w:p w14:paraId="4DC50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（1）商机收件箱：供应商接收来自采购商的询盘通知。</w:t>
      </w:r>
    </w:p>
    <w:p w14:paraId="66AD9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（2）AI商机评估：系统自动评估每条询盘的匹配得分、利润率、风险等级和采购方信用评分，帮助供应商优先处理高价值商机。</w:t>
      </w:r>
    </w:p>
    <w:p w14:paraId="4A5EB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（3）意向报价：供应商可向采购商发送报价，附上价格、交期和备注。</w:t>
      </w:r>
    </w:p>
    <w:p w14:paraId="18FE2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（4）名片交换：报价确认后，双方可交换联系方式。</w:t>
      </w:r>
    </w:p>
    <w:p w14:paraId="12C2C823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772410" cy="5140325"/>
            <wp:effectExtent l="0" t="0" r="1270" b="1079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57BE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图3.销售管理模块流程</w:t>
      </w:r>
    </w:p>
    <w:p w14:paraId="1E53B4F3">
      <w:pPr>
        <w:rPr>
          <w:rFonts w:hint="eastAsia"/>
        </w:rPr>
      </w:pPr>
      <w:r>
        <w:rPr>
          <w:rFonts w:hint="eastAsia" w:ascii="黑体" w:hAnsi="黑体" w:eastAsia="黑体" w:cs="黑体"/>
          <w:sz w:val="32"/>
          <w:szCs w:val="32"/>
        </w:rPr>
        <w:t>3.4 履约管理模块流程</w:t>
      </w:r>
    </w:p>
    <w:p w14:paraId="2321C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履约管理模块跟踪订单交付全流程，提供履约评分、物流追踪和发票核验。</w:t>
      </w:r>
    </w:p>
    <w:p w14:paraId="30C18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（1）履约评分：系统根据准时交货率、质量合格率等指标自动计算综合履约评分，并展示历史趋势。</w:t>
      </w:r>
    </w:p>
    <w:p w14:paraId="14940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（2）物流节点追踪：展示订单的物流状态节点（已发货、运输中、已签收等）。</w:t>
      </w:r>
    </w:p>
    <w:p w14:paraId="52189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（3）发票核验：上传发票后，系统通过OCR识别和交叉比对自动核验真伪。</w:t>
      </w:r>
    </w:p>
    <w:p w14:paraId="4EC38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（4）案例库：历史合作案例可设置为公开或私密展示，增强企业可信度。</w:t>
      </w:r>
    </w:p>
    <w:p w14:paraId="7803BC96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529205" cy="5637530"/>
            <wp:effectExtent l="0" t="0" r="635" b="127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6288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图4.履约管理模块流程</w:t>
      </w:r>
    </w:p>
    <w:p w14:paraId="270FB24F">
      <w:pPr>
        <w:rPr>
          <w:rFonts w:hint="eastAsia"/>
        </w:rPr>
      </w:pPr>
      <w:r>
        <w:rPr>
          <w:rFonts w:hint="eastAsia" w:ascii="黑体" w:hAnsi="黑体" w:eastAsia="黑体" w:cs="黑体"/>
          <w:sz w:val="32"/>
          <w:szCs w:val="32"/>
        </w:rPr>
        <w:t>3.5 产能管理模块流程</w:t>
      </w:r>
    </w:p>
    <w:p w14:paraId="31647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产能管理模块通过产能日历可视化工厂忙闲状态，解决“工厂状态不透明”的信息差。</w:t>
      </w:r>
    </w:p>
    <w:p w14:paraId="4A57E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（1）月度产能视图：以日历形式展示每日订单数和产能利用率，红黄绿三色标识（红色表示产能紧张≥80%，黄色表示产能正常50%-80%，绿色表示产能充足&lt;50%）。</w:t>
      </w:r>
    </w:p>
    <w:p w14:paraId="2B9BC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（2）订单工作流：管理订单全生命周期（待处理→进行中→已完成→已取消）。</w:t>
      </w:r>
    </w:p>
    <w:p w14:paraId="2FE50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（3）订单导出：支持按状态或日期范围导出订单数据。</w:t>
      </w:r>
    </w:p>
    <w:p w14:paraId="38930A7F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139950" cy="4599305"/>
            <wp:effectExtent l="0" t="0" r="8890" b="3175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562E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图5.产能管理模块流程图</w:t>
      </w:r>
    </w:p>
    <w:p w14:paraId="581724FD">
      <w:pPr>
        <w:rPr>
          <w:rFonts w:hint="eastAsia"/>
        </w:rPr>
      </w:pPr>
      <w:r>
        <w:rPr>
          <w:rFonts w:hint="eastAsia" w:ascii="黑体" w:hAnsi="黑体" w:eastAsia="黑体" w:cs="黑体"/>
          <w:sz w:val="32"/>
          <w:szCs w:val="32"/>
        </w:rPr>
        <w:t>3.6 风险监测模块流程</w:t>
      </w:r>
    </w:p>
    <w:p w14:paraId="6481E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风险监测模块面向政府和企业用户，提供多维度预警和AI风险分析。</w:t>
      </w:r>
    </w:p>
    <w:p w14:paraId="467C5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（1）预警中心：系统实时监测进口依赖风险、跨省断链风险、本地供应商集中风险、绿色风险等。</w:t>
      </w:r>
    </w:p>
    <w:p w14:paraId="35216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（2）AI风险分析：AI助手“链小易”分析风险成因、影响范围和历史趋势，生成应对建议。</w:t>
      </w:r>
    </w:p>
    <w:p w14:paraId="7A58B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（3）预警阈值设置：用户可配置各维度预警触发阈值。</w:t>
      </w:r>
    </w:p>
    <w:p w14:paraId="074DA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（4）补链建议：系统自动生成风险应对建议（如推荐替代供应商）。</w:t>
      </w:r>
    </w:p>
    <w:p w14:paraId="3D6026C3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009775" cy="4970780"/>
            <wp:effectExtent l="0" t="0" r="1905" b="12700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AADF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图6.风险预警模块流程图</w:t>
      </w:r>
    </w:p>
    <w:p w14:paraId="574C2812"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3.7 企业画像与资产管理模块流程</w:t>
      </w:r>
    </w:p>
    <w:p w14:paraId="51B7C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企业画像模块通过雷达图展示五维能力，支持资产管理与企业信息编辑。</w:t>
      </w:r>
    </w:p>
    <w:p w14:paraId="5DCEB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（1）五维能力雷达图：展示产品覆盖度、地理位置优势、产能水平、信用评分、技术实力。</w:t>
      </w:r>
    </w:p>
    <w:p w14:paraId="2E723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（2）资产管理：查看企业资质证书、数据授权情况、科研团队、信用评分、专利数量等。</w:t>
      </w:r>
    </w:p>
    <w:p w14:paraId="634CB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（3）企业信息编辑：更新地址、联系方式、行业分类、研发投入、技术关键词、经纬度坐标。</w:t>
      </w:r>
    </w:p>
    <w:p w14:paraId="3D3B8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（4）产品管理：添加或删除本企业产品。</w:t>
      </w:r>
    </w:p>
    <w:p w14:paraId="3B09DD14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245360" cy="5526405"/>
            <wp:effectExtent l="0" t="0" r="10160" b="5715"/>
            <wp:docPr id="7" name="图片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C1C0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图7.企业画像与资产管理模块流程</w:t>
      </w:r>
    </w:p>
    <w:p w14:paraId="3E9813CB"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3.8 优质客商管理模块流程</w:t>
      </w:r>
    </w:p>
    <w:p w14:paraId="4F49C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优质客商管理模块支持企业收藏高价值合作伙伴并快速发起询盘。</w:t>
      </w:r>
    </w:p>
    <w:p w14:paraId="0E70F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（1）收藏供应商：在匹配结果中点击收藏，将高信用、高匹配的供应商加入收藏夹。</w:t>
      </w:r>
    </w:p>
    <w:p w14:paraId="17DD3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（2）一键发起询盘：从收藏夹中快速发起采购询盘，无需重新搜索。</w:t>
      </w:r>
    </w:p>
    <w:p w14:paraId="581A7383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836420" cy="3587115"/>
            <wp:effectExtent l="0" t="0" r="7620" b="9525"/>
            <wp:docPr id="8" name="图片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5F87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图8.优质客商管理模块流程</w:t>
      </w:r>
    </w:p>
    <w:p w14:paraId="315BD8EB"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 xml:space="preserve"> 3.9 AI智能助手模块流程</w:t>
      </w:r>
    </w:p>
    <w:p w14:paraId="18B2D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AI智能助手“链小易”提供自然语言查询和图文匹配功能。</w:t>
      </w:r>
    </w:p>
    <w:p w14:paraId="15103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（1）Text2SQL：用户用自然语言提问（如“查询近一个月信用分上升最快的企业”），系统自动转换为SQL并查询数据库。</w:t>
      </w:r>
    </w:p>
    <w:p w14:paraId="18332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（2）CLIP图文匹配：用户上传产品图片，系统自动匹配已有产品目录中的相似产品。</w:t>
      </w:r>
    </w:p>
    <w:p w14:paraId="7D735C8D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127885" cy="3081655"/>
            <wp:effectExtent l="0" t="0" r="5715" b="12065"/>
            <wp:docPr id="10" name="图片 1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4B3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图9.AI智能助手模块流程</w:t>
      </w:r>
    </w:p>
    <w:p w14:paraId="707E554C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3.10 微信推送模块流程</w:t>
      </w:r>
    </w:p>
    <w:p w14:paraId="2AA49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微信推送模块支持绑定微信后接收实时通知。</w:t>
      </w:r>
    </w:p>
    <w:p w14:paraId="62C3B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（1）绑定微信：用户在设置中扫码绑定微信账号。</w:t>
      </w:r>
    </w:p>
    <w:p w14:paraId="59A07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（2）推送配置：设置推送偏好（询盘/报价/预警通知）和推送频率。</w:t>
      </w:r>
    </w:p>
    <w:p w14:paraId="285A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（3）消息推送：系统通过微信服务号发送模板消息。</w:t>
      </w:r>
    </w:p>
    <w:p w14:paraId="275D42FE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609090" cy="4761865"/>
            <wp:effectExtent l="0" t="0" r="6350" b="8255"/>
            <wp:docPr id="11" name="图片 1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4735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图10.微信推送模块流程</w:t>
      </w:r>
    </w:p>
    <w:p w14:paraId="5826AE84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3.11 数据授权模块流程</w:t>
      </w:r>
    </w:p>
    <w:p w14:paraId="0EC93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数据授权模块管理企业间数据共享授权。</w:t>
      </w:r>
    </w:p>
    <w:p w14:paraId="6EC50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（1）授权申请：企业可向合作伙伴发起数据共享授权申请。</w:t>
      </w:r>
    </w:p>
    <w:p w14:paraId="381B2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（2）授权审批：接收方同意后，授权生效。</w:t>
      </w:r>
    </w:p>
    <w:p w14:paraId="4A1D6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（3）授权管理：在设置中查看已授权列表，可随时撤销授权。</w:t>
      </w:r>
    </w:p>
    <w:p w14:paraId="451429F8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113280" cy="3742690"/>
            <wp:effectExtent l="0" t="0" r="5080" b="6350"/>
            <wp:docPr id="12" name="图片 1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A36B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图11.数据授权模块流程</w:t>
      </w:r>
    </w:p>
    <w:p w14:paraId="086642C1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3.12 合作闭环模块流程</w:t>
      </w:r>
    </w:p>
    <w:p w14:paraId="24390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合作闭环模块串联从供需发布到履约完成的完整流程。</w:t>
      </w:r>
    </w:p>
    <w:p w14:paraId="5EF55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（1）供需发布：企业发布采购或供应需求。</w:t>
      </w:r>
    </w:p>
    <w:p w14:paraId="5CC14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（2）AI匹配：系统智能推荐匹配方。</w:t>
      </w:r>
    </w:p>
    <w:p w14:paraId="7209C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（3）询盘与意向协议：双方沟通并签署意向协议（含模拟链上存证）。</w:t>
      </w:r>
    </w:p>
    <w:p w14:paraId="2ACC6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（4）合同签署：正式电子合同签署。</w:t>
      </w:r>
    </w:p>
    <w:p w14:paraId="4B0DD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（5）履约跟踪：物流节点追踪、发票核验。</w:t>
      </w:r>
    </w:p>
    <w:p w14:paraId="729D4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（6）评分与案例入库：履约完成后更新信用分，合作案例入库。</w:t>
      </w:r>
    </w:p>
    <w:p w14:paraId="357ECC27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059180" cy="4596130"/>
            <wp:effectExtent l="0" t="0" r="7620" b="6350"/>
            <wp:docPr id="13" name="图片 1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B0A7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图12.合作闭环模块流程</w:t>
      </w:r>
    </w:p>
    <w:p w14:paraId="5697437A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3.13 政府端-信用分监管模块流程</w:t>
      </w:r>
    </w:p>
    <w:p w14:paraId="73647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信用分监管模块面向政府用户，提供区域内企业信用分的多维度分析与监控。</w:t>
      </w:r>
    </w:p>
    <w:p w14:paraId="0B209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（1）信用分分布分析：系统以柱状图展示信用分区间（0-60、60-70、70-80、80-90、90-100）的企业数量分布，并计算平均分和中位数。</w:t>
      </w:r>
    </w:p>
    <w:p w14:paraId="38332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（2）信用分趋势分析：展示近6个月信用分变化折线图，支持按行业、区域筛选。</w:t>
      </w:r>
    </w:p>
    <w:p w14:paraId="7BC2C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（3）高信用分企业榜单：每月自动生成信用分≥90的企业榜单，按分数降序排列，支持导出Excel/PDF。</w:t>
      </w:r>
    </w:p>
    <w:p w14:paraId="3DF58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（4）信用分异常监控：当企业信用分在7天内下降超过15分时，自动标记并加入关注名单，推送异常通知。</w:t>
      </w:r>
    </w:p>
    <w:p w14:paraId="6B9DB750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575560" cy="5396865"/>
            <wp:effectExtent l="0" t="0" r="0" b="13335"/>
            <wp:docPr id="14" name="图片 14" descr="政府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政府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E91B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图13. 政府端-信用分监管模块流程</w:t>
      </w:r>
    </w:p>
    <w:p w14:paraId="7D39659A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3.14 政府端-风险预警模块流程</w:t>
      </w:r>
    </w:p>
    <w:p w14:paraId="1ADFB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风险预警模块面向政府用户，提供多维度产业链风险监测与处置。</w:t>
      </w:r>
    </w:p>
    <w:p w14:paraId="442E4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（1）预警规则配置：政府用户可配置产能风险、供应链断链风险、企业经营风险、信用分异常四类预警的阈值（如产能利用率&lt;30%触发黄色预警）。</w:t>
      </w:r>
    </w:p>
    <w:p w14:paraId="307AB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（2）红黄蓝三级预警：红色预警（严重）立即微信+站内信通知；黄色预警（警告）站内信通知；蓝色预警（提示）仅预警中心显示。</w:t>
      </w:r>
    </w:p>
    <w:p w14:paraId="48856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（3）预警处置派单：政府用户可将预警任务派发给具体部门或人员，填写处理措施和完成时限，形成处置闭环。</w:t>
      </w:r>
    </w:p>
    <w:p w14:paraId="39894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（4）补链建议：系统自动生成风险应对建议（如推荐替代供应商、调整产业政策）。</w:t>
      </w:r>
    </w:p>
    <w:p w14:paraId="48FD5D80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404745" cy="7065010"/>
            <wp:effectExtent l="0" t="0" r="3175" b="6350"/>
            <wp:docPr id="15" name="图片 15" descr="政府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政府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0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4EB7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图14.政府端-风险预警模块流程</w:t>
      </w:r>
    </w:p>
    <w:p w14:paraId="554CA41E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3.15 管理员端-规则配置模块流程</w:t>
      </w:r>
    </w:p>
    <w:p w14:paraId="19977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规则配置模块允许平台管理员动态调整信用分计算规则、匹配算法参数和撮合码生成规则。</w:t>
      </w:r>
    </w:p>
    <w:p w14:paraId="0FD9F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（1）信用分规则配置：管理员可添加或删除规则（如“按时履约+5分”“数据授权+10分”），配置连续履约奖励，设置生效时间。</w:t>
      </w:r>
    </w:p>
    <w:p w14:paraId="107D8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（2）匹配算法参数调优：调整召回数量、排序权重（价格/质量/距离/信用分）、距离衰减系数，支持A/B测试和一键回滚。</w:t>
      </w:r>
    </w:p>
    <w:p w14:paraId="769EA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（3）撮合码规则配置：配置前缀（默认LYP）、长度（默认16位）、编码规则（时间戳加哈希组合）。</w:t>
      </w:r>
    </w:p>
    <w:p w14:paraId="28BFFB3E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3467735" cy="3680460"/>
            <wp:effectExtent l="0" t="0" r="6985" b="7620"/>
            <wp:docPr id="16" name="图片 16" descr="管理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管理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67AD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图15.管理员端-规则配置模块流程</w:t>
      </w:r>
    </w:p>
    <w:p w14:paraId="7B0DF414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3.16 管理员端-数据质量监控模块流程</w:t>
      </w:r>
    </w:p>
    <w:p w14:paraId="5C636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数据质量监控模块帮助管理员掌握平台数据的完整性、新鲜度和准确性。</w:t>
      </w:r>
    </w:p>
    <w:p w14:paraId="25C7B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（1）数据保鲜度监控：显示所有企业的数据新鲜度（如产品信息30天未更新标记为休眠企业），以热力图展示分布。</w:t>
      </w:r>
    </w:p>
    <w:p w14:paraId="4B202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（2）数据唤醒机制：对休眠企业自动发送唤醒消息（站内信加微信加短信），7天、14天、30天分别提醒，连续3个月未响应则降低匹配权重。</w:t>
      </w:r>
    </w:p>
    <w:p w14:paraId="53BCA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（3）异常行为检测：检测恶意刷单（1小时内报价超过20次）、虚假产能数据等，触发预警并暂停操作权限，需人工审核。</w:t>
      </w:r>
    </w:p>
    <w:p w14:paraId="50CADDD9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3174365" cy="4819015"/>
            <wp:effectExtent l="0" t="0" r="10795" b="12065"/>
            <wp:docPr id="17" name="图片 17" descr="管理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管理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BF50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图16.管理员端-数据质量监控模块流程</w:t>
      </w:r>
    </w:p>
    <w:p w14:paraId="1F5FABA0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3.17 管理员端-操作日志审计模块流程</w:t>
      </w:r>
    </w:p>
    <w:p w14:paraId="405FA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操作日志审计模块记录所有用户操作，支持追溯和合规审计。</w:t>
      </w:r>
    </w:p>
    <w:p w14:paraId="17646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（1）日志记录：自动记录操作人、时间、操作类型、操作对象、IP地址、结果，保留至少1年。</w:t>
      </w:r>
    </w:p>
    <w:p w14:paraId="46545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（2）日志查询：支持按用户、时间范围、操作类型筛选，支持全文搜索。</w:t>
      </w:r>
    </w:p>
    <w:p w14:paraId="3A99C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（3）日志导出：可导出CSV格式，敏感操作（数据导出、权限变更）高亮标记。</w:t>
      </w:r>
    </w:p>
    <w:p w14:paraId="1CDA5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（4）自动归档：每日自动归档到冷存储。</w:t>
      </w:r>
    </w:p>
    <w:p w14:paraId="25372123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317750" cy="5812155"/>
            <wp:effectExtent l="0" t="0" r="13970" b="9525"/>
            <wp:docPr id="18" name="图片 18" descr="管理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管理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FC64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图17.管理员端-操作日志审计模块流程</w:t>
      </w:r>
    </w:p>
    <w:p w14:paraId="26491DBB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3.18 管理员端-API接口管理模块流程</w:t>
      </w:r>
    </w:p>
    <w:p w14:paraId="32754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API接口管理模块管理第三方系统的API密钥和调用权限。</w:t>
      </w:r>
    </w:p>
    <w:p w14:paraId="4D8E9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（1）API密钥生成：为第三方生成唯一API密钥，配置访问权限（如仅允许查询撮合码）和调用频率限制（如每分钟100次）。</w:t>
      </w:r>
    </w:p>
    <w:p w14:paraId="0B0E5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（2）调用监控：统计每个密钥的调用次数、成功率、平均响应时间，超限自动返回HTTP 429。</w:t>
      </w:r>
    </w:p>
    <w:p w14:paraId="21062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（3）密钥管理：支持禁用、删除、重置密钥，记录所有调用日志。</w:t>
      </w:r>
    </w:p>
    <w:p w14:paraId="4B95A4C3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1844040" cy="3978910"/>
            <wp:effectExtent l="0" t="0" r="0" b="13970"/>
            <wp:docPr id="19" name="图片 19" descr="管理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管理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BE9C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图18.管理员端-API接口管理模块流程</w:t>
      </w:r>
    </w:p>
    <w:p w14:paraId="72273DD0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3.19 管理员端-演示模式模块流程</w:t>
      </w:r>
    </w:p>
    <w:p w14:paraId="095CD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演示模式支持一键生成模拟数据，方便向评委展示平台功能。</w:t>
      </w:r>
    </w:p>
    <w:p w14:paraId="6E11A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（1）启用演示模式：管理员开启开关后，系统自动生成模拟数据（企业、产品、供需、交易），5分钟内完成。</w:t>
      </w:r>
    </w:p>
    <w:p w14:paraId="3CA1D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（2）数据标识：所有模拟数据标记为“Mock_Data”，页面显示“演示模式”水印，禁用真实数据修改。</w:t>
      </w:r>
    </w:p>
    <w:p w14:paraId="75727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（3）模拟数据清理：一键删除所有模拟数据，清理前二次确认，保护真实数据，生成清理报告。</w:t>
      </w:r>
    </w:p>
    <w:p w14:paraId="776C1D49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036445" cy="4938395"/>
            <wp:effectExtent l="0" t="0" r="5715" b="14605"/>
            <wp:docPr id="20" name="图片 20" descr="管理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管理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AF1B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图19.管理员端-演示模式模块流程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75CE"/>
    <w:multiLevelType w:val="singleLevel"/>
    <w:tmpl w:val="CDEA75CE"/>
    <w:lvl w:ilvl="0" w:tentative="0">
      <w:start w:val="3"/>
      <w:numFmt w:val="chineseCounting"/>
      <w:suff w:val="space"/>
      <w:lvlText w:val="第%1章"/>
      <w:lvlJc w:val="left"/>
      <w:pPr>
        <w:ind w:left="105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10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2026-04-05T11:46:46Z</dcterms:created>
  <dc:creator>liusu</dc:creator>
  <cp:lastModifiedBy>大哥</cp:lastModifiedBy>
  <dcterms:modified xsi:type="dcterms:W3CDTF">2026-04-05T12:27:50Z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eyJoZGlkIjoiMzEwNTM5NzYwMDRjMzkwZTVkZjY2ODkwMGIxNGU0OTUiLCJ1c2VySWQiOiIxNjMxODkxMDE1In0=</vt:lpwstr>
  </property>
  <property fmtid="{D5CDD505-2E9C-101B-9397-08002B2CF9AE}" pid="4" name="ICV">
    <vt:lpwstr>754E42D0CF834E659DA5E7BEF2CD2887_12</vt:lpwstr>
  </property>
</Properties>
</file>