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A76A8"/>
        </w:rPr>
        <w:t>FISH CONTROL</w:t>
        <w:br/>
        <w:t>比赛规则与系统控制规则</w:t>
      </w:r>
    </w:p>
    <w:p>
      <w:pPr>
        <w:jc w:val="center"/>
      </w:pPr>
      <w:r>
        <w:rPr>
          <w:color w:val="5F6F7F"/>
          <w:sz w:val="22"/>
        </w:rPr>
        <w:t>学生机器鱼 2v2 赛事平台 · 当前原型规则稿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520"/>
      </w:tblGrid>
      <w:tr>
        <w:tc>
          <w:tcPr>
            <w:tcW w:type="dxa" w:w="5100"/>
            <w:vAlign w:val="center"/>
            <w:shd w:fill="DCEFF7"/>
          </w:tcPr>
          <w:p>
            <w:r>
              <w:rPr>
                <w:b/>
              </w:rPr>
              <w:t>规则核心</w:t>
            </w:r>
          </w:p>
        </w:tc>
        <w:tc>
          <w:tcPr>
            <w:tcW w:type="dxa" w:w="5100"/>
            <w:vAlign w:val="center"/>
          </w:tcPr>
          <w:p>
            <w:r>
              <w:t>裁判控制比赛流程；选手控制自己的机器鱼；服务端是唯一权威状态源。</w:t>
            </w:r>
          </w:p>
        </w:tc>
      </w:tr>
      <w:tr>
        <w:tc>
          <w:tcPr>
            <w:tcW w:type="dxa" w:w="2268"/>
            <w:vAlign w:val="center"/>
            <w:shd w:fill="DCEFF7"/>
          </w:tcPr>
          <w:p>
            <w:r>
              <w:rPr>
                <w:b/>
              </w:rPr>
              <w:t>当前比赛形式</w:t>
            </w:r>
          </w:p>
        </w:tc>
        <w:tc>
          <w:tcPr>
            <w:tcW w:type="dxa" w:w="6520"/>
            <w:vAlign w:val="center"/>
          </w:tcPr>
          <w:p>
            <w:r>
              <w:t>蓝队 B1/B2 对红队 R1/R2，四条机器鱼参与 2v2 比赛。</w:t>
            </w:r>
          </w:p>
        </w:tc>
      </w:tr>
      <w:tr>
        <w:tc>
          <w:tcPr>
            <w:tcW w:type="dxa" w:w="2268"/>
            <w:vAlign w:val="center"/>
            <w:shd w:fill="DCEFF7"/>
          </w:tcPr>
          <w:p>
            <w:r>
              <w:rPr>
                <w:b/>
              </w:rPr>
              <w:t>界面范围</w:t>
            </w:r>
          </w:p>
        </w:tc>
        <w:tc>
          <w:tcPr>
            <w:tcW w:type="dxa" w:w="6520"/>
            <w:vAlign w:val="center"/>
          </w:tcPr>
          <w:p>
            <w:r>
              <w:t>选手端：赛事中心、比赛操控、自主挑战、成绩回放；裁判端：签到、场地调整、比赛、比赛记录。</w:t>
            </w:r>
          </w:p>
        </w:tc>
      </w:tr>
      <w:tr>
        <w:tc>
          <w:tcPr>
            <w:tcW w:type="dxa" w:w="2268"/>
            <w:vAlign w:val="center"/>
            <w:shd w:fill="DCEFF7"/>
          </w:tcPr>
          <w:p>
            <w:r>
              <w:rPr>
                <w:b/>
              </w:rPr>
              <w:t>重要说明</w:t>
            </w:r>
          </w:p>
        </w:tc>
        <w:tc>
          <w:tcPr>
            <w:tcW w:type="dxa" w:w="6520"/>
            <w:vAlign w:val="center"/>
          </w:tcPr>
          <w:p>
            <w:r>
              <w:t>文档中的 +10 / +2 / -2 为当前原型计分配置，正式赛事分值仍应以最终竞赛规程为准。</w:t>
            </w:r>
          </w:p>
        </w:tc>
      </w:tr>
    </w:tbl>
    <w:p>
      <w:pPr>
        <w:pStyle w:val="Heading1"/>
      </w:pPr>
      <w:r>
        <w:t>1. 系统权责</w:t>
      </w:r>
    </w:p>
    <w:p>
      <w:pPr>
        <w:pStyle w:val="ListBullet"/>
      </w:pPr>
      <w:r>
        <w:rPr>
          <w:b/>
        </w:rPr>
        <w:t>裁判端：</w:t>
      </w:r>
      <w:r>
        <w:t>负责签到、场地锁定、开放设备测试、开始/暂停/继续/结束比赛、计分与异常处理。</w:t>
      </w:r>
    </w:p>
    <w:p>
      <w:pPr>
        <w:pStyle w:val="ListBullet"/>
      </w:pPr>
      <w:r>
        <w:rPr>
          <w:b/>
        </w:rPr>
        <w:t>选手端：</w:t>
      </w:r>
      <w:r>
        <w:t>负责确认自己的设备状态，并在允许的比赛阶段发送前进、左转、右转、急停等控制指令。</w:t>
      </w:r>
    </w:p>
    <w:p>
      <w:pPr>
        <w:pStyle w:val="ListBullet"/>
      </w:pPr>
      <w:r>
        <w:rPr>
          <w:b/>
        </w:rPr>
        <w:t>比赛服务端：</w:t>
      </w:r>
      <w:r>
        <w:t>保存并判断比赛真实状态。任何选手控制指令都必须先经过服务端状态校验。</w:t>
      </w:r>
    </w:p>
    <w:p>
      <w:pPr>
        <w:pStyle w:val="ListBullet"/>
      </w:pPr>
      <w:r>
        <w:rPr>
          <w:b/>
        </w:rPr>
        <w:t>视觉服务：</w:t>
      </w:r>
      <w:r>
        <w:t>提供比赛画面、机器鱼坐标、比赛球坐标、Mark/场地坐标等数据。</w:t>
      </w:r>
    </w:p>
    <w:p>
      <w:pPr>
        <w:pStyle w:val="ListBullet"/>
      </w:pPr>
      <w:r>
        <w:rPr>
          <w:b/>
        </w:rPr>
        <w:t>设备/ESP32：</w:t>
      </w:r>
      <w:r>
        <w:t>提供在线、控制响应等设备状态并执行经服务端允许的控制指令。</w:t>
      </w:r>
    </w:p>
    <w:p>
      <w:pPr>
        <w:pStyle w:val="Heading1"/>
      </w:pPr>
      <w:r>
        <w:t>2. 一场比赛的标准流程</w:t>
      </w:r>
    </w:p>
    <w:p>
      <w:r>
        <w:rPr>
          <w:b/>
          <w:color w:val="0A76A8"/>
        </w:rPr>
        <w:t xml:space="preserve">① 签到  </w:t>
      </w:r>
      <w:r>
        <w:t>裁判逐名指定 B1/B2/R1/R2 选手并确认签到；席位与机器鱼完成绑定。</w:t>
      </w:r>
    </w:p>
    <w:p>
      <w:r>
        <w:rPr>
          <w:b/>
          <w:color w:val="0A76A8"/>
        </w:rPr>
        <w:t xml:space="preserve">② 场地准备  </w:t>
      </w:r>
      <w:r>
        <w:t>裁判完成摄像头、裁剪、曝光、Mark、坐标系与目标识别检查，并锁定场地配置。</w:t>
      </w:r>
    </w:p>
    <w:p>
      <w:r>
        <w:rPr>
          <w:b/>
          <w:color w:val="0A76A8"/>
        </w:rPr>
        <w:t xml:space="preserve">③ 开放设备测试  </w:t>
      </w:r>
      <w:r>
        <w:t>裁判开放受限试动；此时不计时、不计分。</w:t>
      </w:r>
    </w:p>
    <w:p>
      <w:r>
        <w:rPr>
          <w:b/>
          <w:color w:val="0A76A8"/>
        </w:rPr>
        <w:t xml:space="preserve">④ 选手设备确认  </w:t>
      </w:r>
      <w:r>
        <w:t>每名选手自行测试自己绑定的机器鱼，并提交“设备正常”或“设备异常”。</w:t>
      </w:r>
    </w:p>
    <w:p>
      <w:r>
        <w:rPr>
          <w:b/>
          <w:color w:val="0A76A8"/>
        </w:rPr>
        <w:t xml:space="preserve">⑤ 等待开始  </w:t>
      </w:r>
      <w:r>
        <w:t>只有 4/4 设备均由选手确认正常后，比赛才进入 READY。</w:t>
      </w:r>
    </w:p>
    <w:p>
      <w:r>
        <w:rPr>
          <w:b/>
          <w:color w:val="0A76A8"/>
        </w:rPr>
        <w:t xml:space="preserve">⑥ 正式比赛  </w:t>
      </w:r>
      <w:r>
        <w:t>裁判开始比赛后，服务端进入 RUNNING，选手控制权限正式打开并开始计时。</w:t>
      </w:r>
    </w:p>
    <w:p>
      <w:r>
        <w:rPr>
          <w:b/>
          <w:color w:val="0A76A8"/>
        </w:rPr>
        <w:t xml:space="preserve">⑦ 暂停/继续  </w:t>
      </w:r>
      <w:r>
        <w:t>裁判暂停时服务端立即禁止控制，并向四条鱼发送停止；继续后恢复控制。</w:t>
      </w:r>
    </w:p>
    <w:p>
      <w:r>
        <w:rPr>
          <w:b/>
          <w:color w:val="0A76A8"/>
        </w:rPr>
        <w:t xml:space="preserve">⑧ 比赛结束  </w:t>
      </w:r>
      <w:r>
        <w:t>裁判结束比赛后立即停止控制与计时，固化比分和事件，录像与 JSON 一起保存。</w:t>
      </w:r>
    </w:p>
    <w:p>
      <w:r>
        <w:rPr>
          <w:b/>
          <w:color w:val="0A76A8"/>
        </w:rPr>
        <w:t xml:space="preserve">⑨ 比赛记录  </w:t>
      </w:r>
      <w:r>
        <w:t>裁判与选手可查看历史结果、关键事件、视频回放及赛后数据。</w:t>
      </w:r>
    </w:p>
    <w:p>
      <w:pPr>
        <w:pStyle w:val="Heading1"/>
      </w:pPr>
      <w:r>
        <w:t>3. 比赛状态机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DCEFF7"/>
          </w:tcPr>
          <w:p>
            <w:r>
              <w:t>状态</w:t>
            </w:r>
          </w:p>
        </w:tc>
        <w:tc>
          <w:tcPr>
            <w:tcW w:type="dxa" w:w="2550"/>
            <w:shd w:fill="DCEFF7"/>
          </w:tcPr>
          <w:p>
            <w:r>
              <w:t>含义</w:t>
            </w:r>
          </w:p>
        </w:tc>
        <w:tc>
          <w:tcPr>
            <w:tcW w:type="dxa" w:w="2550"/>
            <w:shd w:fill="DCEFF7"/>
          </w:tcPr>
          <w:p>
            <w:r>
              <w:t>选手端表现</w:t>
            </w:r>
          </w:p>
        </w:tc>
        <w:tc>
          <w:tcPr>
            <w:tcW w:type="dxa" w:w="2550"/>
            <w:shd w:fill="DCEFF7"/>
          </w:tcPr>
          <w:p>
            <w:r>
              <w:t>允许控制机器鱼</w:t>
            </w:r>
          </w:p>
        </w:tc>
      </w:tr>
      <w:tr>
        <w:tc>
          <w:tcPr>
            <w:tcW w:type="dxa" w:w="2550"/>
          </w:tcPr>
          <w:p>
            <w:r>
              <w:t>CHECKIN</w:t>
            </w:r>
          </w:p>
        </w:tc>
        <w:tc>
          <w:tcPr>
            <w:tcW w:type="dxa" w:w="2550"/>
          </w:tcPr>
          <w:p>
            <w:r>
              <w:t>选手签到</w:t>
            </w:r>
          </w:p>
        </w:tc>
        <w:tc>
          <w:tcPr>
            <w:tcW w:type="dxa" w:w="2550"/>
          </w:tcPr>
          <w:p>
            <w:r>
              <w:t>赛事中心显示签到/绑定状态</w:t>
            </w:r>
          </w:p>
        </w:tc>
        <w:tc>
          <w:tcPr>
            <w:tcW w:type="dxa" w:w="2550"/>
          </w:tcPr>
          <w:p>
            <w:r>
              <w:t>否</w:t>
            </w:r>
          </w:p>
        </w:tc>
      </w:tr>
      <w:tr>
        <w:tc>
          <w:tcPr>
            <w:tcW w:type="dxa" w:w="2550"/>
          </w:tcPr>
          <w:p>
            <w:r>
              <w:t>FIELD_SETUP</w:t>
            </w:r>
          </w:p>
        </w:tc>
        <w:tc>
          <w:tcPr>
            <w:tcW w:type="dxa" w:w="2550"/>
          </w:tcPr>
          <w:p>
            <w:r>
              <w:t>场地准备</w:t>
            </w:r>
          </w:p>
        </w:tc>
        <w:tc>
          <w:tcPr>
            <w:tcW w:type="dxa" w:w="2550"/>
          </w:tcPr>
          <w:p>
            <w:r>
              <w:t>等待裁判完成场地配置</w:t>
            </w:r>
          </w:p>
        </w:tc>
        <w:tc>
          <w:tcPr>
            <w:tcW w:type="dxa" w:w="2550"/>
          </w:tcPr>
          <w:p>
            <w:r>
              <w:t>否</w:t>
            </w:r>
          </w:p>
        </w:tc>
      </w:tr>
      <w:tr>
        <w:tc>
          <w:tcPr>
            <w:tcW w:type="dxa" w:w="2550"/>
          </w:tcPr>
          <w:p>
            <w:r>
              <w:t>TEST</w:t>
            </w:r>
          </w:p>
        </w:tc>
        <w:tc>
          <w:tcPr>
            <w:tcW w:type="dxa" w:w="2550"/>
          </w:tcPr>
          <w:p>
            <w:r>
              <w:t>设备测试</w:t>
            </w:r>
          </w:p>
        </w:tc>
        <w:tc>
          <w:tcPr>
            <w:tcW w:type="dxa" w:w="2550"/>
          </w:tcPr>
          <w:p>
            <w:r>
              <w:t>进入比赛操控的赛前测试界面</w:t>
            </w:r>
          </w:p>
        </w:tc>
        <w:tc>
          <w:tcPr>
            <w:tcW w:type="dxa" w:w="2550"/>
          </w:tcPr>
          <w:p>
            <w:r>
              <w:t>是，仅受限试动</w:t>
            </w:r>
          </w:p>
        </w:tc>
      </w:tr>
      <w:tr>
        <w:tc>
          <w:tcPr>
            <w:tcW w:type="dxa" w:w="2550"/>
          </w:tcPr>
          <w:p>
            <w:r>
              <w:t>READY</w:t>
            </w:r>
          </w:p>
        </w:tc>
        <w:tc>
          <w:tcPr>
            <w:tcW w:type="dxa" w:w="2550"/>
          </w:tcPr>
          <w:p>
            <w:r>
              <w:t>设备确认完成</w:t>
            </w:r>
          </w:p>
        </w:tc>
        <w:tc>
          <w:tcPr>
            <w:tcW w:type="dxa" w:w="2550"/>
          </w:tcPr>
          <w:p>
            <w:r>
              <w:t>显示“等待裁判开始”</w:t>
            </w:r>
          </w:p>
        </w:tc>
        <w:tc>
          <w:tcPr>
            <w:tcW w:type="dxa" w:w="2550"/>
          </w:tcPr>
          <w:p>
            <w:r>
              <w:t>否</w:t>
            </w:r>
          </w:p>
        </w:tc>
      </w:tr>
      <w:tr>
        <w:tc>
          <w:tcPr>
            <w:tcW w:type="dxa" w:w="2550"/>
          </w:tcPr>
          <w:p>
            <w:r>
              <w:t>RUNNING</w:t>
            </w:r>
          </w:p>
        </w:tc>
        <w:tc>
          <w:tcPr>
            <w:tcW w:type="dxa" w:w="2550"/>
          </w:tcPr>
          <w:p>
            <w:r>
              <w:t>比赛进行</w:t>
            </w:r>
          </w:p>
        </w:tc>
        <w:tc>
          <w:tcPr>
            <w:tcW w:type="dxa" w:w="2550"/>
          </w:tcPr>
          <w:p>
            <w:r>
              <w:t>正式比赛操控界面</w:t>
            </w:r>
          </w:p>
        </w:tc>
        <w:tc>
          <w:tcPr>
            <w:tcW w:type="dxa" w:w="2550"/>
          </w:tcPr>
          <w:p>
            <w:r>
              <w:t>是</w:t>
            </w:r>
          </w:p>
        </w:tc>
      </w:tr>
      <w:tr>
        <w:tc>
          <w:tcPr>
            <w:tcW w:type="dxa" w:w="2550"/>
          </w:tcPr>
          <w:p>
            <w:r>
              <w:t>PAUSED</w:t>
            </w:r>
          </w:p>
        </w:tc>
        <w:tc>
          <w:tcPr>
            <w:tcW w:type="dxa" w:w="2550"/>
          </w:tcPr>
          <w:p>
            <w:r>
              <w:t>比赛暂停</w:t>
            </w:r>
          </w:p>
        </w:tc>
        <w:tc>
          <w:tcPr>
            <w:tcW w:type="dxa" w:w="2550"/>
          </w:tcPr>
          <w:p>
            <w:r>
              <w:t>控制区锁定并提示暂停</w:t>
            </w:r>
          </w:p>
        </w:tc>
        <w:tc>
          <w:tcPr>
            <w:tcW w:type="dxa" w:w="2550"/>
          </w:tcPr>
          <w:p>
            <w:r>
              <w:t>否</w:t>
            </w:r>
          </w:p>
        </w:tc>
      </w:tr>
      <w:tr>
        <w:tc>
          <w:tcPr>
            <w:tcW w:type="dxa" w:w="2550"/>
          </w:tcPr>
          <w:p>
            <w:r>
              <w:t>ENDED</w:t>
            </w:r>
          </w:p>
        </w:tc>
        <w:tc>
          <w:tcPr>
            <w:tcW w:type="dxa" w:w="2550"/>
          </w:tcPr>
          <w:p>
            <w:r>
              <w:t>比赛结束</w:t>
            </w:r>
          </w:p>
        </w:tc>
        <w:tc>
          <w:tcPr>
            <w:tcW w:type="dxa" w:w="2550"/>
          </w:tcPr>
          <w:p>
            <w:r>
              <w:t>显示结果/等待归档</w:t>
            </w:r>
          </w:p>
        </w:tc>
        <w:tc>
          <w:tcPr>
            <w:tcW w:type="dxa" w:w="2550"/>
          </w:tcPr>
          <w:p>
            <w:r>
              <w:t>否</w:t>
            </w:r>
          </w:p>
        </w:tc>
      </w:tr>
      <w:tr>
        <w:tc>
          <w:tcPr>
            <w:tcW w:type="dxa" w:w="2550"/>
          </w:tcPr>
          <w:p>
            <w:r>
              <w:t>ARCHIVED</w:t>
            </w:r>
          </w:p>
        </w:tc>
        <w:tc>
          <w:tcPr>
            <w:tcW w:type="dxa" w:w="2550"/>
          </w:tcPr>
          <w:p>
            <w:r>
              <w:t>已归档</w:t>
            </w:r>
          </w:p>
        </w:tc>
        <w:tc>
          <w:tcPr>
            <w:tcW w:type="dxa" w:w="2550"/>
          </w:tcPr>
          <w:p>
            <w:r>
              <w:t>成绩回放可用</w:t>
            </w:r>
          </w:p>
        </w:tc>
        <w:tc>
          <w:tcPr>
            <w:tcW w:type="dxa" w:w="2550"/>
          </w:tcPr>
          <w:p>
            <w:r>
              <w:t>否</w:t>
            </w:r>
          </w:p>
        </w:tc>
      </w:tr>
    </w:tbl>
    <w:p>
      <w:pPr>
        <w:pStyle w:val="Heading1"/>
      </w:pPr>
      <w:r>
        <w:t>4. 设备测试规则</w:t>
      </w:r>
    </w:p>
    <w:p>
      <w:pPr>
        <w:pStyle w:val="ListBullet"/>
      </w:pPr>
      <w:r>
        <w:t>设备测试由裁判开放，但设备是否正常必须由使用该设备的选手自行确认。</w:t>
      </w:r>
    </w:p>
    <w:p>
      <w:pPr>
        <w:pStyle w:val="ListBullet"/>
      </w:pPr>
      <w:r>
        <w:t>测试项目至少包括：前进、左转、右转、急停、连接稳定性与基本响应。</w:t>
      </w:r>
    </w:p>
    <w:p>
      <w:pPr>
        <w:pStyle w:val="ListBullet"/>
      </w:pPr>
      <w:r>
        <w:t>“在线”不等于“设备正常”；在线设备仍可能存在舵机、方向、延迟等异常。</w:t>
      </w:r>
    </w:p>
    <w:p>
      <w:pPr>
        <w:pStyle w:val="ListBullet"/>
      </w:pPr>
      <w:r>
        <w:t>任一席位报告“设备异常”时，该席位不可进入 READY；裁判处理、更换或重新绑定设备后，必须重新测试并由选手再次确认。</w:t>
      </w:r>
    </w:p>
    <w:p>
      <w:pPr>
        <w:pStyle w:val="ListBullet"/>
      </w:pPr>
      <w:r>
        <w:t>4/4 设备确认正常是进入正式比赛的前置条件。</w:t>
      </w:r>
    </w:p>
    <w:p>
      <w:pPr>
        <w:pStyle w:val="Heading1"/>
      </w:pPr>
      <w:r>
        <w:t>5. 裁判端与选手端的控制关系</w:t>
      </w:r>
    </w:p>
    <w:p>
      <w:r>
        <w:rPr>
          <w:b/>
        </w:rPr>
        <w:t>原则：</w:t>
      </w:r>
      <w:r>
        <w:t>裁判端不直接操作选手浏览器；裁判端和选手端都连接同一个比赛服务端。服务端向各端广播状态。</w:t>
      </w:r>
    </w:p>
    <w:p>
      <w:pPr>
        <w:pStyle w:val="ListNumber"/>
      </w:pPr>
      <w:r>
        <w:t>裁判点击“开始比赛” → 服务端将状态改为 RUNNING → WebSocket 广播 → 选手端解锁正式控制。</w:t>
      </w:r>
    </w:p>
    <w:p>
      <w:pPr>
        <w:pStyle w:val="ListNumber"/>
      </w:pPr>
      <w:r>
        <w:t>裁判点击“暂停比赛” → 服务端改为 PAUSED → 广播暂停 → 服务端拒绝后续控制指令，同时向四条鱼发送停止。</w:t>
      </w:r>
    </w:p>
    <w:p>
      <w:pPr>
        <w:pStyle w:val="ListNumber"/>
      </w:pPr>
      <w:r>
        <w:t>裁判点击“继续比赛” → 服务端恢复 RUNNING → 选手端重新获得控制权。</w:t>
      </w:r>
    </w:p>
    <w:p>
      <w:pPr>
        <w:pStyle w:val="ListNumber"/>
      </w:pPr>
      <w:r>
        <w:t>裁判点击“结束比赛” → 服务端改为 ENDED → 禁止控制 → 固化结果 → 保存录像与记录。</w:t>
      </w:r>
    </w:p>
    <w:p>
      <w:pPr>
        <w:pStyle w:val="Heading1"/>
      </w:pPr>
      <w:r>
        <w:t>6. 选手界面数据来源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DCEFF7"/>
          </w:tcPr>
          <w:p>
            <w:r>
              <w:t>界面数据</w:t>
            </w:r>
          </w:p>
        </w:tc>
        <w:tc>
          <w:tcPr>
            <w:tcW w:type="dxa" w:w="3400"/>
            <w:shd w:fill="DCEFF7"/>
          </w:tcPr>
          <w:p>
            <w:r>
              <w:t>权威来源</w:t>
            </w:r>
          </w:p>
        </w:tc>
        <w:tc>
          <w:tcPr>
            <w:tcW w:type="dxa" w:w="3400"/>
            <w:shd w:fill="DCEFF7"/>
          </w:tcPr>
          <w:p>
            <w:r>
              <w:t>选手可修改</w:t>
            </w:r>
          </w:p>
        </w:tc>
      </w:tr>
      <w:tr>
        <w:tc>
          <w:tcPr>
            <w:tcW w:type="dxa" w:w="3400"/>
          </w:tcPr>
          <w:p>
            <w:r>
              <w:t>队伍、选手、席位、机器鱼绑定</w:t>
            </w:r>
          </w:p>
        </w:tc>
        <w:tc>
          <w:tcPr>
            <w:tcW w:type="dxa" w:w="3400"/>
          </w:tcPr>
          <w:p>
            <w:r>
              <w:t>比赛数据库/签到记录</w:t>
            </w:r>
          </w:p>
        </w:tc>
        <w:tc>
          <w:tcPr>
            <w:tcW w:type="dxa" w:w="3400"/>
          </w:tcPr>
          <w:p>
            <w:r>
              <w:t>否</w:t>
            </w:r>
          </w:p>
        </w:tc>
      </w:tr>
      <w:tr>
        <w:tc>
          <w:tcPr>
            <w:tcW w:type="dxa" w:w="3400"/>
          </w:tcPr>
          <w:p>
            <w:r>
              <w:t>当前场次、对手、场地</w:t>
            </w:r>
          </w:p>
        </w:tc>
        <w:tc>
          <w:tcPr>
            <w:tcW w:type="dxa" w:w="3400"/>
          </w:tcPr>
          <w:p>
            <w:r>
              <w:t>比赛服务端</w:t>
            </w:r>
          </w:p>
        </w:tc>
        <w:tc>
          <w:tcPr>
            <w:tcW w:type="dxa" w:w="3400"/>
          </w:tcPr>
          <w:p>
            <w:r>
              <w:t>否</w:t>
            </w:r>
          </w:p>
        </w:tc>
      </w:tr>
      <w:tr>
        <w:tc>
          <w:tcPr>
            <w:tcW w:type="dxa" w:w="3400"/>
          </w:tcPr>
          <w:p>
            <w:r>
              <w:t>比分、计分事件</w:t>
            </w:r>
          </w:p>
        </w:tc>
        <w:tc>
          <w:tcPr>
            <w:tcW w:type="dxa" w:w="3400"/>
          </w:tcPr>
          <w:p>
            <w:r>
              <w:t>裁判计分事件 + 服务端</w:t>
            </w:r>
          </w:p>
        </w:tc>
        <w:tc>
          <w:tcPr>
            <w:tcW w:type="dxa" w:w="3400"/>
          </w:tcPr>
          <w:p>
            <w:r>
              <w:t>否</w:t>
            </w:r>
          </w:p>
        </w:tc>
      </w:tr>
      <w:tr>
        <w:tc>
          <w:tcPr>
            <w:tcW w:type="dxa" w:w="3400"/>
          </w:tcPr>
          <w:p>
            <w:r>
              <w:t>倒计时、比赛状态</w:t>
            </w:r>
          </w:p>
        </w:tc>
        <w:tc>
          <w:tcPr>
            <w:tcW w:type="dxa" w:w="3400"/>
          </w:tcPr>
          <w:p>
            <w:r>
              <w:t>比赛服务端</w:t>
            </w:r>
          </w:p>
        </w:tc>
        <w:tc>
          <w:tcPr>
            <w:tcW w:type="dxa" w:w="3400"/>
          </w:tcPr>
          <w:p>
            <w:r>
              <w:t>否</w:t>
            </w:r>
          </w:p>
        </w:tc>
      </w:tr>
      <w:tr>
        <w:tc>
          <w:tcPr>
            <w:tcW w:type="dxa" w:w="3400"/>
          </w:tcPr>
          <w:p>
            <w:r>
              <w:t>在线、电量、网络/通信状态</w:t>
            </w:r>
          </w:p>
        </w:tc>
        <w:tc>
          <w:tcPr>
            <w:tcW w:type="dxa" w:w="3400"/>
          </w:tcPr>
          <w:p>
            <w:r>
              <w:t>设备/Go 服务</w:t>
            </w:r>
          </w:p>
        </w:tc>
        <w:tc>
          <w:tcPr>
            <w:tcW w:type="dxa" w:w="3400"/>
          </w:tcPr>
          <w:p>
            <w:r>
              <w:t>否</w:t>
            </w:r>
          </w:p>
        </w:tc>
      </w:tr>
      <w:tr>
        <w:tc>
          <w:tcPr>
            <w:tcW w:type="dxa" w:w="3400"/>
          </w:tcPr>
          <w:p>
            <w:r>
              <w:t>鱼坐标、球坐标、比赛画面</w:t>
            </w:r>
          </w:p>
        </w:tc>
        <w:tc>
          <w:tcPr>
            <w:tcW w:type="dxa" w:w="3400"/>
          </w:tcPr>
          <w:p>
            <w:r>
              <w:t>Python 视觉服务</w:t>
            </w:r>
          </w:p>
        </w:tc>
        <w:tc>
          <w:tcPr>
            <w:tcW w:type="dxa" w:w="3400"/>
          </w:tcPr>
          <w:p>
            <w:r>
              <w:t>否</w:t>
            </w:r>
          </w:p>
        </w:tc>
      </w:tr>
      <w:tr>
        <w:tc>
          <w:tcPr>
            <w:tcW w:type="dxa" w:w="3400"/>
          </w:tcPr>
          <w:p>
            <w:r>
              <w:t>按键设置</w:t>
            </w:r>
          </w:p>
        </w:tc>
        <w:tc>
          <w:tcPr>
            <w:tcW w:type="dxa" w:w="3400"/>
          </w:tcPr>
          <w:p>
            <w:r>
              <w:t>选手本地/账号设置</w:t>
            </w:r>
          </w:p>
        </w:tc>
        <w:tc>
          <w:tcPr>
            <w:tcW w:type="dxa" w:w="3400"/>
          </w:tcPr>
          <w:p>
            <w:r>
              <w:t>是</w:t>
            </w:r>
          </w:p>
        </w:tc>
      </w:tr>
      <w:tr>
        <w:tc>
          <w:tcPr>
            <w:tcW w:type="dxa" w:w="3400"/>
          </w:tcPr>
          <w:p>
            <w:r>
              <w:t>设备正常/异常确认</w:t>
            </w:r>
          </w:p>
        </w:tc>
        <w:tc>
          <w:tcPr>
            <w:tcW w:type="dxa" w:w="3400"/>
          </w:tcPr>
          <w:p>
            <w:r>
              <w:t>对应席位选手</w:t>
            </w:r>
          </w:p>
        </w:tc>
        <w:tc>
          <w:tcPr>
            <w:tcW w:type="dxa" w:w="3400"/>
          </w:tcPr>
          <w:p>
            <w:r>
              <w:t>是</w:t>
            </w:r>
          </w:p>
        </w:tc>
      </w:tr>
      <w:tr>
        <w:tc>
          <w:tcPr>
            <w:tcW w:type="dxa" w:w="3400"/>
          </w:tcPr>
          <w:p>
            <w:r>
              <w:t>前进/左转/右转/急停控制指令</w:t>
            </w:r>
          </w:p>
        </w:tc>
        <w:tc>
          <w:tcPr>
            <w:tcW w:type="dxa" w:w="3400"/>
          </w:tcPr>
          <w:p>
            <w:r>
              <w:t>对应席位选手</w:t>
            </w:r>
          </w:p>
        </w:tc>
        <w:tc>
          <w:tcPr>
            <w:tcW w:type="dxa" w:w="3400"/>
          </w:tcPr>
          <w:p>
            <w:r>
              <w:t>是，仅允许状态下</w:t>
            </w:r>
          </w:p>
        </w:tc>
      </w:tr>
    </w:tbl>
    <w:p>
      <w:pPr>
        <w:pStyle w:val="Heading1"/>
      </w:pPr>
      <w:r>
        <w:t>7. 比赛计分与事件记录</w:t>
      </w:r>
    </w:p>
    <w:p>
      <w:r>
        <w:t>当前原型使用以下事件按钮；正式分值需以后续正式竞赛规程确认：</w:t>
      </w:r>
    </w:p>
    <w:p>
      <w:pPr>
        <w:pStyle w:val="ListBullet"/>
      </w:pPr>
      <w:r>
        <w:t>进球：+10（原型）</w:t>
      </w:r>
    </w:p>
    <w:p>
      <w:pPr>
        <w:pStyle w:val="ListBullet"/>
      </w:pPr>
      <w:r>
        <w:t>合作/配合：+2（原型）</w:t>
      </w:r>
    </w:p>
    <w:p>
      <w:pPr>
        <w:pStyle w:val="ListBullet"/>
      </w:pPr>
      <w:r>
        <w:t>越界/违规：-2（原型）</w:t>
      </w:r>
    </w:p>
    <w:p>
      <w:r>
        <w:t>每次计分事件至少记录：比赛剩余时间、本地系统时间、队伍、席位/事件名称、分值变化；建议同时记录 videoTimestampSeconds 以便赛后回放直接跳转。</w:t>
      </w:r>
    </w:p>
    <w:p>
      <w:r>
        <w:t>正式比赛期间不提供单条计分事件“撤销/回退”按钮；需要纠错时应由后端保留可审计的修正记录，而不是静默删除历史事件。</w:t>
      </w:r>
    </w:p>
    <w:p>
      <w:pPr>
        <w:pStyle w:val="Heading1"/>
      </w:pPr>
      <w:r>
        <w:t>8. 录像与比赛记录</w:t>
      </w:r>
    </w:p>
    <w:p>
      <w:r>
        <w:t>每场比赛使用同一个 basename 配对保存视频和 JSON，例如：</w:t>
      </w:r>
    </w:p>
    <w:p>
      <w:r>
        <w:rPr>
          <w:rFonts w:ascii="Liberation Mono" w:hAnsi="Liberation Mono" w:eastAsia="Noto Sans CJK SC"/>
          <w:sz w:val="19"/>
        </w:rPr>
        <w:t>match_008_20260914_143012.mp4</w:t>
      </w:r>
    </w:p>
    <w:p>
      <w:r>
        <w:rPr>
          <w:rFonts w:ascii="Liberation Mono" w:hAnsi="Liberation Mono" w:eastAsia="Noto Sans CJK SC"/>
          <w:sz w:val="19"/>
        </w:rPr>
        <w:t>match_008_20260914_143012.json</w:t>
      </w:r>
    </w:p>
    <w:p>
      <w:r>
        <w:t>JSON 建议包含：matchId、场次、组别、场地、双方队伍/选手、最终比分、计分统计、完整事件时间线、视频文件名、videoTimestampSeconds 等。</w:t>
      </w:r>
    </w:p>
    <w:p>
      <w:pPr>
        <w:pStyle w:val="Heading1"/>
      </w:pPr>
      <w:r>
        <w:t>9. 断线与重新连接规则</w:t>
      </w:r>
    </w:p>
    <w:p>
      <w:pPr>
        <w:pStyle w:val="ListBullet"/>
      </w:pPr>
      <w:r>
        <w:t>前端页面中的状态不是权威状态；断线后不得仅根据浏览器本地状态恢复比赛。</w:t>
      </w:r>
    </w:p>
    <w:p>
      <w:pPr>
        <w:pStyle w:val="ListBullet"/>
      </w:pPr>
      <w:r>
        <w:t>重新连接后，选手端必须重新向服务端获取当前 matchId、state、remainingTime、score、side、players 等信息并重新渲染。</w:t>
      </w:r>
    </w:p>
    <w:p>
      <w:pPr>
        <w:pStyle w:val="ListBullet"/>
      </w:pPr>
      <w:r>
        <w:t>如果服务端状态不是 RUNNING，即使选手浏览器继续产生按键事件，控制指令也必须被服务端拒绝。</w:t>
      </w:r>
    </w:p>
    <w:p>
      <w:pPr>
        <w:pStyle w:val="Heading1"/>
      </w:pPr>
      <w:r>
        <w:t>10. 当前选手端页面职责</w:t>
      </w:r>
    </w:p>
    <w:p>
      <w:r>
        <w:rPr>
          <w:b/>
        </w:rPr>
        <w:t>赛事中心：</w:t>
      </w:r>
      <w:r>
        <w:t>比赛总览、战队状态、赛前状态、设备检查完成状态以及各功能入口。</w:t>
      </w:r>
    </w:p>
    <w:p>
      <w:r>
        <w:rPr>
          <w:b/>
        </w:rPr>
        <w:t>比赛操控：</w:t>
      </w:r>
      <w:r>
        <w:t>承担赛前设备测试、等待开始以及正式比赛控制。</w:t>
      </w:r>
    </w:p>
    <w:p>
      <w:r>
        <w:rPr>
          <w:b/>
        </w:rPr>
        <w:t>自主挑战：</w:t>
      </w:r>
      <w:r>
        <w:t>当前采用最简图形化编程：基础积木 + 简单仿真；后续再扩展。</w:t>
      </w:r>
    </w:p>
    <w:p>
      <w:r>
        <w:rPr>
          <w:b/>
        </w:rPr>
        <w:t>成绩回放：</w:t>
      </w:r>
      <w:r>
        <w:t>查看历史比赛、比分、录像、关键事件及个人复盘数据。</w:t>
      </w:r>
    </w:p>
    <w:p>
      <w:pPr>
        <w:pStyle w:val="Heading1"/>
      </w:pPr>
      <w:r>
        <w:t>11. 当前裁判端页面职责</w:t>
      </w:r>
    </w:p>
    <w:p>
      <w:r>
        <w:rPr>
          <w:b/>
        </w:rPr>
        <w:t>签到：</w:t>
      </w:r>
      <w:r>
        <w:t>由裁判主动指定选手并完成席位/机器鱼绑定。</w:t>
      </w:r>
    </w:p>
    <w:p>
      <w:r>
        <w:rPr>
          <w:b/>
        </w:rPr>
        <w:t>场地调整：</w:t>
      </w:r>
      <w:r>
        <w:t>完成相机、裁剪、曝光、Mark、坐标与目标识别；锁定后开放设备测试。</w:t>
      </w:r>
    </w:p>
    <w:p>
      <w:r>
        <w:rPr>
          <w:b/>
        </w:rPr>
        <w:t>比赛：</w:t>
      </w:r>
      <w:r>
        <w:t>开始/暂停/继续/结束、计分、查看实时赛场。</w:t>
      </w:r>
    </w:p>
    <w:p>
      <w:r>
        <w:rPr>
          <w:b/>
        </w:rPr>
        <w:t>比赛记录：</w:t>
      </w:r>
      <w:r>
        <w:t>查看历史比赛、事件、视频回放以及视频+JSON 归档信息。</w:t>
      </w:r>
    </w:p>
    <w:sectPr w:rsidR="00FC693F" w:rsidRPr="0006063C" w:rsidSect="00034616">
      <w:footerReference w:type="default" r:id="rId9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8895"/>
        <w:sz w:val="16"/>
      </w:rPr>
      <w:t>FISH CONTROL · 当前原型规则文件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