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color w:val="4F71BE"/>
          <w:sz w:val="34"/>
        </w:rPr>
        <w:t>CALENDRIER DES CONFÉRENCES</w:t>
      </w:r>
      <w:r>
        <w:br/>
      </w:r>
      <w:r>
        <w:rPr>
          <w:rFonts w:ascii="Tahoma" w:hAnsi="Tahoma"/>
          <w:b/>
          <w:color w:val="4F71BE"/>
          <w:sz w:val="26"/>
        </w:rPr>
        <w:t>Semaine du 1 septembre au 5 septembre 2025</w:t>
      </w:r>
    </w:p>
    <w:p>
      <w:pPr>
        <w:jc w:val="center"/>
      </w:pPr>
      <w:r>
        <w:rPr>
          <w:rFonts w:ascii="Arial" w:hAnsi="Arial"/>
          <w:b/>
          <w:color w:val="961D13"/>
          <w:sz w:val="30"/>
        </w:rPr>
        <w:t>Mercredi 3 septembre</w:t>
      </w:r>
    </w:p>
    <w:p>
      <w:hyperlink r:id="rId9">
        <w:r>
          <w:rPr>
            <w:color w:val="527784"/>
            <w:u w:val="single"/>
            <w:rFonts w:ascii="Calibri" w:hAnsi="Calibri"/>
            <w:sz w:val="27"/>
          </w:rPr>
          <w:t>China and the World: How Citizens View Their Country's Global Future</w:t>
        </w:r>
      </w:hyperlink>
      <w:r>
        <w:br/>
      </w:r>
      <w:r>
        <w:rPr>
          <w:rFonts w:ascii="Calibri" w:hAnsi="Calibri"/>
          <w:i/>
          <w:color w:val="2F6EBA"/>
          <w:sz w:val="27"/>
        </w:rPr>
        <w:t>Chicago Council on Global Affairs — En ligne. 17h30 — 18h30</w:t>
      </w:r>
    </w:p>
    <w:p>
      <w:pPr>
        <w:jc w:val="both"/>
      </w:pPr>
      <w:r>
        <w:rPr>
          <w:rFonts w:ascii="Calibri" w:hAnsi="Calibri"/>
          <w:sz w:val="27"/>
        </w:rPr>
        <w:t>**Comment les citoyens chinois perçoivent le rôle mondial de leur pays**</w:t>
        <w:br/>
        <w:br/>
        <w:t>Pour la première fois, une vaste enquête d’opinion a été menée en Chine continentale par le Chicago Council et le Carter Center. Cette conférence analyse les perceptions des citoyens chinois sur les relations avec les États-Unis, le commerce international et le rôle de la Chine dans le monde.</w:t>
      </w:r>
    </w:p>
    <w:p>
      <w:pPr>
        <w:jc w:val="both"/>
      </w:pPr>
      <w:r>
        <w:rPr>
          <w:rFonts w:ascii="Calibri" w:hAnsi="Calibri"/>
          <w:b/>
          <w:sz w:val="27"/>
        </w:rPr>
        <w:t xml:space="preserve">Participants : </w:t>
      </w:r>
      <w:r>
        <w:rPr>
          <w:rFonts w:ascii="Calibri" w:hAnsi="Calibri"/>
          <w:b/>
          <w:sz w:val="27"/>
        </w:rPr>
        <w:t>Paul Heer</w:t>
      </w:r>
      <w:r>
        <w:rPr>
          <w:rFonts w:ascii="Calibri" w:hAnsi="Calibri"/>
          <w:sz w:val="27"/>
        </w:rPr>
        <w:t>, Nonresident Senior Fellow, Chicago Council</w:t>
      </w:r>
      <w:r>
        <w:rPr>
          <w:rFonts w:ascii="Calibri" w:hAnsi="Calibri"/>
          <w:sz w:val="27"/>
        </w:rPr>
        <w:t xml:space="preserve"> ; </w:t>
      </w:r>
      <w:r>
        <w:rPr>
          <w:rFonts w:ascii="Calibri" w:hAnsi="Calibri"/>
          <w:b/>
          <w:sz w:val="27"/>
        </w:rPr>
        <w:t>Yawei Liu</w:t>
      </w:r>
      <w:r>
        <w:rPr>
          <w:rFonts w:ascii="Calibri" w:hAnsi="Calibri"/>
          <w:sz w:val="27"/>
        </w:rPr>
        <w:t>, Senior Advisor, Carter Center</w:t>
      </w:r>
      <w:r>
        <w:rPr>
          <w:rFonts w:ascii="Calibri" w:hAnsi="Calibri"/>
          <w:sz w:val="27"/>
        </w:rPr>
        <w:t xml:space="preserve"> ; </w:t>
      </w:r>
      <w:r>
        <w:rPr>
          <w:rFonts w:ascii="Calibri" w:hAnsi="Calibri"/>
          <w:b/>
          <w:sz w:val="27"/>
        </w:rPr>
        <w:t>Dina Smeltz</w:t>
      </w:r>
      <w:r>
        <w:rPr>
          <w:rFonts w:ascii="Calibri" w:hAnsi="Calibri"/>
          <w:sz w:val="27"/>
        </w:rPr>
        <w:t>, Vice President, Public Opinion and Foreign Policy, Chicago Council</w:t>
      </w:r>
      <w:r>
        <w:rPr>
          <w:rFonts w:ascii="Calibri" w:hAnsi="Calibri"/>
          <w:sz w:val="27"/>
        </w:rPr>
        <w:t xml:space="preserve"> ; </w:t>
      </w:r>
      <w:r>
        <w:rPr>
          <w:rFonts w:ascii="Calibri" w:hAnsi="Calibri"/>
          <w:b/>
          <w:sz w:val="27"/>
        </w:rPr>
        <w:t>Leslie Vinjamuri</w:t>
      </w:r>
      <w:r>
        <w:rPr>
          <w:rFonts w:ascii="Calibri" w:hAnsi="Calibri"/>
          <w:sz w:val="27"/>
        </w:rPr>
        <w:t>, President &amp; CEO, Chicago Council (modératrice)</w:t>
      </w:r>
    </w:p>
    <w:p/>
    <w:p>
      <w:pPr>
        <w:jc w:val="center"/>
      </w:pPr>
      <w:r>
        <w:rPr>
          <w:rFonts w:ascii="Arial" w:hAnsi="Arial"/>
          <w:b/>
          <w:color w:val="961D13"/>
          <w:sz w:val="30"/>
        </w:rPr>
        <w:t>Jeudi 4 septembre</w:t>
      </w:r>
    </w:p>
    <w:p>
      <w:hyperlink r:id="rId10">
        <w:r>
          <w:rPr>
            <w:color w:val="527784"/>
            <w:u w:val="single"/>
            <w:rFonts w:ascii="Calibri" w:hAnsi="Calibri"/>
            <w:sz w:val="27"/>
          </w:rPr>
          <w:t>Saudi Arabia: Sustaining Strong Growth Amid Global Economic Uncertainty</w:t>
        </w:r>
      </w:hyperlink>
      <w:r>
        <w:br/>
      </w:r>
      <w:r>
        <w:rPr>
          <w:rFonts w:ascii="Calibri" w:hAnsi="Calibri"/>
          <w:i/>
          <w:color w:val="2F6EBA"/>
          <w:sz w:val="27"/>
        </w:rPr>
        <w:t>Arab Gulf States Institute in Washington (AGSI) — En ligne et en personne. 10h00 — 11h30</w:t>
      </w:r>
    </w:p>
    <w:p>
      <w:pPr>
        <w:jc w:val="both"/>
      </w:pPr>
      <w:r>
        <w:rPr>
          <w:rFonts w:ascii="Calibri" w:hAnsi="Calibri"/>
          <w:sz w:val="27"/>
        </w:rPr>
        <w:t>**Perspectives économiques de l’Arabie saoudite face aux incertitudes mondiales**</w:t>
        <w:br/>
        <w:br/>
        <w:t>L’Arabie saoudite a connu une croissance soutenue de son secteur non pétrolier, une inflation maîtrisée et une baisse historique du chômage. Toutefois, la baisse des revenus pétroliers a entraîné des déficits budgétaires et courants. Cette conférence, basée sur le rapport Article IV du FMI, discutera des défis liés à la diversification économique, aux réformes de la Vision 2030 et au rôle du Public Investment Fund dans la transformation du royaume.</w:t>
      </w:r>
    </w:p>
    <w:p>
      <w:pPr>
        <w:jc w:val="both"/>
      </w:pPr>
      <w:r>
        <w:rPr>
          <w:rFonts w:ascii="Calibri" w:hAnsi="Calibri"/>
          <w:b/>
          <w:sz w:val="27"/>
        </w:rPr>
        <w:t xml:space="preserve">Participants : </w:t>
      </w:r>
      <w:r>
        <w:rPr>
          <w:rFonts w:ascii="Calibri" w:hAnsi="Calibri"/>
          <w:b/>
          <w:sz w:val="27"/>
        </w:rPr>
        <w:t>Naif Alghaith</w:t>
      </w:r>
      <w:r>
        <w:rPr>
          <w:rFonts w:ascii="Calibri" w:hAnsi="Calibri"/>
          <w:sz w:val="27"/>
        </w:rPr>
        <w:t>, Chief Economist, Riyadh Bank</w:t>
      </w:r>
      <w:r>
        <w:rPr>
          <w:rFonts w:ascii="Calibri" w:hAnsi="Calibri"/>
          <w:sz w:val="27"/>
        </w:rPr>
        <w:t xml:space="preserve"> ; </w:t>
      </w:r>
      <w:r>
        <w:rPr>
          <w:rFonts w:ascii="Calibri" w:hAnsi="Calibri"/>
          <w:b/>
          <w:sz w:val="27"/>
        </w:rPr>
        <w:t>Toby Iles</w:t>
      </w:r>
      <w:r>
        <w:rPr>
          <w:rFonts w:ascii="Calibri" w:hAnsi="Calibri"/>
          <w:sz w:val="27"/>
        </w:rPr>
        <w:t>, Chief Economist, Jadwa Investment</w:t>
      </w:r>
      <w:r>
        <w:rPr>
          <w:rFonts w:ascii="Calibri" w:hAnsi="Calibri"/>
          <w:sz w:val="27"/>
        </w:rPr>
        <w:t xml:space="preserve"> ; </w:t>
      </w:r>
      <w:r>
        <w:rPr>
          <w:rFonts w:ascii="Calibri" w:hAnsi="Calibri"/>
          <w:b/>
          <w:sz w:val="27"/>
        </w:rPr>
        <w:t>Amine Mati</w:t>
      </w:r>
      <w:r>
        <w:rPr>
          <w:rFonts w:ascii="Calibri" w:hAnsi="Calibri"/>
          <w:sz w:val="27"/>
        </w:rPr>
        <w:t>, Assistant Director &amp; Mission Chief for Saudi Arabia, IMF</w:t>
      </w:r>
      <w:r>
        <w:rPr>
          <w:rFonts w:ascii="Calibri" w:hAnsi="Calibri"/>
          <w:sz w:val="27"/>
        </w:rPr>
        <w:t xml:space="preserve"> ; </w:t>
      </w:r>
      <w:r>
        <w:rPr>
          <w:rFonts w:ascii="Calibri" w:hAnsi="Calibri"/>
          <w:b/>
          <w:sz w:val="27"/>
        </w:rPr>
        <w:t>Tim Callen</w:t>
      </w:r>
      <w:r>
        <w:rPr>
          <w:rFonts w:ascii="Calibri" w:hAnsi="Calibri"/>
          <w:sz w:val="27"/>
        </w:rPr>
        <w:t>, Visiting Fellow, AGSI</w:t>
      </w:r>
    </w:p>
    <w:p>
      <w:pPr>
        <w:jc w:val="center"/>
      </w:pPr>
      <w:r>
        <w:t>_________________________</w:t>
      </w:r>
    </w:p>
    <w:p>
      <w:hyperlink r:id="rId11">
        <w:r>
          <w:rPr>
            <w:color w:val="527784"/>
            <w:u w:val="single"/>
            <w:rFonts w:ascii="Calibri" w:hAnsi="Calibri"/>
            <w:sz w:val="27"/>
          </w:rPr>
          <w:t>Ivan Werning - Virtual Seminar on Monetary Economics (VSME)</w:t>
        </w:r>
      </w:hyperlink>
      <w:r>
        <w:br/>
      </w:r>
      <w:r>
        <w:rPr>
          <w:rFonts w:ascii="Calibri" w:hAnsi="Calibri"/>
          <w:i/>
          <w:color w:val="2F6EBA"/>
          <w:sz w:val="27"/>
        </w:rPr>
        <w:t>Centre for Economic Policy Research (CEPR) — En ligne. 16h00</w:t>
      </w:r>
    </w:p>
    <w:p>
      <w:pPr>
        <w:jc w:val="both"/>
      </w:pPr>
      <w:r>
        <w:rPr>
          <w:rFonts w:ascii="Calibri" w:hAnsi="Calibri"/>
          <w:sz w:val="27"/>
        </w:rPr>
        <w:t>**Séminaire virtuel sur la politique monétaire**</w:t>
        <w:br/>
        <w:br/>
        <w:t>Le CEPR organise une série mensuelle de séminaires sur la politique monétaire. Ivan Werning (MIT) présentera ses recherches sur la conception, la mise en œuvre et les dimensions internationales des politiques monétaires.</w:t>
      </w:r>
    </w:p>
    <w:p>
      <w:pPr>
        <w:jc w:val="both"/>
      </w:pPr>
      <w:r>
        <w:rPr>
          <w:rFonts w:ascii="Calibri" w:hAnsi="Calibri"/>
          <w:b/>
          <w:sz w:val="27"/>
        </w:rPr>
        <w:t xml:space="preserve">Participants : </w:t>
      </w:r>
      <w:r>
        <w:rPr>
          <w:rFonts w:ascii="Calibri" w:hAnsi="Calibri"/>
          <w:b/>
          <w:sz w:val="27"/>
        </w:rPr>
        <w:t>Ivan Werning</w:t>
      </w:r>
      <w:r>
        <w:rPr>
          <w:rFonts w:ascii="Calibri" w:hAnsi="Calibri"/>
          <w:sz w:val="27"/>
        </w:rPr>
        <w:t>, Professor of Economics, MIT</w:t>
      </w:r>
    </w:p>
    <w:p>
      <w:pPr>
        <w:jc w:val="center"/>
      </w:pPr>
      <w:r>
        <w:t>_________________________</w:t>
      </w:r>
    </w:p>
    <w:p>
      <w:r>
        <w:rPr>
          <w:rFonts w:ascii="Calibri" w:hAnsi="Calibri"/>
          <w:sz w:val="27"/>
        </w:rPr>
        <w:t>Law Enforcement &amp; Clean Slate</w:t>
      </w:r>
      <w:r>
        <w:br/>
      </w:r>
      <w:r>
        <w:rPr>
          <w:rFonts w:ascii="Calibri" w:hAnsi="Calibri"/>
          <w:i/>
          <w:color w:val="2F6EBA"/>
          <w:sz w:val="27"/>
        </w:rPr>
        <w:t>Center for Strategic Initiatives (CSI) — En ligne. 13h00 — 14h00</w:t>
      </w:r>
    </w:p>
    <w:p>
      <w:pPr>
        <w:jc w:val="both"/>
      </w:pPr>
      <w:r>
        <w:rPr>
          <w:rFonts w:ascii="Calibri" w:hAnsi="Calibri"/>
          <w:sz w:val="27"/>
        </w:rPr>
        <w:t>**Les forces de l’ordre face aux politiques de Clean Slate**</w:t>
        <w:br/>
        <w:br/>
        <w:t>De plus en plus d’États adoptent des lois permettant l’effacement automatique des casiers judiciaires. Ce webinaire explore comment inclure les forces de l’ordre dans ces réformes, renforcer la confiance et garantir la sécurité publique.</w:t>
      </w:r>
    </w:p>
    <w:p>
      <w:pPr>
        <w:jc w:val="both"/>
      </w:pPr>
      <w:r>
        <w:rPr>
          <w:rFonts w:ascii="Calibri" w:hAnsi="Calibri"/>
          <w:b/>
          <w:sz w:val="27"/>
        </w:rPr>
        <w:t xml:space="preserve">Participants : </w:t>
      </w:r>
      <w:r>
        <w:rPr>
          <w:rFonts w:ascii="Calibri" w:hAnsi="Calibri"/>
          <w:b/>
          <w:sz w:val="27"/>
        </w:rPr>
        <w:t>Sarah Anderson</w:t>
      </w:r>
      <w:r>
        <w:rPr>
          <w:rFonts w:ascii="Calibri" w:hAnsi="Calibri"/>
          <w:sz w:val="27"/>
        </w:rPr>
        <w:t>, Associate Director, R Street Institute</w:t>
      </w:r>
      <w:r>
        <w:rPr>
          <w:rFonts w:ascii="Calibri" w:hAnsi="Calibri"/>
          <w:sz w:val="27"/>
        </w:rPr>
        <w:t xml:space="preserve"> ; </w:t>
      </w:r>
      <w:r>
        <w:rPr>
          <w:rFonts w:ascii="Calibri" w:hAnsi="Calibri"/>
          <w:b/>
          <w:sz w:val="27"/>
        </w:rPr>
        <w:t>Jose Chapa</w:t>
      </w:r>
      <w:r>
        <w:rPr>
          <w:rFonts w:ascii="Calibri" w:hAnsi="Calibri"/>
          <w:sz w:val="27"/>
        </w:rPr>
        <w:t>, Policy Expert</w:t>
      </w:r>
      <w:r>
        <w:rPr>
          <w:rFonts w:ascii="Calibri" w:hAnsi="Calibri"/>
          <w:sz w:val="27"/>
        </w:rPr>
        <w:t xml:space="preserve"> ; </w:t>
      </w:r>
      <w:r>
        <w:rPr>
          <w:rFonts w:ascii="Calibri" w:hAnsi="Calibri"/>
          <w:b/>
          <w:sz w:val="27"/>
        </w:rPr>
        <w:t>Frank W. Russo Jr.</w:t>
      </w:r>
      <w:r>
        <w:rPr>
          <w:rFonts w:ascii="Calibri" w:hAnsi="Calibri"/>
          <w:sz w:val="27"/>
        </w:rPr>
        <w:t>, Policy Expert</w:t>
      </w:r>
      <w:r>
        <w:rPr>
          <w:rFonts w:ascii="Calibri" w:hAnsi="Calibri"/>
          <w:sz w:val="27"/>
        </w:rPr>
        <w:t xml:space="preserve"> ; </w:t>
      </w:r>
      <w:r>
        <w:rPr>
          <w:rFonts w:ascii="Calibri" w:hAnsi="Calibri"/>
          <w:b/>
          <w:sz w:val="27"/>
        </w:rPr>
        <w:t>Jillian Snider</w:t>
      </w:r>
      <w:r>
        <w:rPr>
          <w:rFonts w:ascii="Calibri" w:hAnsi="Calibri"/>
          <w:sz w:val="27"/>
        </w:rPr>
        <w:t>, Policy Expert</w:t>
      </w:r>
    </w:p>
    <w:p>
      <w:pPr>
        <w:jc w:val="center"/>
      </w:pPr>
      <w:r>
        <w:t>_________________________</w:t>
      </w:r>
    </w:p>
    <w:p>
      <w:hyperlink r:id="rId12">
        <w:r>
          <w:rPr>
            <w:color w:val="527784"/>
            <w:u w:val="single"/>
            <w:rFonts w:ascii="Calibri" w:hAnsi="Calibri"/>
            <w:sz w:val="27"/>
          </w:rPr>
          <w:t>The Cost of Freedom: Student Debt, Equity, and the Future of College</w:t>
        </w:r>
      </w:hyperlink>
      <w:r>
        <w:br/>
      </w:r>
      <w:r>
        <w:rPr>
          <w:rFonts w:ascii="Calibri" w:hAnsi="Calibri"/>
          <w:i/>
          <w:color w:val="2F6EBA"/>
          <w:sz w:val="27"/>
        </w:rPr>
        <w:t>Roosevelt Institute — En ligne. 18h30 — 20h00</w:t>
      </w:r>
    </w:p>
    <w:p>
      <w:pPr>
        <w:jc w:val="both"/>
      </w:pPr>
      <w:r>
        <w:rPr>
          <w:rFonts w:ascii="Calibri" w:hAnsi="Calibri"/>
          <w:sz w:val="27"/>
        </w:rPr>
        <w:t>**La dette étudiante et l’avenir de l’enseignement supérieur aux États-Unis**</w:t>
        <w:br/>
        <w:br/>
        <w:t>Avec plus de 43 millions d’Américains endettés à hauteur de 1,7 trillion $, la dette étudiante pose un défi générationnel. Ce webinaire du Roosevelt Institute explore les impacts sociaux et économiques ainsi que les propositions de réforme pour un enseignement supérieur accessible et équitable.</w:t>
      </w:r>
    </w:p>
    <w:p>
      <w:pPr>
        <w:jc w:val="both"/>
      </w:pPr>
      <w:r>
        <w:rPr>
          <w:rFonts w:ascii="Calibri" w:hAnsi="Calibri"/>
          <w:b/>
          <w:sz w:val="27"/>
        </w:rPr>
        <w:t xml:space="preserve">Participants : </w:t>
      </w:r>
      <w:r>
        <w:rPr>
          <w:rFonts w:ascii="Calibri" w:hAnsi="Calibri"/>
          <w:b/>
          <w:sz w:val="27"/>
        </w:rPr>
        <w:t>Wisdom Cole</w:t>
      </w:r>
      <w:r>
        <w:rPr>
          <w:rFonts w:ascii="Calibri" w:hAnsi="Calibri"/>
          <w:sz w:val="27"/>
        </w:rPr>
        <w:t>, Senior National Advocacy Director, NAACP</w:t>
      </w:r>
      <w:r>
        <w:rPr>
          <w:rFonts w:ascii="Calibri" w:hAnsi="Calibri"/>
          <w:sz w:val="27"/>
        </w:rPr>
        <w:t xml:space="preserve"> ; </w:t>
      </w:r>
      <w:r>
        <w:rPr>
          <w:rFonts w:ascii="Calibri" w:hAnsi="Calibri"/>
          <w:b/>
          <w:sz w:val="27"/>
        </w:rPr>
        <w:t>Roxanne Garza</w:t>
      </w:r>
      <w:r>
        <w:rPr>
          <w:rFonts w:ascii="Calibri" w:hAnsi="Calibri"/>
          <w:sz w:val="27"/>
        </w:rPr>
        <w:t>, Higher Education Policy Director, EdTrust</w:t>
      </w:r>
      <w:r>
        <w:rPr>
          <w:rFonts w:ascii="Calibri" w:hAnsi="Calibri"/>
          <w:sz w:val="27"/>
        </w:rPr>
        <w:t xml:space="preserve"> ; </w:t>
      </w:r>
      <w:r>
        <w:rPr>
          <w:rFonts w:ascii="Calibri" w:hAnsi="Calibri"/>
          <w:b/>
          <w:sz w:val="27"/>
        </w:rPr>
        <w:t>Ashley Harrington</w:t>
      </w:r>
      <w:r>
        <w:rPr>
          <w:rFonts w:ascii="Calibri" w:hAnsi="Calibri"/>
          <w:sz w:val="27"/>
        </w:rPr>
        <w:t>, Student Loan Cancellation Advocate</w:t>
      </w:r>
      <w:r>
        <w:rPr>
          <w:rFonts w:ascii="Calibri" w:hAnsi="Calibri"/>
          <w:sz w:val="27"/>
        </w:rPr>
        <w:t xml:space="preserve"> ; </w:t>
      </w:r>
      <w:r>
        <w:rPr>
          <w:rFonts w:ascii="Calibri" w:hAnsi="Calibri"/>
          <w:b/>
          <w:sz w:val="27"/>
        </w:rPr>
        <w:t>Shanell Hagood</w:t>
      </w:r>
      <w:r>
        <w:rPr>
          <w:rFonts w:ascii="Calibri" w:hAnsi="Calibri"/>
          <w:sz w:val="27"/>
        </w:rPr>
        <w:t>, Director of Strategy and Culture, EQRC</w:t>
      </w:r>
      <w:r>
        <w:rPr>
          <w:rFonts w:ascii="Calibri" w:hAnsi="Calibri"/>
          <w:sz w:val="27"/>
        </w:rPr>
        <w:t xml:space="preserve"> ; </w:t>
      </w:r>
      <w:r>
        <w:rPr>
          <w:rFonts w:ascii="Calibri" w:hAnsi="Calibri"/>
          <w:b/>
          <w:sz w:val="27"/>
        </w:rPr>
        <w:t>Chavis Jones</w:t>
      </w:r>
      <w:r>
        <w:rPr>
          <w:rFonts w:ascii="Calibri" w:hAnsi="Calibri"/>
          <w:sz w:val="27"/>
        </w:rPr>
        <w:t>, Counsel, Educational Opportunities Project, Lawyers’ Committee</w:t>
      </w:r>
      <w:r>
        <w:rPr>
          <w:rFonts w:ascii="Calibri" w:hAnsi="Calibri"/>
          <w:sz w:val="27"/>
        </w:rPr>
        <w:t xml:space="preserve"> ; </w:t>
      </w:r>
      <w:r>
        <w:rPr>
          <w:rFonts w:ascii="Calibri" w:hAnsi="Calibri"/>
          <w:b/>
          <w:sz w:val="27"/>
        </w:rPr>
        <w:t>Katie Kirchner</w:t>
      </w:r>
      <w:r>
        <w:rPr>
          <w:rFonts w:ascii="Calibri" w:hAnsi="Calibri"/>
          <w:sz w:val="27"/>
        </w:rPr>
        <w:t>, Vice President of Field-Building Programs, Roosevelt Institute</w:t>
      </w:r>
      <w:r>
        <w:rPr>
          <w:rFonts w:ascii="Calibri" w:hAnsi="Calibri"/>
          <w:sz w:val="27"/>
        </w:rPr>
        <w:t xml:space="preserve"> ; </w:t>
      </w:r>
      <w:r>
        <w:rPr>
          <w:rFonts w:ascii="Calibri" w:hAnsi="Calibri"/>
          <w:b/>
          <w:sz w:val="27"/>
        </w:rPr>
        <w:t>Aissa Canchola Bañez</w:t>
      </w:r>
      <w:r>
        <w:rPr>
          <w:rFonts w:ascii="Calibri" w:hAnsi="Calibri"/>
          <w:sz w:val="27"/>
        </w:rPr>
        <w:t>, Policy Director, SBPC (modératrice)</w:t>
      </w:r>
    </w:p>
    <w:p>
      <w:pPr>
        <w:jc w:val="center"/>
      </w:pPr>
      <w:r>
        <w:t>_________________________</w:t>
      </w:r>
    </w:p>
    <w:p>
      <w:r>
        <w:rPr>
          <w:rFonts w:ascii="Calibri" w:hAnsi="Calibri"/>
          <w:sz w:val="27"/>
        </w:rPr>
        <w:t>Citizen Security in Context: Local Solutions and Cross-Border Collaboration</w:t>
      </w:r>
      <w:r>
        <w:br/>
      </w:r>
      <w:r>
        <w:rPr>
          <w:rFonts w:ascii="Calibri" w:hAnsi="Calibri"/>
          <w:i/>
          <w:color w:val="2F6EBA"/>
          <w:sz w:val="27"/>
        </w:rPr>
        <w:t>Inter-American Dialogue — En ligne. 10h15 — 12h45</w:t>
      </w:r>
    </w:p>
    <w:p>
      <w:pPr>
        <w:jc w:val="both"/>
      </w:pPr>
      <w:r>
        <w:rPr>
          <w:rFonts w:ascii="Calibri" w:hAnsi="Calibri"/>
          <w:sz w:val="27"/>
        </w:rPr>
        <w:t>**La sécurité citoyenne au Mexique et dans les Amériques**</w:t>
        <w:br/>
        <w:br/>
        <w:t>Cette conférence virtuelle analyse les réponses locales face à la violence au Mexique, ainsi que la coopération bilatérale avec les États-Unis sur des enjeux tels que le trafic d’armes, la migration et le crime organisé. Les intervenants discutent des solutions régionales et de la nécessité d’approches adaptées aux réalités locales.</w:t>
      </w:r>
    </w:p>
    <w:p>
      <w:pPr>
        <w:jc w:val="both"/>
      </w:pPr>
      <w:r>
        <w:rPr>
          <w:rFonts w:ascii="Calibri" w:hAnsi="Calibri"/>
          <w:b/>
          <w:sz w:val="27"/>
        </w:rPr>
        <w:t xml:space="preserve">Participants : </w:t>
      </w:r>
      <w:r>
        <w:rPr>
          <w:rFonts w:ascii="Calibri" w:hAnsi="Calibri"/>
          <w:b/>
          <w:sz w:val="27"/>
        </w:rPr>
        <w:t>Rebecca Bill Chavez</w:t>
      </w:r>
      <w:r>
        <w:rPr>
          <w:rFonts w:ascii="Calibri" w:hAnsi="Calibri"/>
          <w:sz w:val="27"/>
        </w:rPr>
        <w:t>, President &amp; CEO, Inter-American Dialogue</w:t>
      </w:r>
      <w:r>
        <w:rPr>
          <w:rFonts w:ascii="Calibri" w:hAnsi="Calibri"/>
          <w:sz w:val="27"/>
        </w:rPr>
        <w:t xml:space="preserve"> ; </w:t>
      </w:r>
      <w:r>
        <w:rPr>
          <w:rFonts w:ascii="Calibri" w:hAnsi="Calibri"/>
          <w:b/>
          <w:sz w:val="27"/>
        </w:rPr>
        <w:t>Daira Arana Aguilar</w:t>
      </w:r>
      <w:r>
        <w:rPr>
          <w:rFonts w:ascii="Calibri" w:hAnsi="Calibri"/>
          <w:sz w:val="27"/>
        </w:rPr>
        <w:t>, Founder &amp; Director, Global Thought Mexico</w:t>
      </w:r>
      <w:r>
        <w:rPr>
          <w:rFonts w:ascii="Calibri" w:hAnsi="Calibri"/>
          <w:sz w:val="27"/>
        </w:rPr>
        <w:t xml:space="preserve"> ; </w:t>
      </w:r>
      <w:r>
        <w:rPr>
          <w:rFonts w:ascii="Calibri" w:hAnsi="Calibri"/>
          <w:b/>
          <w:sz w:val="27"/>
        </w:rPr>
        <w:t>Juan Mauro Gonzalez Martinez</w:t>
      </w:r>
      <w:r>
        <w:rPr>
          <w:rFonts w:ascii="Calibri" w:hAnsi="Calibri"/>
          <w:sz w:val="27"/>
        </w:rPr>
        <w:t>, Secretary of Security and Peace, Guanajuato</w:t>
      </w:r>
      <w:r>
        <w:rPr>
          <w:rFonts w:ascii="Calibri" w:hAnsi="Calibri"/>
          <w:sz w:val="27"/>
        </w:rPr>
        <w:t xml:space="preserve"> ; </w:t>
      </w:r>
      <w:r>
        <w:rPr>
          <w:rFonts w:ascii="Calibri" w:hAnsi="Calibri"/>
          <w:b/>
          <w:sz w:val="27"/>
        </w:rPr>
        <w:t>Francisco Rivas</w:t>
      </w:r>
      <w:r>
        <w:rPr>
          <w:rFonts w:ascii="Calibri" w:hAnsi="Calibri"/>
          <w:sz w:val="27"/>
        </w:rPr>
        <w:t>, Director, Observatorio Nacional Ciudadano</w:t>
      </w:r>
      <w:r>
        <w:rPr>
          <w:rFonts w:ascii="Calibri" w:hAnsi="Calibri"/>
          <w:sz w:val="27"/>
        </w:rPr>
        <w:t xml:space="preserve"> ; </w:t>
      </w:r>
      <w:r>
        <w:rPr>
          <w:rFonts w:ascii="Calibri" w:hAnsi="Calibri"/>
          <w:b/>
          <w:sz w:val="27"/>
        </w:rPr>
        <w:t>Alejandro Gonzalez Cussi</w:t>
      </w:r>
      <w:r>
        <w:rPr>
          <w:rFonts w:ascii="Calibri" w:hAnsi="Calibri"/>
          <w:sz w:val="27"/>
        </w:rPr>
        <w:t>, Former Citizen Security Commissioner, Morelia &amp; Colima</w:t>
      </w:r>
      <w:r>
        <w:rPr>
          <w:rFonts w:ascii="Calibri" w:hAnsi="Calibri"/>
          <w:sz w:val="27"/>
        </w:rPr>
        <w:t xml:space="preserve"> ; </w:t>
      </w:r>
      <w:r>
        <w:rPr>
          <w:rFonts w:ascii="Calibri" w:hAnsi="Calibri"/>
          <w:b/>
          <w:sz w:val="27"/>
        </w:rPr>
        <w:t>María Teresa Martínez Trujillo</w:t>
      </w:r>
      <w:r>
        <w:rPr>
          <w:rFonts w:ascii="Calibri" w:hAnsi="Calibri"/>
          <w:sz w:val="27"/>
        </w:rPr>
        <w:t>, Research Professor, Tecnológico de Monterrey</w:t>
      </w:r>
      <w:r>
        <w:rPr>
          <w:rFonts w:ascii="Calibri" w:hAnsi="Calibri"/>
          <w:sz w:val="27"/>
        </w:rPr>
        <w:t xml:space="preserve"> ; </w:t>
      </w:r>
      <w:r>
        <w:rPr>
          <w:rFonts w:ascii="Calibri" w:hAnsi="Calibri"/>
          <w:b/>
          <w:sz w:val="27"/>
        </w:rPr>
        <w:t>Mark Johnson</w:t>
      </w:r>
      <w:r>
        <w:rPr>
          <w:rFonts w:ascii="Calibri" w:hAnsi="Calibri"/>
          <w:sz w:val="27"/>
        </w:rPr>
        <w:t>, Deputy Chief of Mission, U.S. Embassy in Mexico</w:t>
      </w:r>
      <w:r>
        <w:rPr>
          <w:rFonts w:ascii="Calibri" w:hAnsi="Calibri"/>
          <w:sz w:val="27"/>
        </w:rPr>
        <w:t xml:space="preserve"> ; </w:t>
      </w:r>
      <w:r>
        <w:rPr>
          <w:rFonts w:ascii="Calibri" w:hAnsi="Calibri"/>
          <w:b/>
          <w:sz w:val="27"/>
        </w:rPr>
        <w:t>Cecilia Farfán-Méndez</w:t>
      </w:r>
      <w:r>
        <w:rPr>
          <w:rFonts w:ascii="Calibri" w:hAnsi="Calibri"/>
          <w:sz w:val="27"/>
        </w:rPr>
        <w:t>, Head, North American Observatory, GI-TOC</w:t>
      </w:r>
      <w:r>
        <w:rPr>
          <w:rFonts w:ascii="Calibri" w:hAnsi="Calibri"/>
          <w:sz w:val="27"/>
        </w:rPr>
        <w:t xml:space="preserve"> ; </w:t>
      </w:r>
      <w:r>
        <w:rPr>
          <w:rFonts w:ascii="Calibri" w:hAnsi="Calibri"/>
          <w:b/>
          <w:sz w:val="27"/>
        </w:rPr>
        <w:t>Samantha Perez Davila</w:t>
      </w:r>
      <w:r>
        <w:rPr>
          <w:rFonts w:ascii="Calibri" w:hAnsi="Calibri"/>
          <w:sz w:val="27"/>
        </w:rPr>
        <w:t>, Peace and Security Editor, Nexos</w:t>
      </w:r>
      <w:r>
        <w:rPr>
          <w:rFonts w:ascii="Calibri" w:hAnsi="Calibri"/>
          <w:sz w:val="27"/>
        </w:rPr>
        <w:t xml:space="preserve"> ; </w:t>
      </w:r>
      <w:r>
        <w:rPr>
          <w:rFonts w:ascii="Calibri" w:hAnsi="Calibri"/>
          <w:b/>
          <w:sz w:val="27"/>
        </w:rPr>
        <w:t>Lila Abed</w:t>
      </w:r>
      <w:r>
        <w:rPr>
          <w:rFonts w:ascii="Calibri" w:hAnsi="Calibri"/>
          <w:sz w:val="27"/>
        </w:rPr>
        <w:t>, Director, Mexico Program, Inter-American Dialogue</w:t>
      </w:r>
    </w:p>
    <w:p/>
    <w:p>
      <w:pPr>
        <w:jc w:val="center"/>
      </w:pPr>
      <w:r>
        <w:rPr>
          <w:rFonts w:ascii="Arial" w:hAnsi="Arial"/>
          <w:b/>
          <w:color w:val="961D13"/>
          <w:sz w:val="30"/>
        </w:rPr>
        <w:t>Vendredi 5 septembre</w:t>
      </w:r>
    </w:p>
    <w:p>
      <w:hyperlink r:id="rId13">
        <w:r>
          <w:rPr>
            <w:color w:val="527784"/>
            <w:u w:val="single"/>
            <w:rFonts w:ascii="Calibri" w:hAnsi="Calibri"/>
            <w:sz w:val="27"/>
          </w:rPr>
          <w:t>Science at Risk: Funding the Future of Medical Innovation</w:t>
        </w:r>
      </w:hyperlink>
      <w:r>
        <w:br/>
      </w:r>
      <w:r>
        <w:rPr>
          <w:rFonts w:ascii="Calibri" w:hAnsi="Calibri"/>
          <w:i/>
          <w:color w:val="2F6EBA"/>
          <w:sz w:val="27"/>
        </w:rPr>
        <w:t>Baker Institute for Public Policy — En ligne et en personne. 07h30 — 09h30</w:t>
      </w:r>
    </w:p>
    <w:p>
      <w:pPr>
        <w:jc w:val="both"/>
      </w:pPr>
      <w:r>
        <w:rPr>
          <w:rFonts w:ascii="Calibri" w:hAnsi="Calibri"/>
          <w:sz w:val="27"/>
        </w:rPr>
        <w:t>**L’avenir de la médecine régénérative aux États-Unis**</w:t>
        <w:br/>
        <w:br/>
        <w:t>La médecine régénérative à base de cellules souches promet de révolutionner les soins médicaux. Cependant, de récents changements de politiques fédérales freinent le financement et la mise en place d’essais cliniques. Ce débat du Baker Institute met en lumière les moyens de surmonter les barrières réglementaires et de garantir un financement pérenne pour l’innovation médicale.</w:t>
      </w:r>
    </w:p>
    <w:p>
      <w:pPr>
        <w:jc w:val="both"/>
      </w:pPr>
      <w:r>
        <w:rPr>
          <w:rFonts w:ascii="Calibri" w:hAnsi="Calibri"/>
          <w:b/>
          <w:sz w:val="27"/>
        </w:rPr>
        <w:t xml:space="preserve">Participants : </w:t>
      </w:r>
      <w:r>
        <w:rPr>
          <w:rFonts w:ascii="Calibri" w:hAnsi="Calibri"/>
          <w:b/>
          <w:sz w:val="27"/>
        </w:rPr>
        <w:t>Kirstin R.W. Matthews</w:t>
      </w:r>
      <w:r>
        <w:rPr>
          <w:rFonts w:ascii="Calibri" w:hAnsi="Calibri"/>
          <w:sz w:val="27"/>
        </w:rPr>
        <w:t>, Fellow in Science and Technology Policy, Baker Institute</w:t>
      </w:r>
      <w:r>
        <w:rPr>
          <w:rFonts w:ascii="Calibri" w:hAnsi="Calibri"/>
          <w:sz w:val="27"/>
        </w:rPr>
        <w:t xml:space="preserve"> ; </w:t>
      </w:r>
      <w:r>
        <w:rPr>
          <w:rFonts w:ascii="Calibri" w:hAnsi="Calibri"/>
          <w:b/>
          <w:sz w:val="27"/>
        </w:rPr>
        <w:t>Dr. Emerson Perin</w:t>
      </w:r>
      <w:r>
        <w:rPr>
          <w:rFonts w:ascii="Calibri" w:hAnsi="Calibri"/>
          <w:sz w:val="27"/>
        </w:rPr>
        <w:t>, Director, Center for Clinical Research and Stem Cell Center, Texas Heart Institute</w:t>
      </w:r>
      <w:r>
        <w:rPr>
          <w:rFonts w:ascii="Calibri" w:hAnsi="Calibri"/>
          <w:sz w:val="27"/>
        </w:rPr>
        <w:t xml:space="preserve"> ; </w:t>
      </w:r>
      <w:r>
        <w:rPr>
          <w:rFonts w:ascii="Calibri" w:hAnsi="Calibri"/>
          <w:b/>
          <w:sz w:val="27"/>
        </w:rPr>
        <w:t>Micaela Alpert</w:t>
      </w:r>
      <w:r>
        <w:rPr>
          <w:rFonts w:ascii="Calibri" w:hAnsi="Calibri"/>
          <w:sz w:val="27"/>
        </w:rPr>
        <w:t>, Medical Student, Perelman School of Medicine, UPenn</w:t>
      </w:r>
      <w:r>
        <w:rPr>
          <w:rFonts w:ascii="Calibri" w:hAnsi="Calibri"/>
          <w:sz w:val="27"/>
        </w:rPr>
        <w:t xml:space="preserve"> ; </w:t>
      </w:r>
      <w:r>
        <w:rPr>
          <w:rFonts w:ascii="Calibri" w:hAnsi="Calibri"/>
          <w:b/>
          <w:sz w:val="27"/>
        </w:rPr>
        <w:t>David M. Satterfield</w:t>
      </w:r>
      <w:r>
        <w:rPr>
          <w:rFonts w:ascii="Calibri" w:hAnsi="Calibri"/>
          <w:sz w:val="27"/>
        </w:rPr>
        <w:t>, Director, Baker Institute; Former U.S. Ambassador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lobalaffairs.org/events/china-and-world-how-citizens-view-their-countrys-global-future" TargetMode="External"/><Relationship Id="rId10" Type="http://schemas.openxmlformats.org/officeDocument/2006/relationships/hyperlink" Target="https://agsi.org/events/saudi-arabia-sustaining-strong-growth-amid-global-economic-uncertainty/" TargetMode="External"/><Relationship Id="rId11" Type="http://schemas.openxmlformats.org/officeDocument/2006/relationships/hyperlink" Target="https://cepr.org/events/event-series/virtual-seminar-monetary-economics-vsme/ivan-werning-session-1-virtual-seminar" TargetMode="External"/><Relationship Id="rId12" Type="http://schemas.openxmlformats.org/officeDocument/2006/relationships/hyperlink" Target="https://rooseveltinstitute.org/event/the-cost-of-freedom-student-debt-equity-and-the-future-of-college/" TargetMode="External"/><Relationship Id="rId13" Type="http://schemas.openxmlformats.org/officeDocument/2006/relationships/hyperlink" Target="https://www.bakerinstitute.org/event/science-risk-funding-future-medical-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