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Heading1"/>
      </w:pPr>
      <w:bookmarkStart w:id="22" w:name="lexicon"/>
      <w:r>
        <w:t xml:space="preserve">Lexicon</w:t>
      </w:r>
      <w:bookmarkEnd w:id="22"/>
    </w:p>
    <w:p>
      <w:pPr>
        <w:pStyle w:val="Heading2"/>
      </w:pPr>
      <w:bookmarkStart w:id="23" w:name="chapter-1"/>
      <w:r>
        <w:t xml:space="preserve">Chapter 1</w:t>
      </w:r>
      <w:bookmarkEnd w:id="23"/>
    </w:p>
    <w:p>
      <w:pPr>
        <w:pStyle w:val="Heading3"/>
      </w:pPr>
      <w:bookmarkStart w:id="24" w:name="section-1"/>
      <w:r>
        <w:t xml:space="preserve">Section 1</w:t>
      </w:r>
      <w:bookmarkEnd w:id="24"/>
    </w:p>
    <w:p>
      <w:pPr>
        <w:numPr>
          <w:ilvl w:val="0"/>
          <w:numId w:val="1001"/>
        </w:numPr>
      </w:pPr>
      <w:r>
        <w:t xml:space="preserve">Set (not a multiset)</w:t>
      </w:r>
    </w:p>
    <w:p>
      <w:pPr>
        <w:numPr>
          <w:ilvl w:val="0"/>
          <w:numId w:val="1001"/>
        </w:numPr>
      </w:pPr>
      <w:r>
        <w:t xml:space="preserve">∅: the empty set, containing no elements;</w:t>
      </w:r>
    </w:p>
    <w:p>
      <w:pPr>
        <w:numPr>
          <w:ilvl w:val="0"/>
          <w:numId w:val="1001"/>
        </w:numPr>
      </w:pPr>
      <w:r>
        <w:t xml:space="preserve">N: the set of natural numbers (that is, nonnegative integers);</w:t>
      </w:r>
    </w:p>
    <w:p>
      <w:pPr>
        <w:numPr>
          <w:ilvl w:val="0"/>
          <w:numId w:val="1001"/>
        </w:numPr>
      </w:pPr>
      <w:r>
        <w:t xml:space="preserve">Z: the set of integers;</w:t>
      </w:r>
    </w:p>
    <w:p>
      <w:pPr>
        <w:numPr>
          <w:ilvl w:val="0"/>
          <w:numId w:val="1001"/>
        </w:numPr>
      </w:pPr>
      <w:r>
        <w:t xml:space="preserve">Q: the set of rational numbers;</w:t>
      </w:r>
    </w:p>
    <w:p>
      <w:pPr>
        <w:numPr>
          <w:ilvl w:val="0"/>
          <w:numId w:val="1001"/>
        </w:numPr>
      </w:pPr>
      <w:r>
        <w:t xml:space="preserve">R: the set of real numbers;</w:t>
      </w:r>
    </w:p>
    <w:p>
      <w:pPr>
        <w:numPr>
          <w:ilvl w:val="0"/>
          <w:numId w:val="1001"/>
        </w:numPr>
      </w:pPr>
      <w:r>
        <w:t xml:space="preserve">C: the set of complex numbers.</w:t>
      </w:r>
    </w:p>
    <w:p>
      <w:pPr>
        <w:numPr>
          <w:ilvl w:val="0"/>
          <w:numId w:val="1001"/>
        </w:numPr>
      </w:pPr>
      <w:r>
        <w:t xml:space="preserve">Singleton:</w:t>
      </w:r>
    </w:p>
    <w:p>
      <w:pPr>
        <w:numPr>
          <w:ilvl w:val="0"/>
          <w:numId w:val="1001"/>
        </w:numPr>
      </w:pPr>
      <w:r>
        <w:t xml:space="preserve">∃: existential quantifier, "there exists"</w:t>
      </w:r>
    </w:p>
    <w:p>
      <w:pPr>
        <w:numPr>
          <w:ilvl w:val="0"/>
          <w:numId w:val="1001"/>
        </w:numPr>
      </w:pPr>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w:r>
        <w:t xml:space="preserve">∪: the union:</w:t>
      </w:r>
    </w:p>
    <w:p>
      <w:pPr>
        <w:numPr>
          <w:ilvl w:val="0"/>
          <w:numId w:val="1001"/>
        </w:numPr>
      </w:pPr>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w:r>
        <w:t xml:space="preserve">quotient by an equivalence relation</w:t>
      </w:r>
    </w:p>
    <w:p>
      <w:pPr>
        <w:pStyle w:val="Heading3"/>
      </w:pPr>
      <w:bookmarkStart w:id="25" w:name="section-2"/>
      <w:r>
        <w:t xml:space="preserve">Section 2</w:t>
      </w:r>
      <w:bookmarkEnd w:id="25"/>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6" w:name="section-3"/>
      <w:r>
        <w:t xml:space="preserve">Section 3</w:t>
      </w:r>
      <w:bookmarkEnd w:id="26"/>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w:t>
      </w:r>
    </w:p>
    <w:p>
      <w:pPr>
        <w:pStyle w:val="Heading1"/>
      </w:pPr>
      <w:bookmarkStart w:id="27" w:name="exercise-solutions"/>
      <w:r>
        <w:t xml:space="preserve">Exercise solutions</w:t>
      </w:r>
      <w:bookmarkEnd w:id="27"/>
    </w:p>
    <w:p>
      <w:pPr>
        <w:pStyle w:val="Heading2"/>
      </w:pPr>
      <w:bookmarkStart w:id="28" w:name="chapter-i"/>
      <w:r>
        <w:t xml:space="preserve">Chapter I)</w:t>
      </w:r>
      <w:bookmarkEnd w:id="28"/>
    </w:p>
    <w:p>
      <w:pPr>
        <w:pStyle w:val="Heading3"/>
      </w:pPr>
      <w:bookmarkStart w:id="29" w:name="section-1-1"/>
      <w:r>
        <w:t xml:space="preserve">Section 1)</w:t>
      </w:r>
      <w:bookmarkEnd w:id="29"/>
    </w:p>
    <w:p>
      <w:pPr>
        <w:pStyle w:val="Heading4"/>
      </w:pPr>
      <w:bookmarkStart w:id="30" w:name="section"/>
      <w:r>
        <w:t xml:space="preserve">1.1)</w:t>
      </w:r>
      <w:bookmarkEnd w:id="30"/>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1" w:name="section-4"/>
      <w:r>
        <w:t xml:space="preserve">1.2)</w:t>
      </w:r>
      <w:bookmarkEnd w:id="31"/>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2" w:name="section-5"/>
      <w:r>
        <w:t xml:space="preserve">1.3)</w:t>
      </w:r>
      <w:bookmarkEnd w:id="32"/>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3" w:name="section-6"/>
      <w:r>
        <w:t xml:space="preserve">1.4)</w:t>
      </w:r>
      <w:bookmarkEnd w:id="33"/>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4"/>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4"/>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4"/>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4" w:name="section-7"/>
      <w:r>
        <w:t xml:space="preserve">1.5)</w:t>
      </w:r>
      <w:bookmarkEnd w:id="34"/>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5"/>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5"/>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5"/>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6"/>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6"/>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35" w:name="section-8"/>
      <w:r>
        <w:t xml:space="preserve">1.6)</w:t>
      </w:r>
      <w:bookmarkEnd w:id="35"/>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36" w:name="section-2-1"/>
      <w:r>
        <w:t xml:space="preserve">Section 2)</w:t>
      </w:r>
      <w:bookmarkEnd w:id="36"/>
    </w:p>
    <w:p>
      <w:pPr>
        <w:pStyle w:val="Heading4"/>
      </w:pPr>
      <w:bookmarkStart w:id="37" w:name="section-9"/>
      <w:r>
        <w:t xml:space="preserve">2.1)</w:t>
      </w:r>
      <w:bookmarkEnd w:id="37"/>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38" w:name="section-10"/>
      <w:r>
        <w:t xml:space="preserve">2.2)</w:t>
      </w:r>
      <w:bookmarkEnd w:id="38"/>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9" w:name="a-rightarrow"/>
      <w:r>
        <w:t xml:space="preserve">2.2.a)</w:t>
      </w:r>
      <w:r>
        <w:t xml:space="preserve"> </w:t>
      </w:r>
      <m:oMath>
        <m:r>
          <m:t>⇒</m:t>
        </m:r>
      </m:oMath>
      <w:bookmarkEnd w:id="39"/>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40" w:name="b-leftarrow"/>
      <w:r>
        <w:t xml:space="preserve">2.2.b)</w:t>
      </w:r>
      <w:r>
        <w:t xml:space="preserve"> </w:t>
      </w:r>
      <m:oMath>
        <m:r>
          <m:t>⇐</m:t>
        </m:r>
      </m:oMath>
      <w:bookmarkEnd w:id="40"/>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1" w:name="section-11"/>
      <w:r>
        <w:t xml:space="preserve">2.3)</w:t>
      </w:r>
      <w:bookmarkEnd w:id="41"/>
    </w:p>
    <w:p>
      <w:pPr>
        <w:pStyle w:val="FirstParagraph"/>
      </w:pPr>
      <w:r>
        <w:t xml:space="preserve">Prove that the inverse of a bijection is a bijection, and that the composition of two bijections is a bijection.</w:t>
      </w:r>
    </w:p>
    <w:p>
      <w:pPr>
        <w:pStyle w:val="Heading5"/>
      </w:pPr>
      <w:bookmarkStart w:id="42" w:name="a"/>
      <w:r>
        <w:t xml:space="preserve">2.3.a)</w:t>
      </w:r>
      <w:bookmarkEnd w:id="42"/>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3" w:name="b"/>
      <w:r>
        <w:t xml:space="preserve">2.3.b)</w:t>
      </w:r>
      <w:bookmarkEnd w:id="43"/>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4" w:name="section-12"/>
      <w:r>
        <w:t xml:space="preserve">2.4)</w:t>
      </w:r>
      <w:bookmarkEnd w:id="44"/>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45" w:name="a-problem-statement"/>
      <w:r>
        <w:t xml:space="preserve">2.4.a) Problem statement</w:t>
      </w:r>
      <w:bookmarkEnd w:id="45"/>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6" w:name="b-reflexivity"/>
      <w:r>
        <w:t xml:space="preserve">2.4.b) Reflexivity</w:t>
      </w:r>
      <w:bookmarkEnd w:id="46"/>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7" w:name="c-symmetry"/>
      <w:r>
        <w:t xml:space="preserve">2.4.c) Symmetry</w:t>
      </w:r>
      <w:bookmarkEnd w:id="47"/>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8" w:name="d-transitivity"/>
      <w:r>
        <w:t xml:space="preserve">2.4.d) Transitivity</w:t>
      </w:r>
      <w:bookmarkEnd w:id="48"/>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9" w:name="e-conclusion"/>
      <w:r>
        <w:t xml:space="preserve">2.4.e) Conclusion</w:t>
      </w:r>
      <w:bookmarkEnd w:id="49"/>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0" w:name="section-13"/>
      <w:r>
        <w:t xml:space="preserve">2.5)</w:t>
      </w:r>
      <w:bookmarkEnd w:id="50"/>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1" w:name="section-14"/>
      <w:r>
        <w:t xml:space="preserve">2.6)</w:t>
      </w:r>
      <w:bookmarkEnd w:id="51"/>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2" w:name="section-15"/>
      <w:r>
        <w:t xml:space="preserve">2.7)</w:t>
      </w:r>
      <w:bookmarkEnd w:id="52"/>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3" w:name="section-16"/>
      <w:r>
        <w:t xml:space="preserve">2.8)</w:t>
      </w:r>
      <w:bookmarkEnd w:id="53"/>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4" w:name="section-17"/>
      <w:r>
        <w:t xml:space="preserve">2.9)</w:t>
      </w:r>
      <w:bookmarkEnd w:id="54"/>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5" w:name="section-18"/>
      <w:r>
        <w:t xml:space="preserve">2.10)</w:t>
      </w:r>
      <w:bookmarkEnd w:id="55"/>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6" w:name="section-19"/>
      <w:r>
        <w:t xml:space="preserve">2.11)</w:t>
      </w:r>
      <w:bookmarkEnd w:id="56"/>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7" w:name="section-3-1"/>
      <w:r>
        <w:t xml:space="preserve">Section 3)</w:t>
      </w:r>
      <w:bookmarkEnd w:id="57"/>
    </w:p>
    <w:p>
      <w:pPr>
        <w:pStyle w:val="Heading4"/>
      </w:pPr>
      <w:bookmarkStart w:id="58" w:name="section-20"/>
      <w:r>
        <w:t xml:space="preserve">3.1)</w:t>
      </w:r>
      <w:bookmarkEnd w:id="58"/>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59" w:name="a-composition"/>
      <w:r>
        <w:t xml:space="preserve">3.1.a) Composition</w:t>
      </w:r>
      <w:bookmarkEnd w:id="59"/>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60" w:name="b-identity"/>
      <w:r>
        <w:t xml:space="preserve">3.1.b) Identity</w:t>
      </w:r>
      <w:bookmarkEnd w:id="60"/>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1" w:name="c-associativity"/>
      <w:r>
        <w:t xml:space="preserve">3.1.c) Associativity</w:t>
      </w:r>
      <w:bookmarkEnd w:id="61"/>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2" w:name="section-21"/>
      <w:r>
        <w:t xml:space="preserve">3.2)</w:t>
      </w:r>
      <w:bookmarkEnd w:id="62"/>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63" w:name="section-22"/>
      <w:r>
        <w:t xml:space="preserve">3.3)</w:t>
      </w:r>
      <w:bookmarkEnd w:id="63"/>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4" w:name="section-23"/>
      <w:r>
        <w:t xml:space="preserve">3.4)</w:t>
      </w:r>
      <w:bookmarkEnd w:id="64"/>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5" w:name="section-24"/>
      <w:r>
        <w:t xml:space="preserve">3.5)</w:t>
      </w:r>
      <w:bookmarkEnd w:id="65"/>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6" w:name="section-25"/>
      <w:r>
        <w:t xml:space="preserve">3.6)</w:t>
      </w:r>
      <w:bookmarkEnd w:id="66"/>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7" w:name="section-26"/>
      <w:r>
        <w:t xml:space="preserve">3.7)</w:t>
      </w:r>
      <w:bookmarkEnd w:id="67"/>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8" w:name="slice-categories"/>
      <w:r>
        <w:t xml:space="preserve">3.7.1) Slice categories</w:t>
      </w:r>
      <w:bookmarkEnd w:id="68"/>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9" w:name="coslice-categories"/>
      <w:r>
        <w:t xml:space="preserve">3.7.2) Coslice categories</w:t>
      </w:r>
      <w:bookmarkEnd w:id="69"/>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0" w:name="section-27"/>
      <w:r>
        <w:t xml:space="preserve">3.8)</w:t>
      </w:r>
      <w:bookmarkEnd w:id="70"/>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1" w:name="section-28"/>
      <w:r>
        <w:t xml:space="preserve">3.9)</w:t>
      </w:r>
      <w:bookmarkEnd w:id="71"/>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72" w:name="section-29"/>
      <w:r>
        <w:t xml:space="preserve">3.10)</w:t>
      </w:r>
      <w:bookmarkEnd w:id="72"/>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3" w:name="section-30"/>
      <w:r>
        <w:t xml:space="preserve">3.11)</w:t>
      </w:r>
      <w:bookmarkEnd w:id="73"/>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4" w:name="bi-slice-categories"/>
      <w:r>
        <w:t xml:space="preserve">3.11.1) Bi-slice categories</w:t>
      </w:r>
      <w:bookmarkEnd w:id="74"/>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5" w:name="bi-coslice-categories"/>
      <w:r>
        <w:t xml:space="preserve">3.11.2) Bi-coslice categories</w:t>
      </w:r>
      <w:bookmarkEnd w:id="75"/>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6" w:name="fibered-bi-slice-categories"/>
      <w:r>
        <w:t xml:space="preserve">3.11.3) Fibered bi-slice categories</w:t>
      </w:r>
      <w:bookmarkEnd w:id="76"/>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7" w:name="fibered-bi-coslice-categories"/>
      <w:r>
        <w:t xml:space="preserve">3.11.4) Fibered bi-coslice categories</w:t>
      </w:r>
      <w:bookmarkEnd w:id="77"/>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78" w:name="section-4-1"/>
      <w:r>
        <w:t xml:space="preserve">Section 4)</w:t>
      </w:r>
      <w:bookmarkEnd w:id="78"/>
    </w:p>
    <w:p>
      <w:pPr>
        <w:pStyle w:val="Heading4"/>
      </w:pPr>
      <w:bookmarkStart w:id="79" w:name="section-31"/>
      <w:r>
        <w:t xml:space="preserve">4.1)</w:t>
      </w:r>
      <w:bookmarkEnd w:id="79"/>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07"/>
        </w:numPr>
      </w:pPr>
      <m:oMath>
        <m:r>
          <m:t>g</m:t>
        </m:r>
      </m:oMath>
      <w:r>
        <w:t xml:space="preserve"> </w:t>
      </w:r>
      <w:r>
        <w:t xml:space="preserve">is part of the last composition (i.e., it’s not in a semantically necessary parenthethical grouping; it can be made external to all parentheses),</w:t>
      </w:r>
    </w:p>
    <w:p>
      <w:pPr>
        <w:numPr>
          <w:ilvl w:val="0"/>
          <w:numId w:val="1007"/>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07"/>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80" w:name="section-32"/>
      <w:r>
        <w:t xml:space="preserve">4.2)</w:t>
      </w:r>
      <w:bookmarkEnd w:id="80"/>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81" w:name="section-33"/>
      <w:r>
        <w:t xml:space="preserve">4.3)</w:t>
      </w:r>
      <w:bookmarkEnd w:id="81"/>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82" w:name="a-1"/>
      <w:r>
        <w:t xml:space="preserve">4.3.a)</w:t>
      </w:r>
      <w:bookmarkEnd w:id="82"/>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83" w:name="b-1"/>
      <w:r>
        <w:t xml:space="preserve">4.3.b)</w:t>
      </w:r>
      <w:bookmarkEnd w:id="83"/>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However, only identities have any kind of inverse (since they are isomorphisms, they are their own inverse).</w:t>
      </w:r>
    </w:p>
    <w:p>
      <w:pPr>
        <w:pStyle w:val="BodyText"/>
      </w:pPr>
      <w:r>
        <w:t xml:space="preserve">See also</w:t>
      </w:r>
      <w:r>
        <w:t xml:space="preserve"> </w:t>
      </w:r>
      <w:hyperlink r:id="rId84">
        <w:r>
          <w:rPr>
            <w:rStyle w:val="Hyperlink"/>
          </w:rPr>
          <w:t xml:space="preserve">here</w:t>
        </w:r>
      </w:hyperlink>
      <w:r>
        <w:t xml:space="preserve"> </w:t>
      </w:r>
      <w:r>
        <w:t xml:space="preserve">and</w:t>
      </w:r>
      <w:r>
        <w:t xml:space="preserve"> </w:t>
      </w:r>
      <w:hyperlink r:id="rId85">
        <w:r>
          <w:rPr>
            <w:rStyle w:val="Hyperlink"/>
          </w:rPr>
          <w:t xml:space="preserve">here</w:t>
        </w:r>
      </w:hyperlink>
      <w:r>
        <w:t xml:space="preserve">.</w:t>
      </w:r>
    </w:p>
    <w:p>
      <w:pPr>
        <w:pStyle w:val="Heading4"/>
      </w:pPr>
      <w:bookmarkStart w:id="86" w:name="section-34"/>
      <w:r>
        <w:t xml:space="preserve">4.4)</w:t>
      </w:r>
      <w:bookmarkEnd w:id="86"/>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7" w:name="a-2"/>
      <w:r>
        <w:t xml:space="preserve">4.4.a)</w:t>
      </w:r>
      <w:bookmarkEnd w:id="87"/>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88" w:name="b-2"/>
      <w:r>
        <w:t xml:space="preserve">4.4.b)</w:t>
      </w:r>
      <w:bookmarkEnd w:id="88"/>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89" w:name="c"/>
      <w:r>
        <w:t xml:space="preserve">4.4.c)</w:t>
      </w:r>
      <w:bookmarkEnd w:id="89"/>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90" w:name="section-35"/>
      <w:r>
        <w:t xml:space="preserve">4.5)</w:t>
      </w:r>
      <w:bookmarkEnd w:id="90"/>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1"/>
      </w:pPr>
      <w:bookmarkStart w:id="91" w:name="extra-exercises-byfor-the-group"/>
      <w:r>
        <w:t xml:space="preserve">Extra exercises by/for the group</w:t>
      </w:r>
      <w:bookmarkEnd w:id="91"/>
    </w:p>
    <w:p>
      <w:pPr>
        <w:pStyle w:val="Heading3"/>
      </w:pPr>
      <w:bookmarkStart w:id="92" w:name="chapter-i-1-set-notation"/>
      <w:r>
        <w:t xml:space="preserve">Chapter I) 1) Set notation)</w:t>
      </w:r>
      <w:bookmarkEnd w:id="92"/>
    </w:p>
    <w:p>
      <w:pPr>
        <w:pStyle w:val="FirstParagraph"/>
      </w:pPr>
      <w:r>
        <w:t xml:space="preserve">Write the following in set notation (as a list of numbers, and algebraically):</w:t>
      </w:r>
    </w:p>
    <w:p>
      <w:pPr>
        <w:numPr>
          <w:ilvl w:val="0"/>
          <w:numId w:val="1008"/>
        </w:numPr>
      </w:pPr>
      <w:r>
        <w:t xml:space="preserve">the set of all odd integers</w:t>
      </w:r>
    </w:p>
    <w:p>
      <w:pPr>
        <w:numPr>
          <w:ilvl w:val="0"/>
          <w:numId w:val="1008"/>
        </w:numPr>
      </w:pPr>
      <w:r>
        <w:t xml:space="preserve">the set of all integers that are not multiples of 3</w:t>
      </w:r>
    </w:p>
    <w:p>
      <w:pPr>
        <w:numPr>
          <w:ilvl w:val="0"/>
          <w:numId w:val="1008"/>
        </w:numPr>
      </w:pPr>
      <w:r>
        <w:t xml:space="preserve">the set of integers from 10 (included) to 20 (included)</w:t>
      </w:r>
    </w:p>
    <w:p>
      <w:pPr>
        <w:numPr>
          <w:ilvl w:val="0"/>
          <w:numId w:val="1008"/>
        </w:numPr>
      </w:pPr>
      <w:r>
        <w:t xml:space="preserve">the set of integers from 10 (included) to 20 (excluded)</w:t>
      </w:r>
    </w:p>
    <w:p>
      <w:pPr>
        <w:numPr>
          <w:ilvl w:val="0"/>
          <w:numId w:val="1008"/>
        </w:numPr>
      </w:pPr>
      <w:r>
        <w:t xml:space="preserve">the set of pairs of integers with both elements of the same value</w:t>
      </w:r>
    </w:p>
    <w:p>
      <w:pPr>
        <w:numPr>
          <w:ilvl w:val="0"/>
          <w:numId w:val="1008"/>
        </w:numPr>
      </w:pPr>
      <w:r>
        <w:t xml:space="preserve">the set of triplets of real numbers that together sum to 1</w:t>
      </w:r>
    </w:p>
    <w:p>
      <w:pPr>
        <w:numPr>
          <w:ilvl w:val="0"/>
          <w:numId w:val="1008"/>
        </w:numPr>
      </w:pPr>
      <w:r>
        <w:t xml:space="preserve">the set of pairs of positive real numbers that together sum to 1</w:t>
      </w:r>
    </w:p>
    <w:p>
      <w:pPr>
        <w:numPr>
          <w:ilvl w:val="0"/>
          <w:numId w:val="1008"/>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8"/>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9"/>
        </w:numPr>
      </w:pPr>
      <m:oMath>
        <m:r>
          <m:t>{</m:t>
        </m:r>
        <m:r>
          <m:t>3</m:t>
        </m:r>
        <m:r>
          <m:t>n</m:t>
        </m:r>
        <m:r>
          <m:t>+</m:t>
        </m:r>
        <m:r>
          <m:t>2</m:t>
        </m:r>
        <m:r>
          <m:t> </m:t>
        </m:r>
        <m:r>
          <m:t>|</m:t>
        </m:r>
        <m:r>
          <m:t> </m:t>
        </m:r>
        <m:r>
          <m:t>n</m:t>
        </m:r>
        <m:r>
          <m:t>∈</m:t>
        </m:r>
        <m:r>
          <m:rPr>
            <m:sty m:val="p"/>
            <m:scr m:val="double-struck"/>
          </m:rPr>
          <m:t>N</m:t>
        </m:r>
        <m:r>
          <m:t>}</m:t>
        </m:r>
      </m:oMath>
    </w:p>
    <w:p>
      <w:pPr>
        <w:numPr>
          <w:ilvl w:val="0"/>
          <w:numId w:val="1009"/>
        </w:numPr>
      </w:pPr>
      <m:oMath>
        <m:r>
          <m:t>{</m:t>
        </m:r>
        <m:r>
          <m:t>3</m:t>
        </m:r>
        <m:r>
          <m:t>k</m:t>
        </m:r>
        <m:r>
          <m:t>+</m:t>
        </m:r>
        <m:r>
          <m:t>2</m:t>
        </m:r>
        <m:r>
          <m:t> </m:t>
        </m:r>
        <m:r>
          <m:t>|</m:t>
        </m:r>
        <m:r>
          <m:t> </m:t>
        </m:r>
        <m:r>
          <m:t>k</m:t>
        </m:r>
        <m:r>
          <m:t>∈</m:t>
        </m:r>
        <m:r>
          <m:rPr>
            <m:sty m:val="p"/>
            <m:scr m:val="double-struck"/>
          </m:rPr>
          <m:t>Z</m:t>
        </m:r>
        <m:r>
          <m:t>}</m:t>
        </m:r>
      </m:oMath>
    </w:p>
    <w:p>
      <w:pPr>
        <w:numPr>
          <w:ilvl w:val="0"/>
          <w:numId w:val="1009"/>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9"/>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9"/>
        </w:numPr>
      </w:pPr>
      <m:oMath>
        <m:r>
          <m:t>{</m:t>
        </m:r>
        <m:r>
          <m:t>x</m:t>
        </m:r>
        <m:r>
          <m:t>∈</m:t>
        </m:r>
        <m:r>
          <m:rPr>
            <m:sty m:val="p"/>
            <m:scr m:val="double-struck"/>
          </m:rPr>
          <m:t>R</m:t>
        </m:r>
        <m:r>
          <m:t> </m:t>
        </m:r>
        <m:r>
          <m:t>|</m:t>
        </m:r>
        <m:r>
          <m:t> </m:t>
        </m:r>
        <m:r>
          <m:t>−</m:t>
        </m:r>
        <m:r>
          <m:t>2</m:t>
        </m:r>
        <m:r>
          <m:t>≤</m:t>
        </m:r>
        <m:r>
          <m:t>x</m:t>
        </m:r>
        <m:r>
          <m:t>≤</m:t>
        </m:r>
        <m:r>
          <m:t>2</m:t>
        </m:r>
        <m:r>
          <m:t>}</m:t>
        </m:r>
      </m:oMath>
    </w:p>
    <w:p>
      <w:pPr>
        <w:numPr>
          <w:ilvl w:val="0"/>
          <w:numId w:val="1009"/>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1"/>
      </w:pPr>
      <w:bookmarkStart w:id="93" w:name="notes"/>
      <w:r>
        <w:t xml:space="preserve">Notes</w:t>
      </w:r>
      <w:bookmarkEnd w:id="93"/>
    </w:p>
    <w:p>
      <w:pPr>
        <w:pStyle w:val="Heading2"/>
      </w:pPr>
      <w:bookmarkStart w:id="94" w:name="chapter-1-section-1"/>
      <w:r>
        <w:t xml:space="preserve">Chapter 1, Section 1</w:t>
      </w:r>
      <w:bookmarkEnd w:id="94"/>
    </w:p>
    <w:p>
      <w:pPr>
        <w:pStyle w:val="FirstParagraph"/>
      </w:pPr>
      <w:r>
        <w:t xml:space="preserve">Go check out the extra exercises on set notation.</w:t>
      </w:r>
    </w:p>
    <w:p>
      <w:pPr>
        <w:pStyle w:val="Heading2"/>
      </w:pPr>
      <w:bookmarkStart w:id="95" w:name="chapter-1-section-2"/>
      <w:r>
        <w:t xml:space="preserve">Chapter 1, Section 2</w:t>
      </w:r>
      <w:bookmarkEnd w:id="95"/>
    </w:p>
    <w:p>
      <w:pPr>
        <w:pStyle w:val="Heading3"/>
      </w:pPr>
      <w:bookmarkStart w:id="96" w:name="on-injections-and-surjections"/>
      <w:r>
        <w:t xml:space="preserve">On injections and surjections</w:t>
      </w:r>
      <w:bookmarkEnd w:id="96"/>
    </w:p>
    <w:p>
      <w:pPr>
        <w:pStyle w:val="Heading4"/>
      </w:pPr>
      <w:bookmarkStart w:id="97" w:name="injections"/>
      <w:r>
        <w:t xml:space="preserve">Injections</w:t>
      </w:r>
      <w:bookmarkEnd w:id="97"/>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98" w:name="surjections"/>
      <w:r>
        <w:t xml:space="preserve">Surjections</w:t>
      </w:r>
      <w:bookmarkEnd w:id="98"/>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99" w:name="cancellations"/>
      <w:r>
        <w:t xml:space="preserve">Cancellations</w:t>
      </w:r>
      <w:bookmarkEnd w:id="99"/>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100" w:name="on-sections-and-fibers"/>
      <w:r>
        <w:t xml:space="preserve">On sections and fibers</w:t>
      </w:r>
      <w:bookmarkEnd w:id="100"/>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101" w:name="Xa9dd1755f29840332c7c8d0854734b32484de3e"/>
      <w:r>
        <w:t xml:space="preserve">Alternative characterization of a bijection</w:t>
      </w:r>
      <w:bookmarkEnd w:id="101"/>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102" w:name="on-monomorphisms-and-epimorphisms"/>
      <w:r>
        <w:t xml:space="preserve">On monomorphisms and epimorphisms</w:t>
      </w:r>
      <w:bookmarkEnd w:id="102"/>
    </w:p>
    <w:p>
      <w:pPr>
        <w:pStyle w:val="Heading4"/>
      </w:pPr>
      <w:bookmarkStart w:id="103" w:name="failing-the-monoepi-condition"/>
      <w:r>
        <w:t xml:space="preserve">Failing the mono/epi condition</w:t>
      </w:r>
      <w:bookmarkEnd w:id="103"/>
    </w:p>
    <w:p>
      <w:pPr>
        <w:pStyle w:val="Heading5"/>
      </w:pPr>
      <w:bookmarkStart w:id="104" w:name="X90273c87b676be2448f8c52994b4a5ff9bf30e0"/>
      <w:r>
        <w:t xml:space="preserve">Example of failing the monomorphism definition for a non-injection</w:t>
      </w:r>
      <w:bookmarkEnd w:id="104"/>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105" w:name="Xb767537a7226c4d6e962d644811eba2277c4f5c"/>
      <w:r>
        <w:t xml:space="preserve">Example of failing the epimorphism definition for a non-surjection</w:t>
      </w:r>
      <w:bookmarkEnd w:id="105"/>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106" w:name="Xb27a73b18327dac69a22d016529dc5f617588e8"/>
      <w:r>
        <w:t xml:space="preserve">Proofs of mono/inj and epi/surj equivalence</w:t>
      </w:r>
      <w:bookmarkEnd w:id="106"/>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107" w:name="injection-monomorphism"/>
      <w:r>
        <w:t xml:space="preserve">Injection =&gt; Monomorphism</w:t>
      </w:r>
      <w:bookmarkEnd w:id="107"/>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108" w:name="surjection-epimorphism"/>
      <w:r>
        <w:t xml:space="preserve">Surjection =&gt; Epimorphism</w:t>
      </w:r>
      <w:bookmarkEnd w:id="108"/>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109" w:name="monomorphism-injection"/>
      <w:r>
        <w:t xml:space="preserve">Monomorphism =&gt; Injection</w:t>
      </w:r>
      <w:bookmarkEnd w:id="109"/>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110" w:name="epimorphism-surjection"/>
      <w:r>
        <w:t xml:space="preserve">Epimorphism =&gt; Surjection</w:t>
      </w:r>
      <w:bookmarkEnd w:id="110"/>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111" w:name="chapter-1-section-3"/>
      <w:r>
        <w:t xml:space="preserve">Chapter 1, Section 3</w:t>
      </w:r>
      <w:bookmarkEnd w:id="111"/>
    </w:p>
    <w:p>
      <w:pPr>
        <w:pStyle w:val="Heading3"/>
      </w:pPr>
      <w:bookmarkStart w:id="112" w:name="on-terminal-and-initial-objects-in-set"/>
      <w:r>
        <w:t xml:space="preserve">On terminal and initial objects in</w:t>
      </w:r>
      <w:r>
        <w:t xml:space="preserve"> </w:t>
      </w:r>
      <w:r>
        <w:rPr>
          <w:b/>
        </w:rPr>
        <w:t xml:space="preserve">Set</w:t>
      </w:r>
      <w:bookmarkEnd w:id="112"/>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13" w:name="X44fe818798854123a94d2fc16923784ffbc3d10"/>
      <w:r>
        <w:t xml:space="preserve">Restrictions and extensions of functions, and its consequences on a function’s nature</w:t>
      </w:r>
      <w:bookmarkEnd w:id="113"/>
    </w:p>
    <w:p>
      <w:pPr>
        <w:pStyle w:val="FirstParagraph"/>
      </w:pPr>
      <w:r>
        <w:t xml:space="preserve">8 possibilities to study, based on the following binary dichotomies:</w:t>
      </w:r>
    </w:p>
    <w:p>
      <w:pPr>
        <w:numPr>
          <w:ilvl w:val="0"/>
          <w:numId w:val="1010"/>
        </w:numPr>
      </w:pPr>
      <w:r>
        <w:t xml:space="preserve">injection or surjection</w:t>
      </w:r>
    </w:p>
    <w:p>
      <w:pPr>
        <w:numPr>
          <w:ilvl w:val="0"/>
          <w:numId w:val="1010"/>
        </w:numPr>
      </w:pPr>
      <w:r>
        <w:t xml:space="preserve">enlarging or restricting</w:t>
      </w:r>
    </w:p>
    <w:p>
      <w:pPr>
        <w:numPr>
          <w:ilvl w:val="0"/>
          <w:numId w:val="1010"/>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math.stackexchange.com/questions/81123/examples-of-categories-where-epimorphism-does-not-have-a-right-inverse-not-surj" TargetMode="External" /><Relationship Type="http://schemas.openxmlformats.org/officeDocument/2006/relationships/hyperlink" Id="rId84"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85" Target="https://math.stackexchange.com/questions/81123/examples-of-categories-where-epimorphism-does-not-have-a-right-inverse-not-surj" TargetMode="External" /><Relationship Type="http://schemas.openxmlformats.org/officeDocument/2006/relationships/hyperlink" Id="rId84"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2024-02-08T10:02:23Z</dcterms:created>
  <dcterms:modified xsi:type="dcterms:W3CDTF">2024-02-08T10:02:23Z</dcterms:modified>
</cp:coreProperties>
</file>

<file path=docProps/custom.xml><?xml version="1.0" encoding="utf-8"?>
<Properties xmlns="http://schemas.openxmlformats.org/officeDocument/2006/custom-properties" xmlns:vt="http://schemas.openxmlformats.org/officeDocument/2006/docPropsVTypes"/>
</file>