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BC3C" w14:textId="77777777" w:rsidR="00884FD3" w:rsidRPr="00884FD3" w:rsidRDefault="00884FD3" w:rsidP="00884FD3">
      <w:pPr>
        <w:pStyle w:val="a3"/>
        <w:numPr>
          <w:ilvl w:val="0"/>
          <w:numId w:val="2"/>
        </w:numPr>
        <w:spacing w:line="360" w:lineRule="auto"/>
        <w:ind w:firstLineChars="0"/>
        <w:rPr>
          <w:rFonts w:ascii="Times New Roman" w:hAnsi="Times New Roman" w:cs="Times New Roman"/>
          <w:sz w:val="24"/>
          <w:u w:val="single"/>
        </w:rPr>
      </w:pPr>
      <w:r w:rsidRPr="00884FD3">
        <w:rPr>
          <w:rFonts w:ascii="Times New Roman" w:hAnsi="Times New Roman" w:cs="Times New Roman"/>
          <w:sz w:val="24"/>
          <w:u w:val="single"/>
        </w:rPr>
        <w:t>Key Factors Contributing to the Breach:</w:t>
      </w:r>
    </w:p>
    <w:p w14:paraId="22A32114" w14:textId="0A18D804" w:rsidR="00884FD3" w:rsidRPr="00884FD3" w:rsidRDefault="00884FD3" w:rsidP="00884FD3">
      <w:pPr>
        <w:pStyle w:val="a3"/>
        <w:numPr>
          <w:ilvl w:val="1"/>
          <w:numId w:val="2"/>
        </w:numPr>
        <w:spacing w:line="360" w:lineRule="auto"/>
        <w:ind w:firstLineChars="0"/>
        <w:rPr>
          <w:rFonts w:ascii="Times New Roman" w:hAnsi="Times New Roman" w:cs="Times New Roman"/>
          <w:sz w:val="24"/>
        </w:rPr>
      </w:pPr>
      <w:r w:rsidRPr="00884FD3">
        <w:rPr>
          <w:rFonts w:ascii="Times New Roman" w:hAnsi="Times New Roman" w:cs="Times New Roman"/>
          <w:b/>
          <w:bCs/>
          <w:sz w:val="24"/>
        </w:rPr>
        <w:t>Human Factor:</w:t>
      </w:r>
      <w:r w:rsidRPr="00884FD3">
        <w:rPr>
          <w:rFonts w:ascii="Times New Roman" w:hAnsi="Times New Roman" w:cs="Times New Roman"/>
          <w:sz w:val="24"/>
        </w:rPr>
        <w:t xml:space="preserve"> Employees' susceptibility to spear-phishing attacks was critical. The success of deceptive emails in tricking employees highlighted a significant gap in cybersecurity awareness and training.</w:t>
      </w:r>
    </w:p>
    <w:p w14:paraId="6738CBB0" w14:textId="77777777" w:rsidR="00884FD3" w:rsidRDefault="00884FD3" w:rsidP="00884FD3">
      <w:pPr>
        <w:pStyle w:val="a3"/>
        <w:numPr>
          <w:ilvl w:val="1"/>
          <w:numId w:val="2"/>
        </w:numPr>
        <w:spacing w:line="360" w:lineRule="auto"/>
        <w:ind w:firstLineChars="0"/>
        <w:rPr>
          <w:rFonts w:ascii="Times New Roman" w:hAnsi="Times New Roman" w:cs="Times New Roman"/>
          <w:sz w:val="24"/>
        </w:rPr>
      </w:pPr>
      <w:r w:rsidRPr="00884FD3">
        <w:rPr>
          <w:rFonts w:ascii="Times New Roman" w:hAnsi="Times New Roman" w:cs="Times New Roman"/>
          <w:b/>
          <w:bCs/>
          <w:sz w:val="24"/>
        </w:rPr>
        <w:t xml:space="preserve">Technical Shortcomings: </w:t>
      </w:r>
      <w:r w:rsidRPr="00884FD3">
        <w:rPr>
          <w:rFonts w:ascii="Times New Roman" w:hAnsi="Times New Roman" w:cs="Times New Roman"/>
          <w:sz w:val="24"/>
        </w:rPr>
        <w:t>The deployment of Advanced Persistent Threat (APT) malware, capable of evading standard security measures, revealed technical vulnerabilities. This aspect underscores the need for more advanced cybersecurity infrastructure and solutions to counter sophisticated cyber threats.</w:t>
      </w:r>
    </w:p>
    <w:p w14:paraId="1BF7E66D" w14:textId="77777777" w:rsidR="00884FD3" w:rsidRPr="00884FD3" w:rsidRDefault="00884FD3" w:rsidP="00884FD3">
      <w:pPr>
        <w:pStyle w:val="a3"/>
        <w:spacing w:line="360" w:lineRule="auto"/>
        <w:ind w:left="880" w:firstLineChars="0" w:firstLine="0"/>
        <w:rPr>
          <w:rFonts w:ascii="Times New Roman" w:hAnsi="Times New Roman" w:cs="Times New Roman" w:hint="eastAsia"/>
          <w:sz w:val="24"/>
        </w:rPr>
      </w:pPr>
    </w:p>
    <w:p w14:paraId="08EB0D76" w14:textId="77777777" w:rsidR="00884FD3" w:rsidRPr="00884FD3" w:rsidRDefault="00884FD3" w:rsidP="00884FD3">
      <w:pPr>
        <w:pStyle w:val="a3"/>
        <w:numPr>
          <w:ilvl w:val="0"/>
          <w:numId w:val="2"/>
        </w:numPr>
        <w:spacing w:line="360" w:lineRule="auto"/>
        <w:ind w:firstLineChars="0"/>
        <w:rPr>
          <w:rFonts w:ascii="Times New Roman" w:hAnsi="Times New Roman" w:cs="Times New Roman"/>
          <w:sz w:val="24"/>
          <w:u w:val="single"/>
        </w:rPr>
      </w:pPr>
      <w:r w:rsidRPr="00884FD3">
        <w:rPr>
          <w:rFonts w:ascii="Times New Roman" w:hAnsi="Times New Roman" w:cs="Times New Roman"/>
          <w:sz w:val="24"/>
          <w:u w:val="single"/>
        </w:rPr>
        <w:t>Regulatory Violations:</w:t>
      </w:r>
    </w:p>
    <w:p w14:paraId="3C701845" w14:textId="77777777" w:rsidR="00884FD3" w:rsidRPr="00884FD3" w:rsidRDefault="00884FD3" w:rsidP="00884FD3">
      <w:pPr>
        <w:pStyle w:val="a3"/>
        <w:numPr>
          <w:ilvl w:val="1"/>
          <w:numId w:val="2"/>
        </w:numPr>
        <w:spacing w:line="360" w:lineRule="auto"/>
        <w:ind w:firstLineChars="0"/>
        <w:rPr>
          <w:rFonts w:ascii="Times New Roman" w:hAnsi="Times New Roman" w:cs="Times New Roman"/>
          <w:sz w:val="24"/>
        </w:rPr>
      </w:pPr>
      <w:r w:rsidRPr="00884FD3">
        <w:rPr>
          <w:rFonts w:ascii="Times New Roman" w:hAnsi="Times New Roman" w:cs="Times New Roman"/>
          <w:b/>
          <w:bCs/>
          <w:sz w:val="24"/>
        </w:rPr>
        <w:t>Data Protection Law Violations:</w:t>
      </w:r>
      <w:r w:rsidRPr="00884FD3">
        <w:rPr>
          <w:rFonts w:ascii="Times New Roman" w:hAnsi="Times New Roman" w:cs="Times New Roman"/>
          <w:sz w:val="24"/>
        </w:rPr>
        <w:t xml:space="preserve"> The breach's impact on personal and financial customer data likely resulted in violations of GDPR. This is significant, as GDPR imposes strict rules on personal data management and security.</w:t>
      </w:r>
    </w:p>
    <w:p w14:paraId="335FF5F2" w14:textId="77777777" w:rsidR="00884FD3" w:rsidRPr="00884FD3" w:rsidRDefault="00884FD3" w:rsidP="00884FD3">
      <w:pPr>
        <w:pStyle w:val="a3"/>
        <w:numPr>
          <w:ilvl w:val="1"/>
          <w:numId w:val="2"/>
        </w:numPr>
        <w:spacing w:line="360" w:lineRule="auto"/>
        <w:ind w:firstLineChars="0"/>
        <w:rPr>
          <w:rFonts w:ascii="Times New Roman" w:hAnsi="Times New Roman" w:cs="Times New Roman"/>
          <w:sz w:val="24"/>
        </w:rPr>
      </w:pPr>
      <w:r w:rsidRPr="00884FD3">
        <w:rPr>
          <w:rFonts w:ascii="Times New Roman" w:hAnsi="Times New Roman" w:cs="Times New Roman"/>
          <w:b/>
          <w:bCs/>
          <w:sz w:val="24"/>
        </w:rPr>
        <w:t>Non-Compliance with Financial Standards:</w:t>
      </w:r>
      <w:r w:rsidRPr="00884FD3">
        <w:rPr>
          <w:rFonts w:ascii="Times New Roman" w:hAnsi="Times New Roman" w:cs="Times New Roman"/>
          <w:sz w:val="24"/>
        </w:rPr>
        <w:t xml:space="preserve"> The exposure of sensitive financial information suggests a breach of financial data protection standards. Such non-compliance is particularly critical for financial institutions, which are held to high standards for safeguarding customer financial data.</w:t>
      </w:r>
    </w:p>
    <w:p w14:paraId="5D4E846E" w14:textId="77777777" w:rsidR="00884FD3" w:rsidRPr="00884FD3" w:rsidRDefault="00884FD3" w:rsidP="00884FD3">
      <w:pPr>
        <w:pStyle w:val="a3"/>
        <w:spacing w:line="360" w:lineRule="auto"/>
        <w:ind w:left="440" w:firstLineChars="0" w:firstLine="0"/>
        <w:rPr>
          <w:rFonts w:ascii="Times New Roman" w:hAnsi="Times New Roman" w:cs="Times New Roman" w:hint="eastAsia"/>
          <w:sz w:val="24"/>
        </w:rPr>
      </w:pPr>
    </w:p>
    <w:p w14:paraId="273BC1C0" w14:textId="77777777" w:rsidR="00884FD3" w:rsidRPr="00884FD3" w:rsidRDefault="00884FD3" w:rsidP="00884FD3">
      <w:pPr>
        <w:pStyle w:val="a3"/>
        <w:numPr>
          <w:ilvl w:val="0"/>
          <w:numId w:val="2"/>
        </w:numPr>
        <w:spacing w:line="360" w:lineRule="auto"/>
        <w:ind w:firstLineChars="0"/>
        <w:rPr>
          <w:rFonts w:ascii="Times New Roman" w:hAnsi="Times New Roman" w:cs="Times New Roman"/>
          <w:sz w:val="24"/>
          <w:u w:val="single"/>
        </w:rPr>
      </w:pPr>
      <w:r w:rsidRPr="00884FD3">
        <w:rPr>
          <w:rFonts w:ascii="Times New Roman" w:hAnsi="Times New Roman" w:cs="Times New Roman"/>
          <w:sz w:val="24"/>
          <w:u w:val="single"/>
        </w:rPr>
        <w:t>Compare and contrast the response of NextGen Finance to the breach with those of a real-life company incident of your choice.</w:t>
      </w:r>
    </w:p>
    <w:p w14:paraId="5A363D59" w14:textId="77777777" w:rsidR="00884FD3" w:rsidRPr="00884FD3" w:rsidRDefault="00783862" w:rsidP="00884FD3">
      <w:pPr>
        <w:pStyle w:val="a3"/>
        <w:numPr>
          <w:ilvl w:val="1"/>
          <w:numId w:val="2"/>
        </w:numPr>
        <w:spacing w:line="360" w:lineRule="auto"/>
        <w:ind w:firstLineChars="0"/>
        <w:rPr>
          <w:rFonts w:ascii="Times New Roman" w:hAnsi="Times New Roman" w:cs="Times New Roman"/>
          <w:b/>
          <w:bCs/>
          <w:sz w:val="24"/>
        </w:rPr>
      </w:pPr>
      <w:r w:rsidRPr="00884FD3">
        <w:rPr>
          <w:rFonts w:ascii="Times New Roman" w:hAnsi="Times New Roman" w:cs="Times New Roman"/>
          <w:b/>
          <w:bCs/>
          <w:sz w:val="24"/>
        </w:rPr>
        <w:t>Incident Detection and Immediate Response:</w:t>
      </w:r>
    </w:p>
    <w:p w14:paraId="1C097C1B"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NextGen Finance: Details on how quickly they detected and responded to the breach are not specified.</w:t>
      </w:r>
    </w:p>
    <w:p w14:paraId="4076835F" w14:textId="63890ECB" w:rsidR="00783862" w:rsidRP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PayPal: Detected the credential stuffing attack swiftly and took immediate action by resetting the passwords of the affected accounts.</w:t>
      </w:r>
    </w:p>
    <w:p w14:paraId="477991C8" w14:textId="77777777" w:rsidR="00884FD3" w:rsidRPr="00884FD3" w:rsidRDefault="00783862" w:rsidP="00884FD3">
      <w:pPr>
        <w:pStyle w:val="a3"/>
        <w:numPr>
          <w:ilvl w:val="1"/>
          <w:numId w:val="2"/>
        </w:numPr>
        <w:spacing w:line="360" w:lineRule="auto"/>
        <w:ind w:firstLineChars="0"/>
        <w:rPr>
          <w:rFonts w:ascii="Times New Roman" w:hAnsi="Times New Roman" w:cs="Times New Roman"/>
          <w:b/>
          <w:bCs/>
          <w:sz w:val="24"/>
        </w:rPr>
      </w:pPr>
      <w:r w:rsidRPr="00884FD3">
        <w:rPr>
          <w:rFonts w:ascii="Times New Roman" w:hAnsi="Times New Roman" w:cs="Times New Roman"/>
          <w:b/>
          <w:bCs/>
          <w:sz w:val="24"/>
        </w:rPr>
        <w:t>Customer Communication and Transparency:</w:t>
      </w:r>
    </w:p>
    <w:p w14:paraId="5FCE1214"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NextGen Finance: The extent and method of communication with customers post-breach are not clearly outlined.</w:t>
      </w:r>
    </w:p>
    <w:p w14:paraId="3530A794"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lastRenderedPageBreak/>
        <w:t>PayPal: Actively communicated with affected customers, providing clear and transparent information about the breach and the steps being taken.</w:t>
      </w:r>
    </w:p>
    <w:p w14:paraId="22C7D139" w14:textId="77777777" w:rsidR="00884FD3" w:rsidRPr="00884FD3" w:rsidRDefault="00783862" w:rsidP="00884FD3">
      <w:pPr>
        <w:pStyle w:val="a3"/>
        <w:numPr>
          <w:ilvl w:val="1"/>
          <w:numId w:val="2"/>
        </w:numPr>
        <w:spacing w:line="360" w:lineRule="auto"/>
        <w:ind w:firstLineChars="0"/>
        <w:rPr>
          <w:rFonts w:ascii="Times New Roman" w:hAnsi="Times New Roman" w:cs="Times New Roman"/>
          <w:b/>
          <w:bCs/>
          <w:sz w:val="24"/>
        </w:rPr>
      </w:pPr>
      <w:r w:rsidRPr="00884FD3">
        <w:rPr>
          <w:rFonts w:ascii="Times New Roman" w:hAnsi="Times New Roman" w:cs="Times New Roman"/>
          <w:b/>
          <w:bCs/>
          <w:sz w:val="24"/>
        </w:rPr>
        <w:t>Measures to Prevent Future Breaches:</w:t>
      </w:r>
    </w:p>
    <w:p w14:paraId="29633694"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NextGen Finance: Emphasized strengthening their internal cybersecurity framework, indicating a focus on long-term security improvements.</w:t>
      </w:r>
    </w:p>
    <w:p w14:paraId="631B6507"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PayPal: Besides resetting passwords and enhancing security controls, offered additional services like free identity monitoring to protect customers against future risks.</w:t>
      </w:r>
    </w:p>
    <w:p w14:paraId="649C807D" w14:textId="77777777" w:rsidR="00884FD3" w:rsidRPr="00884FD3" w:rsidRDefault="00783862" w:rsidP="00884FD3">
      <w:pPr>
        <w:pStyle w:val="a3"/>
        <w:numPr>
          <w:ilvl w:val="1"/>
          <w:numId w:val="2"/>
        </w:numPr>
        <w:spacing w:line="360" w:lineRule="auto"/>
        <w:ind w:firstLineChars="0"/>
        <w:rPr>
          <w:rFonts w:ascii="Times New Roman" w:hAnsi="Times New Roman" w:cs="Times New Roman"/>
          <w:b/>
          <w:bCs/>
          <w:sz w:val="24"/>
        </w:rPr>
      </w:pPr>
      <w:r w:rsidRPr="00884FD3">
        <w:rPr>
          <w:rFonts w:ascii="Times New Roman" w:hAnsi="Times New Roman" w:cs="Times New Roman"/>
          <w:b/>
          <w:bCs/>
          <w:sz w:val="24"/>
        </w:rPr>
        <w:t>Regulatory Compliance and Legal Issues:</w:t>
      </w:r>
    </w:p>
    <w:p w14:paraId="190DE4AE" w14:textId="77777777" w:rsidR="00884FD3" w:rsidRDefault="00783862" w:rsidP="00884FD3">
      <w:pPr>
        <w:pStyle w:val="a3"/>
        <w:numPr>
          <w:ilvl w:val="2"/>
          <w:numId w:val="2"/>
        </w:numPr>
        <w:spacing w:line="360" w:lineRule="auto"/>
        <w:ind w:firstLineChars="0"/>
        <w:rPr>
          <w:rFonts w:ascii="Times New Roman" w:hAnsi="Times New Roman" w:cs="Times New Roman"/>
          <w:sz w:val="24"/>
        </w:rPr>
      </w:pPr>
      <w:r w:rsidRPr="00884FD3">
        <w:rPr>
          <w:rFonts w:ascii="Times New Roman" w:hAnsi="Times New Roman" w:cs="Times New Roman"/>
          <w:sz w:val="24"/>
        </w:rPr>
        <w:t>NextGen Finance: The case study does not mention specific actions regarding regulatory compliance or addressing legal issues.</w:t>
      </w:r>
    </w:p>
    <w:p w14:paraId="1B80A75E" w14:textId="3951FAC3" w:rsidR="00783862" w:rsidRPr="00884FD3" w:rsidRDefault="00783862" w:rsidP="00884FD3">
      <w:pPr>
        <w:pStyle w:val="a3"/>
        <w:numPr>
          <w:ilvl w:val="2"/>
          <w:numId w:val="2"/>
        </w:numPr>
        <w:spacing w:line="360" w:lineRule="auto"/>
        <w:ind w:firstLineChars="0"/>
        <w:rPr>
          <w:rFonts w:ascii="Times New Roman" w:hAnsi="Times New Roman" w:cs="Times New Roman" w:hint="eastAsia"/>
          <w:sz w:val="24"/>
        </w:rPr>
      </w:pPr>
      <w:r w:rsidRPr="00884FD3">
        <w:rPr>
          <w:rFonts w:ascii="Times New Roman" w:hAnsi="Times New Roman" w:cs="Times New Roman"/>
          <w:sz w:val="24"/>
        </w:rPr>
        <w:t>PayPal: Demonstrated compliance with data breach notification requirements and provided services to mitigate potential harm to customers, potentially reducing legal and regulatory repercussions.</w:t>
      </w:r>
    </w:p>
    <w:sectPr w:rsidR="00783862" w:rsidRPr="00884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CFC"/>
    <w:multiLevelType w:val="hybridMultilevel"/>
    <w:tmpl w:val="D136BAB8"/>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A029CF"/>
    <w:multiLevelType w:val="hybridMultilevel"/>
    <w:tmpl w:val="37D8B1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8B511FB"/>
    <w:multiLevelType w:val="multilevel"/>
    <w:tmpl w:val="0C403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85701">
    <w:abstractNumId w:val="1"/>
  </w:num>
  <w:num w:numId="2" w16cid:durableId="367460672">
    <w:abstractNumId w:val="0"/>
  </w:num>
  <w:num w:numId="3" w16cid:durableId="79491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5C"/>
    <w:rsid w:val="00783862"/>
    <w:rsid w:val="007B3414"/>
    <w:rsid w:val="00884FD3"/>
    <w:rsid w:val="008A3C5C"/>
    <w:rsid w:val="00D94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5F7D8C"/>
  <w15:chartTrackingRefBased/>
  <w15:docId w15:val="{9B02AF76-7B31-7A44-807D-73727F62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3C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516">
      <w:bodyDiv w:val="1"/>
      <w:marLeft w:val="0"/>
      <w:marRight w:val="0"/>
      <w:marTop w:val="0"/>
      <w:marBottom w:val="0"/>
      <w:divBdr>
        <w:top w:val="none" w:sz="0" w:space="0" w:color="auto"/>
        <w:left w:val="none" w:sz="0" w:space="0" w:color="auto"/>
        <w:bottom w:val="none" w:sz="0" w:space="0" w:color="auto"/>
        <w:right w:val="none" w:sz="0" w:space="0" w:color="auto"/>
      </w:divBdr>
    </w:div>
    <w:div w:id="254678067">
      <w:bodyDiv w:val="1"/>
      <w:marLeft w:val="0"/>
      <w:marRight w:val="0"/>
      <w:marTop w:val="0"/>
      <w:marBottom w:val="0"/>
      <w:divBdr>
        <w:top w:val="none" w:sz="0" w:space="0" w:color="auto"/>
        <w:left w:val="none" w:sz="0" w:space="0" w:color="auto"/>
        <w:bottom w:val="none" w:sz="0" w:space="0" w:color="auto"/>
        <w:right w:val="none" w:sz="0" w:space="0" w:color="auto"/>
      </w:divBdr>
    </w:div>
    <w:div w:id="339049557">
      <w:bodyDiv w:val="1"/>
      <w:marLeft w:val="0"/>
      <w:marRight w:val="0"/>
      <w:marTop w:val="0"/>
      <w:marBottom w:val="0"/>
      <w:divBdr>
        <w:top w:val="none" w:sz="0" w:space="0" w:color="auto"/>
        <w:left w:val="none" w:sz="0" w:space="0" w:color="auto"/>
        <w:bottom w:val="none" w:sz="0" w:space="0" w:color="auto"/>
        <w:right w:val="none" w:sz="0" w:space="0" w:color="auto"/>
      </w:divBdr>
    </w:div>
    <w:div w:id="342123519">
      <w:bodyDiv w:val="1"/>
      <w:marLeft w:val="0"/>
      <w:marRight w:val="0"/>
      <w:marTop w:val="0"/>
      <w:marBottom w:val="0"/>
      <w:divBdr>
        <w:top w:val="none" w:sz="0" w:space="0" w:color="auto"/>
        <w:left w:val="none" w:sz="0" w:space="0" w:color="auto"/>
        <w:bottom w:val="none" w:sz="0" w:space="0" w:color="auto"/>
        <w:right w:val="none" w:sz="0" w:space="0" w:color="auto"/>
      </w:divBdr>
    </w:div>
    <w:div w:id="647561912">
      <w:bodyDiv w:val="1"/>
      <w:marLeft w:val="0"/>
      <w:marRight w:val="0"/>
      <w:marTop w:val="0"/>
      <w:marBottom w:val="0"/>
      <w:divBdr>
        <w:top w:val="none" w:sz="0" w:space="0" w:color="auto"/>
        <w:left w:val="none" w:sz="0" w:space="0" w:color="auto"/>
        <w:bottom w:val="none" w:sz="0" w:space="0" w:color="auto"/>
        <w:right w:val="none" w:sz="0" w:space="0" w:color="auto"/>
      </w:divBdr>
    </w:div>
    <w:div w:id="916134327">
      <w:bodyDiv w:val="1"/>
      <w:marLeft w:val="0"/>
      <w:marRight w:val="0"/>
      <w:marTop w:val="0"/>
      <w:marBottom w:val="0"/>
      <w:divBdr>
        <w:top w:val="none" w:sz="0" w:space="0" w:color="auto"/>
        <w:left w:val="none" w:sz="0" w:space="0" w:color="auto"/>
        <w:bottom w:val="none" w:sz="0" w:space="0" w:color="auto"/>
        <w:right w:val="none" w:sz="0" w:space="0" w:color="auto"/>
      </w:divBdr>
    </w:div>
    <w:div w:id="918834272">
      <w:bodyDiv w:val="1"/>
      <w:marLeft w:val="0"/>
      <w:marRight w:val="0"/>
      <w:marTop w:val="0"/>
      <w:marBottom w:val="0"/>
      <w:divBdr>
        <w:top w:val="none" w:sz="0" w:space="0" w:color="auto"/>
        <w:left w:val="none" w:sz="0" w:space="0" w:color="auto"/>
        <w:bottom w:val="none" w:sz="0" w:space="0" w:color="auto"/>
        <w:right w:val="none" w:sz="0" w:space="0" w:color="auto"/>
      </w:divBdr>
    </w:div>
    <w:div w:id="110272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371</Words>
  <Characters>2121</Characters>
  <Application>Microsoft Office Word</Application>
  <DocSecurity>0</DocSecurity>
  <Lines>17</Lines>
  <Paragraphs>4</Paragraphs>
  <ScaleCrop>false</ScaleCrop>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Fulin</dc:creator>
  <cp:keywords/>
  <dc:description/>
  <cp:lastModifiedBy>ZHANG Fulin</cp:lastModifiedBy>
  <cp:revision>1</cp:revision>
  <dcterms:created xsi:type="dcterms:W3CDTF">2024-01-22T19:13:00Z</dcterms:created>
  <dcterms:modified xsi:type="dcterms:W3CDTF">2024-01-23T08:37:00Z</dcterms:modified>
</cp:coreProperties>
</file>