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D202" w14:textId="77777777" w:rsidR="00B7255D" w:rsidRPr="00B7255D" w:rsidRDefault="00B7255D" w:rsidP="00B7255D">
      <w:pPr>
        <w:widowControl/>
        <w:spacing w:before="100" w:beforeAutospacing="1" w:after="100" w:afterAutospacing="1"/>
        <w:ind w:leftChars="-135" w:left="-283" w:rightChars="-162" w:right="-340"/>
        <w:outlineLvl w:val="2"/>
        <w:rPr>
          <w:rFonts w:ascii="Times New Roman" w:eastAsia="宋体" w:hAnsi="Times New Roman" w:cs="Times New Roman"/>
          <w:b/>
          <w:bCs/>
          <w:color w:val="000000"/>
          <w:kern w:val="0"/>
          <w:sz w:val="24"/>
          <w14:ligatures w14:val="none"/>
        </w:rPr>
      </w:pPr>
      <w:r w:rsidRPr="00B7255D">
        <w:rPr>
          <w:rFonts w:ascii="Times New Roman" w:eastAsia="宋体" w:hAnsi="Times New Roman" w:cs="Times New Roman"/>
          <w:b/>
          <w:bCs/>
          <w:color w:val="000000"/>
          <w:kern w:val="0"/>
          <w:sz w:val="24"/>
          <w14:ligatures w14:val="none"/>
        </w:rPr>
        <w:t>Comparative Essay: E-commerce Business Operations in North America, Europe, and China</w:t>
      </w:r>
    </w:p>
    <w:p w14:paraId="5DC15391"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E-commerce has fundamentally transformed the global retail landscape, driven by technological advancements and changing consumer behavior. This essay compares the e-commerce business operations in North America, Europe, and China, focusing on competitive dynamics, regulatory environments, talent challenges, technology ecosystems, trade networks, and cultural contexts.</w:t>
      </w:r>
    </w:p>
    <w:p w14:paraId="5CAFCE65"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In North America, e-commerce is dominated by giants like Amazon and eBay, where intense competition drives relentless innovation. Companies invest heavily in logistics and customer service to maintain market leadership. For example, Amazon's extensive network of fulfillment centers ensures rapid delivery times, a crucial factor in retaining customer loyalty. Conversely, Europe’s e-commerce market is fragmented due to diverse languages and regulations. Companies like Zalando and ASOS succeed by tailoring their strategies to regional preferences and regulatory requirements. In China, leaders like Alibaba and JD.com operate in a highly competitive environment driven by mobile commerce and social media integration. These companies use unique strategies such as live-streaming sales and AI-driven personalization to attract and retain customers.</w:t>
      </w:r>
    </w:p>
    <w:p w14:paraId="5F8DE809"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Regulatory climates vary significantly across these regions. North America’s regulatory environment is relatively stable, with stringent data privacy laws like the California Consumer Privacy Act (CCPA). E-commerce businesses must navigate complex sales tax regulations across states, adding operational complexity. Europe’s General Data Protection Regulation (GDPR) imposes strict data privacy requirements, compelling businesses to adopt robust data management practices. Cross-border e-commerce is further complicated by varying VAT rules and consumer protection laws. In China, the regulatory framework is evolving rapidly, with increasing focus on data security and anti-monopoly regulations, such as the E-commerce Law of China, which aims to protect consumer rights and regulate online marketplaces.</w:t>
      </w:r>
    </w:p>
    <w:p w14:paraId="620B77F6"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Talent acquisition presents both challenges and opportunities. North America has a diverse and skilled talent pool, but competition for top talent is intense, especially in tech hubs like Silicon Valley. There is a significant emphasis on upskilling to keep pace with technological advancements. Europe faces challenges due to varying educational standards and language barriers but benefits from strong academic institutions and a growing focus on digital skills training. China’s tech-savvy workforce is a significant advantage, though competition for skilled professionals is fierce, particularly in major cities like Beijing and Shanghai. The government’s focus on education and training in technology-related fields helps ensure a steady supply of talent.</w:t>
      </w:r>
    </w:p>
    <w:p w14:paraId="6D05F846"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 xml:space="preserve">Technology ecosystems also differ markedly. North America’s e-commerce leverages cutting-edge technologies like AI, cloud computing, and big data analytics, driven by tech giants such as Amazon, Google, and Microsoft. These technologies enhance customer experiences and optimize operations. Europe integrates advanced technologies but faces scaling challenges due to regulatory fragmentation, with companies like SAP and Siemens driving digital </w:t>
      </w:r>
      <w:r w:rsidRPr="00B7255D">
        <w:rPr>
          <w:rFonts w:ascii="Times New Roman" w:eastAsia="宋体" w:hAnsi="Times New Roman" w:cs="Times New Roman"/>
          <w:color w:val="000000"/>
          <w:kern w:val="0"/>
          <w:sz w:val="24"/>
          <w14:ligatures w14:val="none"/>
        </w:rPr>
        <w:lastRenderedPageBreak/>
        <w:t>innovation. China’s e-commerce ecosystem is highly innovative, extensively using AI, big data, and mobile technologies, with platforms like Alibaba’s Tmall setting global benchmarks for personalized marketing and supply chain efficiency.</w:t>
      </w:r>
    </w:p>
    <w:p w14:paraId="19128274"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Trade networks and the balance between regionalism and globalism significantly influence e-commerce operations. North America’s strong regional trade agreements like USMCA facilitate cross-border e-commerce, though recent geopolitical tensions and shifting trade policies introduce uncertainties impacting global trade dynamics. Europe’s Single Market promotes regional growth, but Brexit introduces new complexities for UK-EU e-commerce transactions, necessitating strategic adjustments by businesses. China’s Belt and Road Initiative (BRI) aims to enhance global trade connectivity, reflecting the country's commitment to expanding its trade networks. However, geopolitical issues and trade tensions, particularly with the US, pose challenges for global e-commerce expansion.</w:t>
      </w:r>
    </w:p>
    <w:p w14:paraId="76235AB4"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Business-government-academic partnerships drive innovation in e-commerce. North America fosters collaboration through initiatives like the Digital Economy Program, promoting research and development in e-commerce technologies. Europe’s Horizon Europe funds research and innovation projects, crucial for addressing digital transformation and sustainability goals. In China, government-led initiatives like "Internet Plus" and partnerships with leading universities promote the integration of internet technologies with traditional industries, fostering economic growth.</w:t>
      </w:r>
    </w:p>
    <w:p w14:paraId="455B9EEE"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Cultural context is crucial in shaping e-commerce strategies. North American consumers prioritize convenience and fast delivery, driven by a culture of innovation and entrepreneurship. European consumers value privacy and data security, requiring businesses to implement localized strategies. Chinese consumers, influenced by rapid urbanization and a mobile-first culture, embrace innovative shopping experiences, from mobile payments to social commerce.</w:t>
      </w:r>
    </w:p>
    <w:p w14:paraId="66ECEDBF"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The Montreal area tours provided valuable insights into North America’s e-commerce landscape, highlighting the importance of logistics innovation, customer-centric strategies, and the integration of advanced technologies. These observations underscore opportunities for leveraging similar approaches in China’s rapidly growing e-commerce sector, particularly in enhancing supply chain efficiency and customer engagement.</w:t>
      </w:r>
    </w:p>
    <w:p w14:paraId="2A6997B2" w14:textId="77777777" w:rsidR="00B7255D" w:rsidRPr="00B7255D" w:rsidRDefault="00B7255D" w:rsidP="00B7255D">
      <w:pPr>
        <w:widowControl/>
        <w:spacing w:before="100" w:beforeAutospacing="1" w:after="100" w:afterAutospacing="1"/>
        <w:ind w:leftChars="-135" w:left="-283" w:rightChars="-162" w:right="-340"/>
        <w:rPr>
          <w:rFonts w:ascii="Times New Roman" w:eastAsia="宋体" w:hAnsi="Times New Roman" w:cs="Times New Roman"/>
          <w:color w:val="000000"/>
          <w:kern w:val="0"/>
          <w:sz w:val="24"/>
          <w14:ligatures w14:val="none"/>
        </w:rPr>
      </w:pPr>
      <w:r w:rsidRPr="00B7255D">
        <w:rPr>
          <w:rFonts w:ascii="Times New Roman" w:eastAsia="宋体" w:hAnsi="Times New Roman" w:cs="Times New Roman"/>
          <w:color w:val="000000"/>
          <w:kern w:val="0"/>
          <w:sz w:val="24"/>
          <w14:ligatures w14:val="none"/>
        </w:rPr>
        <w:t>In conclusion, the e-commerce sectors in North America, Europe, and China each possess unique characteristics shaped by competitive dynamics, regulatory environments, talent landscapes, technology ecosystems, trade networks, and cultural contexts. Understanding these differences offers valuable lessons for businesses seeking to expand and innovate in the global e-commerce market. Adaptability, innovation, and strategic collaboration are essential in navigating the complex and dynamic landscape of global e-commerce.</w:t>
      </w:r>
    </w:p>
    <w:p w14:paraId="640FBDD5" w14:textId="1154FCA4" w:rsidR="00D942BC" w:rsidRDefault="00D942BC" w:rsidP="00B7255D">
      <w:pPr>
        <w:ind w:leftChars="-135" w:left="-283" w:rightChars="-162" w:right="-340"/>
        <w:rPr>
          <w:rFonts w:ascii="Times New Roman" w:hAnsi="Times New Roman" w:cs="Times New Roman"/>
          <w:sz w:val="24"/>
        </w:rPr>
      </w:pPr>
    </w:p>
    <w:p w14:paraId="326F7ADF" w14:textId="77777777" w:rsidR="006F1760" w:rsidRDefault="006F1760">
      <w:pPr>
        <w:widowControl/>
        <w:jc w:val="left"/>
        <w:rPr>
          <w:rFonts w:ascii="Times New Roman" w:hAnsi="Times New Roman" w:cs="Times New Roman"/>
          <w:b/>
          <w:bCs/>
          <w:sz w:val="24"/>
        </w:rPr>
      </w:pPr>
      <w:r>
        <w:rPr>
          <w:rFonts w:ascii="Times New Roman" w:hAnsi="Times New Roman" w:cs="Times New Roman"/>
          <w:b/>
          <w:bCs/>
          <w:sz w:val="24"/>
        </w:rPr>
        <w:br w:type="page"/>
      </w:r>
    </w:p>
    <w:p w14:paraId="37BC1217" w14:textId="5248158C" w:rsidR="00B7255D" w:rsidRPr="006F1760" w:rsidRDefault="00B7255D" w:rsidP="00B7255D">
      <w:pPr>
        <w:ind w:leftChars="-135" w:left="-283" w:rightChars="-162" w:right="-340"/>
        <w:rPr>
          <w:rFonts w:ascii="Times New Roman" w:hAnsi="Times New Roman" w:cs="Times New Roman"/>
          <w:b/>
          <w:bCs/>
          <w:sz w:val="24"/>
        </w:rPr>
      </w:pPr>
      <w:r w:rsidRPr="006F1760">
        <w:rPr>
          <w:rFonts w:ascii="Times New Roman" w:hAnsi="Times New Roman" w:cs="Times New Roman"/>
          <w:b/>
          <w:bCs/>
          <w:sz w:val="24"/>
        </w:rPr>
        <w:lastRenderedPageBreak/>
        <w:t>References:</w:t>
      </w:r>
    </w:p>
    <w:p w14:paraId="51E9E10E" w14:textId="33AA2D81" w:rsidR="006F1760" w:rsidRPr="006F1760" w:rsidRDefault="006F1760" w:rsidP="006F1760">
      <w:pPr>
        <w:pStyle w:val="ae"/>
        <w:ind w:leftChars="-135" w:left="-283"/>
        <w:rPr>
          <w:rFonts w:ascii="Times New Roman" w:hAnsi="Times New Roman" w:cs="Times New Roman"/>
          <w:color w:val="000000"/>
        </w:rPr>
      </w:pPr>
      <w:r w:rsidRPr="006F1760">
        <w:rPr>
          <w:rFonts w:ascii="Times New Roman" w:hAnsi="Times New Roman" w:cs="Times New Roman"/>
          <w:color w:val="000000"/>
        </w:rPr>
        <w:t>E-commerce in China: Trends and Outlook for the Largest e-commerce Market in the World. (2019). Retrieved from</w:t>
      </w:r>
      <w:r w:rsidRPr="006F1760">
        <w:rPr>
          <w:rStyle w:val="apple-converted-space"/>
          <w:rFonts w:ascii="Times New Roman" w:hAnsi="Times New Roman" w:cs="Times New Roman"/>
          <w:color w:val="000000"/>
        </w:rPr>
        <w:t> </w:t>
      </w:r>
      <w:hyperlink r:id="rId5" w:tgtFrame="_new" w:history="1">
        <w:r w:rsidRPr="006F1760">
          <w:rPr>
            <w:rStyle w:val="af0"/>
            <w:rFonts w:ascii="Times New Roman" w:hAnsi="Times New Roman" w:cs="Times New Roman"/>
          </w:rPr>
          <w:t>https://www.mckinsey.com/~/media/mckinsey/featured%20insights/china/china%20digital%20consumer%20trends%20in%202019/china-digital-co</w:t>
        </w:r>
        <w:r w:rsidRPr="006F1760">
          <w:rPr>
            <w:rStyle w:val="af0"/>
            <w:rFonts w:ascii="Times New Roman" w:hAnsi="Times New Roman" w:cs="Times New Roman"/>
          </w:rPr>
          <w:t>n</w:t>
        </w:r>
        <w:r w:rsidRPr="006F1760">
          <w:rPr>
            <w:rStyle w:val="af0"/>
            <w:rFonts w:ascii="Times New Roman" w:hAnsi="Times New Roman" w:cs="Times New Roman"/>
          </w:rPr>
          <w:t>sumer-trends-in-2019.pdf</w:t>
        </w:r>
      </w:hyperlink>
    </w:p>
    <w:p w14:paraId="146BACB5" w14:textId="77777777" w:rsidR="006F1760" w:rsidRPr="006F1760" w:rsidRDefault="006F1760" w:rsidP="006F1760">
      <w:pPr>
        <w:pStyle w:val="ae"/>
        <w:ind w:leftChars="-135" w:left="-283"/>
        <w:rPr>
          <w:rFonts w:ascii="Times New Roman" w:hAnsi="Times New Roman" w:cs="Times New Roman"/>
          <w:color w:val="000000"/>
        </w:rPr>
      </w:pPr>
      <w:r w:rsidRPr="006F1760">
        <w:rPr>
          <w:rFonts w:ascii="Times New Roman" w:hAnsi="Times New Roman" w:cs="Times New Roman"/>
          <w:color w:val="000000"/>
        </w:rPr>
        <w:t>Alibaba Group. (2023). Annual Report. Retrieved from</w:t>
      </w:r>
      <w:r w:rsidRPr="006F1760">
        <w:rPr>
          <w:rStyle w:val="apple-converted-space"/>
          <w:rFonts w:ascii="Times New Roman" w:hAnsi="Times New Roman" w:cs="Times New Roman"/>
          <w:color w:val="000000"/>
        </w:rPr>
        <w:t> </w:t>
      </w:r>
      <w:hyperlink r:id="rId6" w:tgtFrame="_new" w:history="1">
        <w:r w:rsidRPr="006F1760">
          <w:rPr>
            <w:rStyle w:val="af0"/>
            <w:rFonts w:ascii="Times New Roman" w:hAnsi="Times New Roman" w:cs="Times New Roman"/>
          </w:rPr>
          <w:t>https://www.alibabagroup.com/en/ir/reports/annual2023</w:t>
        </w:r>
      </w:hyperlink>
    </w:p>
    <w:p w14:paraId="01CD4E56" w14:textId="77777777" w:rsidR="006F1760" w:rsidRPr="006F1760" w:rsidRDefault="006F1760" w:rsidP="006F1760">
      <w:pPr>
        <w:pStyle w:val="ae"/>
        <w:ind w:leftChars="-135" w:left="-283"/>
        <w:rPr>
          <w:rFonts w:ascii="Times New Roman" w:hAnsi="Times New Roman" w:cs="Times New Roman"/>
          <w:color w:val="000000"/>
        </w:rPr>
      </w:pPr>
      <w:r w:rsidRPr="006F1760">
        <w:rPr>
          <w:rFonts w:ascii="Times New Roman" w:hAnsi="Times New Roman" w:cs="Times New Roman"/>
          <w:color w:val="000000"/>
        </w:rPr>
        <w:t>Statista. (2023). E-commerce worldwide. Retrieved from</w:t>
      </w:r>
      <w:r w:rsidRPr="006F1760">
        <w:rPr>
          <w:rStyle w:val="apple-converted-space"/>
          <w:rFonts w:ascii="Times New Roman" w:hAnsi="Times New Roman" w:cs="Times New Roman"/>
          <w:color w:val="000000"/>
        </w:rPr>
        <w:t> </w:t>
      </w:r>
      <w:hyperlink r:id="rId7" w:tgtFrame="_new" w:history="1">
        <w:r w:rsidRPr="006F1760">
          <w:rPr>
            <w:rStyle w:val="af0"/>
            <w:rFonts w:ascii="Times New Roman" w:hAnsi="Times New Roman" w:cs="Times New Roman"/>
          </w:rPr>
          <w:t>https://www.statista.com/markets/413/topic/482/e-commerce/</w:t>
        </w:r>
      </w:hyperlink>
    </w:p>
    <w:p w14:paraId="3C42DDA8" w14:textId="77777777" w:rsidR="006F1760" w:rsidRPr="006F1760" w:rsidRDefault="006F1760" w:rsidP="006F1760">
      <w:pPr>
        <w:pStyle w:val="ae"/>
        <w:ind w:leftChars="-135" w:left="-283"/>
        <w:rPr>
          <w:rFonts w:ascii="Times New Roman" w:hAnsi="Times New Roman" w:cs="Times New Roman"/>
          <w:color w:val="000000"/>
        </w:rPr>
      </w:pPr>
      <w:r w:rsidRPr="006F1760">
        <w:rPr>
          <w:rFonts w:ascii="Times New Roman" w:hAnsi="Times New Roman" w:cs="Times New Roman"/>
          <w:color w:val="000000"/>
        </w:rPr>
        <w:t>Amazon’s Strategy in E-commerce. (2022). Harvard Business Review. Retrieved from</w:t>
      </w:r>
      <w:r w:rsidRPr="006F1760">
        <w:rPr>
          <w:rStyle w:val="apple-converted-space"/>
          <w:rFonts w:ascii="Times New Roman" w:hAnsi="Times New Roman" w:cs="Times New Roman"/>
          <w:color w:val="000000"/>
        </w:rPr>
        <w:t> </w:t>
      </w:r>
      <w:hyperlink r:id="rId8" w:tgtFrame="_new" w:history="1">
        <w:r w:rsidRPr="006F1760">
          <w:rPr>
            <w:rStyle w:val="af0"/>
            <w:rFonts w:ascii="Times New Roman" w:hAnsi="Times New Roman" w:cs="Times New Roman"/>
          </w:rPr>
          <w:t>https://hbr.org</w:t>
        </w:r>
      </w:hyperlink>
    </w:p>
    <w:p w14:paraId="6D71CD7F" w14:textId="34E7D39A" w:rsidR="00B7255D" w:rsidRPr="006F1760" w:rsidRDefault="006F1760" w:rsidP="006F1760">
      <w:pPr>
        <w:pStyle w:val="ae"/>
        <w:ind w:leftChars="-135" w:left="-283"/>
        <w:rPr>
          <w:rFonts w:ascii="Times New Roman" w:hAnsi="Times New Roman" w:cs="Times New Roman"/>
          <w:color w:val="000000"/>
        </w:rPr>
      </w:pPr>
      <w:r w:rsidRPr="006F1760">
        <w:rPr>
          <w:rFonts w:ascii="Times New Roman" w:hAnsi="Times New Roman" w:cs="Times New Roman"/>
          <w:color w:val="000000"/>
        </w:rPr>
        <w:t>Ngai, E. W. T., &amp; Wat, F. K. T. (2002). A literature review and classification of electronic commerce research.</w:t>
      </w:r>
      <w:r w:rsidRPr="006F1760">
        <w:rPr>
          <w:rStyle w:val="apple-converted-space"/>
          <w:rFonts w:ascii="Times New Roman" w:hAnsi="Times New Roman" w:cs="Times New Roman"/>
          <w:color w:val="000000"/>
        </w:rPr>
        <w:t> </w:t>
      </w:r>
      <w:r w:rsidRPr="006F1760">
        <w:rPr>
          <w:rStyle w:val="af1"/>
          <w:rFonts w:ascii="Times New Roman" w:hAnsi="Times New Roman" w:cs="Times New Roman"/>
          <w:color w:val="000000"/>
        </w:rPr>
        <w:t>Information &amp; Management, 39</w:t>
      </w:r>
      <w:r w:rsidRPr="006F1760">
        <w:rPr>
          <w:rFonts w:ascii="Times New Roman" w:hAnsi="Times New Roman" w:cs="Times New Roman"/>
          <w:color w:val="000000"/>
        </w:rPr>
        <w:t>(5), 415-429. Retrieved from</w:t>
      </w:r>
      <w:r w:rsidRPr="006F1760">
        <w:rPr>
          <w:rStyle w:val="apple-converted-space"/>
          <w:rFonts w:ascii="Times New Roman" w:hAnsi="Times New Roman" w:cs="Times New Roman"/>
          <w:color w:val="000000"/>
        </w:rPr>
        <w:t> </w:t>
      </w:r>
      <w:hyperlink r:id="rId9" w:tgtFrame="_new" w:history="1">
        <w:r w:rsidRPr="006F1760">
          <w:rPr>
            <w:rStyle w:val="af0"/>
            <w:rFonts w:ascii="Times New Roman" w:hAnsi="Times New Roman" w:cs="Times New Roman"/>
          </w:rPr>
          <w:t>https://www.researchgate.net/publication/220653574_A_Literature_Review_and_Classification_of_Electronic_Commerce_Research</w:t>
        </w:r>
      </w:hyperlink>
    </w:p>
    <w:sectPr w:rsidR="00B7255D" w:rsidRPr="006F1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4E95"/>
    <w:multiLevelType w:val="multilevel"/>
    <w:tmpl w:val="D1C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55D0"/>
    <w:multiLevelType w:val="hybridMultilevel"/>
    <w:tmpl w:val="BB46FD30"/>
    <w:lvl w:ilvl="0" w:tplc="382C6AD4">
      <w:start w:val="1"/>
      <w:numFmt w:val="decimal"/>
      <w:lvlText w:val="%1."/>
      <w:lvlJc w:val="left"/>
      <w:pPr>
        <w:ind w:left="77" w:hanging="360"/>
      </w:pPr>
      <w:rPr>
        <w:rFonts w:hint="default"/>
      </w:rPr>
    </w:lvl>
    <w:lvl w:ilvl="1" w:tplc="04090019" w:tentative="1">
      <w:start w:val="1"/>
      <w:numFmt w:val="lowerLetter"/>
      <w:lvlText w:val="%2)"/>
      <w:lvlJc w:val="left"/>
      <w:pPr>
        <w:ind w:left="597" w:hanging="440"/>
      </w:pPr>
    </w:lvl>
    <w:lvl w:ilvl="2" w:tplc="0409001B" w:tentative="1">
      <w:start w:val="1"/>
      <w:numFmt w:val="lowerRoman"/>
      <w:lvlText w:val="%3."/>
      <w:lvlJc w:val="right"/>
      <w:pPr>
        <w:ind w:left="1037" w:hanging="440"/>
      </w:pPr>
    </w:lvl>
    <w:lvl w:ilvl="3" w:tplc="0409000F" w:tentative="1">
      <w:start w:val="1"/>
      <w:numFmt w:val="decimal"/>
      <w:lvlText w:val="%4."/>
      <w:lvlJc w:val="left"/>
      <w:pPr>
        <w:ind w:left="1477" w:hanging="440"/>
      </w:pPr>
    </w:lvl>
    <w:lvl w:ilvl="4" w:tplc="04090019" w:tentative="1">
      <w:start w:val="1"/>
      <w:numFmt w:val="lowerLetter"/>
      <w:lvlText w:val="%5)"/>
      <w:lvlJc w:val="left"/>
      <w:pPr>
        <w:ind w:left="1917" w:hanging="440"/>
      </w:pPr>
    </w:lvl>
    <w:lvl w:ilvl="5" w:tplc="0409001B" w:tentative="1">
      <w:start w:val="1"/>
      <w:numFmt w:val="lowerRoman"/>
      <w:lvlText w:val="%6."/>
      <w:lvlJc w:val="right"/>
      <w:pPr>
        <w:ind w:left="2357" w:hanging="440"/>
      </w:pPr>
    </w:lvl>
    <w:lvl w:ilvl="6" w:tplc="0409000F" w:tentative="1">
      <w:start w:val="1"/>
      <w:numFmt w:val="decimal"/>
      <w:lvlText w:val="%7."/>
      <w:lvlJc w:val="left"/>
      <w:pPr>
        <w:ind w:left="2797" w:hanging="440"/>
      </w:pPr>
    </w:lvl>
    <w:lvl w:ilvl="7" w:tplc="04090019" w:tentative="1">
      <w:start w:val="1"/>
      <w:numFmt w:val="lowerLetter"/>
      <w:lvlText w:val="%8)"/>
      <w:lvlJc w:val="left"/>
      <w:pPr>
        <w:ind w:left="3237" w:hanging="440"/>
      </w:pPr>
    </w:lvl>
    <w:lvl w:ilvl="8" w:tplc="0409001B" w:tentative="1">
      <w:start w:val="1"/>
      <w:numFmt w:val="lowerRoman"/>
      <w:lvlText w:val="%9."/>
      <w:lvlJc w:val="right"/>
      <w:pPr>
        <w:ind w:left="3677" w:hanging="440"/>
      </w:pPr>
    </w:lvl>
  </w:abstractNum>
  <w:abstractNum w:abstractNumId="2" w15:restartNumberingAfterBreak="0">
    <w:nsid w:val="14095AC5"/>
    <w:multiLevelType w:val="hybridMultilevel"/>
    <w:tmpl w:val="242E819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531989881">
    <w:abstractNumId w:val="1"/>
  </w:num>
  <w:num w:numId="2" w16cid:durableId="1310399666">
    <w:abstractNumId w:val="0"/>
  </w:num>
  <w:num w:numId="3" w16cid:durableId="1473718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5D"/>
    <w:rsid w:val="006F1760"/>
    <w:rsid w:val="007B3414"/>
    <w:rsid w:val="00B03120"/>
    <w:rsid w:val="00B7255D"/>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05485E"/>
  <w15:chartTrackingRefBased/>
  <w15:docId w15:val="{4E6DC4EC-5641-F348-AABC-09914532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25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725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725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B725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255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7255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255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255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7255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5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725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B725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B7255D"/>
    <w:rPr>
      <w:rFonts w:cstheme="majorBidi"/>
      <w:color w:val="0F4761" w:themeColor="accent1" w:themeShade="BF"/>
      <w:sz w:val="28"/>
      <w:szCs w:val="28"/>
    </w:rPr>
  </w:style>
  <w:style w:type="character" w:customStyle="1" w:styleId="50">
    <w:name w:val="标题 5 字符"/>
    <w:basedOn w:val="a0"/>
    <w:link w:val="5"/>
    <w:uiPriority w:val="9"/>
    <w:semiHidden/>
    <w:rsid w:val="00B7255D"/>
    <w:rPr>
      <w:rFonts w:cstheme="majorBidi"/>
      <w:color w:val="0F4761" w:themeColor="accent1" w:themeShade="BF"/>
      <w:sz w:val="24"/>
    </w:rPr>
  </w:style>
  <w:style w:type="character" w:customStyle="1" w:styleId="60">
    <w:name w:val="标题 6 字符"/>
    <w:basedOn w:val="a0"/>
    <w:link w:val="6"/>
    <w:uiPriority w:val="9"/>
    <w:semiHidden/>
    <w:rsid w:val="00B7255D"/>
    <w:rPr>
      <w:rFonts w:cstheme="majorBidi"/>
      <w:b/>
      <w:bCs/>
      <w:color w:val="0F4761" w:themeColor="accent1" w:themeShade="BF"/>
    </w:rPr>
  </w:style>
  <w:style w:type="character" w:customStyle="1" w:styleId="70">
    <w:name w:val="标题 7 字符"/>
    <w:basedOn w:val="a0"/>
    <w:link w:val="7"/>
    <w:uiPriority w:val="9"/>
    <w:semiHidden/>
    <w:rsid w:val="00B7255D"/>
    <w:rPr>
      <w:rFonts w:cstheme="majorBidi"/>
      <w:b/>
      <w:bCs/>
      <w:color w:val="595959" w:themeColor="text1" w:themeTint="A6"/>
    </w:rPr>
  </w:style>
  <w:style w:type="character" w:customStyle="1" w:styleId="80">
    <w:name w:val="标题 8 字符"/>
    <w:basedOn w:val="a0"/>
    <w:link w:val="8"/>
    <w:uiPriority w:val="9"/>
    <w:semiHidden/>
    <w:rsid w:val="00B7255D"/>
    <w:rPr>
      <w:rFonts w:cstheme="majorBidi"/>
      <w:color w:val="595959" w:themeColor="text1" w:themeTint="A6"/>
    </w:rPr>
  </w:style>
  <w:style w:type="character" w:customStyle="1" w:styleId="90">
    <w:name w:val="标题 9 字符"/>
    <w:basedOn w:val="a0"/>
    <w:link w:val="9"/>
    <w:uiPriority w:val="9"/>
    <w:semiHidden/>
    <w:rsid w:val="00B7255D"/>
    <w:rPr>
      <w:rFonts w:eastAsiaTheme="majorEastAsia" w:cstheme="majorBidi"/>
      <w:color w:val="595959" w:themeColor="text1" w:themeTint="A6"/>
    </w:rPr>
  </w:style>
  <w:style w:type="paragraph" w:styleId="a3">
    <w:name w:val="Title"/>
    <w:basedOn w:val="a"/>
    <w:next w:val="a"/>
    <w:link w:val="a4"/>
    <w:uiPriority w:val="10"/>
    <w:qFormat/>
    <w:rsid w:val="00B725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25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25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25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255D"/>
    <w:pPr>
      <w:spacing w:before="160" w:after="160"/>
      <w:jc w:val="center"/>
    </w:pPr>
    <w:rPr>
      <w:i/>
      <w:iCs/>
      <w:color w:val="404040" w:themeColor="text1" w:themeTint="BF"/>
    </w:rPr>
  </w:style>
  <w:style w:type="character" w:customStyle="1" w:styleId="a8">
    <w:name w:val="引用 字符"/>
    <w:basedOn w:val="a0"/>
    <w:link w:val="a7"/>
    <w:uiPriority w:val="29"/>
    <w:rsid w:val="00B7255D"/>
    <w:rPr>
      <w:i/>
      <w:iCs/>
      <w:color w:val="404040" w:themeColor="text1" w:themeTint="BF"/>
    </w:rPr>
  </w:style>
  <w:style w:type="paragraph" w:styleId="a9">
    <w:name w:val="List Paragraph"/>
    <w:basedOn w:val="a"/>
    <w:uiPriority w:val="34"/>
    <w:qFormat/>
    <w:rsid w:val="00B7255D"/>
    <w:pPr>
      <w:ind w:left="720"/>
      <w:contextualSpacing/>
    </w:pPr>
  </w:style>
  <w:style w:type="character" w:styleId="aa">
    <w:name w:val="Intense Emphasis"/>
    <w:basedOn w:val="a0"/>
    <w:uiPriority w:val="21"/>
    <w:qFormat/>
    <w:rsid w:val="00B7255D"/>
    <w:rPr>
      <w:i/>
      <w:iCs/>
      <w:color w:val="0F4761" w:themeColor="accent1" w:themeShade="BF"/>
    </w:rPr>
  </w:style>
  <w:style w:type="paragraph" w:styleId="ab">
    <w:name w:val="Intense Quote"/>
    <w:basedOn w:val="a"/>
    <w:next w:val="a"/>
    <w:link w:val="ac"/>
    <w:uiPriority w:val="30"/>
    <w:qFormat/>
    <w:rsid w:val="00B72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255D"/>
    <w:rPr>
      <w:i/>
      <w:iCs/>
      <w:color w:val="0F4761" w:themeColor="accent1" w:themeShade="BF"/>
    </w:rPr>
  </w:style>
  <w:style w:type="character" w:styleId="ad">
    <w:name w:val="Intense Reference"/>
    <w:basedOn w:val="a0"/>
    <w:uiPriority w:val="32"/>
    <w:qFormat/>
    <w:rsid w:val="00B7255D"/>
    <w:rPr>
      <w:b/>
      <w:bCs/>
      <w:smallCaps/>
      <w:color w:val="0F4761" w:themeColor="accent1" w:themeShade="BF"/>
      <w:spacing w:val="5"/>
    </w:rPr>
  </w:style>
  <w:style w:type="paragraph" w:styleId="ae">
    <w:name w:val="Normal (Web)"/>
    <w:basedOn w:val="a"/>
    <w:uiPriority w:val="99"/>
    <w:unhideWhenUsed/>
    <w:rsid w:val="00B7255D"/>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B7255D"/>
    <w:rPr>
      <w:b/>
      <w:bCs/>
    </w:rPr>
  </w:style>
  <w:style w:type="character" w:customStyle="1" w:styleId="apple-converted-space">
    <w:name w:val="apple-converted-space"/>
    <w:basedOn w:val="a0"/>
    <w:rsid w:val="00B7255D"/>
  </w:style>
  <w:style w:type="character" w:styleId="af0">
    <w:name w:val="Hyperlink"/>
    <w:basedOn w:val="a0"/>
    <w:uiPriority w:val="99"/>
    <w:semiHidden/>
    <w:unhideWhenUsed/>
    <w:rsid w:val="006F1760"/>
    <w:rPr>
      <w:color w:val="0000FF"/>
      <w:u w:val="single"/>
    </w:rPr>
  </w:style>
  <w:style w:type="character" w:styleId="af1">
    <w:name w:val="Emphasis"/>
    <w:basedOn w:val="a0"/>
    <w:uiPriority w:val="20"/>
    <w:qFormat/>
    <w:rsid w:val="006F1760"/>
    <w:rPr>
      <w:i/>
      <w:iCs/>
    </w:rPr>
  </w:style>
  <w:style w:type="character" w:styleId="af2">
    <w:name w:val="FollowedHyperlink"/>
    <w:basedOn w:val="a0"/>
    <w:uiPriority w:val="99"/>
    <w:semiHidden/>
    <w:unhideWhenUsed/>
    <w:rsid w:val="006F17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8528">
      <w:bodyDiv w:val="1"/>
      <w:marLeft w:val="0"/>
      <w:marRight w:val="0"/>
      <w:marTop w:val="0"/>
      <w:marBottom w:val="0"/>
      <w:divBdr>
        <w:top w:val="none" w:sz="0" w:space="0" w:color="auto"/>
        <w:left w:val="none" w:sz="0" w:space="0" w:color="auto"/>
        <w:bottom w:val="none" w:sz="0" w:space="0" w:color="auto"/>
        <w:right w:val="none" w:sz="0" w:space="0" w:color="auto"/>
      </w:divBdr>
      <w:divsChild>
        <w:div w:id="1578249333">
          <w:marLeft w:val="0"/>
          <w:marRight w:val="0"/>
          <w:marTop w:val="0"/>
          <w:marBottom w:val="0"/>
          <w:divBdr>
            <w:top w:val="none" w:sz="0" w:space="0" w:color="auto"/>
            <w:left w:val="none" w:sz="0" w:space="0" w:color="auto"/>
            <w:bottom w:val="none" w:sz="0" w:space="0" w:color="auto"/>
            <w:right w:val="none" w:sz="0" w:space="0" w:color="auto"/>
          </w:divBdr>
          <w:divsChild>
            <w:div w:id="944848226">
              <w:marLeft w:val="0"/>
              <w:marRight w:val="0"/>
              <w:marTop w:val="0"/>
              <w:marBottom w:val="0"/>
              <w:divBdr>
                <w:top w:val="none" w:sz="0" w:space="0" w:color="auto"/>
                <w:left w:val="none" w:sz="0" w:space="0" w:color="auto"/>
                <w:bottom w:val="none" w:sz="0" w:space="0" w:color="auto"/>
                <w:right w:val="none" w:sz="0" w:space="0" w:color="auto"/>
              </w:divBdr>
              <w:divsChild>
                <w:div w:id="1144617227">
                  <w:marLeft w:val="0"/>
                  <w:marRight w:val="0"/>
                  <w:marTop w:val="0"/>
                  <w:marBottom w:val="0"/>
                  <w:divBdr>
                    <w:top w:val="none" w:sz="0" w:space="0" w:color="auto"/>
                    <w:left w:val="none" w:sz="0" w:space="0" w:color="auto"/>
                    <w:bottom w:val="none" w:sz="0" w:space="0" w:color="auto"/>
                    <w:right w:val="none" w:sz="0" w:space="0" w:color="auto"/>
                  </w:divBdr>
                </w:div>
              </w:divsChild>
            </w:div>
            <w:div w:id="2119793615">
              <w:marLeft w:val="0"/>
              <w:marRight w:val="0"/>
              <w:marTop w:val="0"/>
              <w:marBottom w:val="0"/>
              <w:divBdr>
                <w:top w:val="none" w:sz="0" w:space="0" w:color="auto"/>
                <w:left w:val="none" w:sz="0" w:space="0" w:color="auto"/>
                <w:bottom w:val="none" w:sz="0" w:space="0" w:color="auto"/>
                <w:right w:val="none" w:sz="0" w:space="0" w:color="auto"/>
              </w:divBdr>
              <w:divsChild>
                <w:div w:id="1737044985">
                  <w:marLeft w:val="0"/>
                  <w:marRight w:val="0"/>
                  <w:marTop w:val="0"/>
                  <w:marBottom w:val="0"/>
                  <w:divBdr>
                    <w:top w:val="none" w:sz="0" w:space="0" w:color="auto"/>
                    <w:left w:val="none" w:sz="0" w:space="0" w:color="auto"/>
                    <w:bottom w:val="none" w:sz="0" w:space="0" w:color="auto"/>
                    <w:right w:val="none" w:sz="0" w:space="0" w:color="auto"/>
                  </w:divBdr>
                </w:div>
              </w:divsChild>
            </w:div>
            <w:div w:id="409354173">
              <w:marLeft w:val="0"/>
              <w:marRight w:val="0"/>
              <w:marTop w:val="0"/>
              <w:marBottom w:val="0"/>
              <w:divBdr>
                <w:top w:val="none" w:sz="0" w:space="0" w:color="auto"/>
                <w:left w:val="none" w:sz="0" w:space="0" w:color="auto"/>
                <w:bottom w:val="none" w:sz="0" w:space="0" w:color="auto"/>
                <w:right w:val="none" w:sz="0" w:space="0" w:color="auto"/>
              </w:divBdr>
              <w:divsChild>
                <w:div w:id="14373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5993">
      <w:bodyDiv w:val="1"/>
      <w:marLeft w:val="0"/>
      <w:marRight w:val="0"/>
      <w:marTop w:val="0"/>
      <w:marBottom w:val="0"/>
      <w:divBdr>
        <w:top w:val="none" w:sz="0" w:space="0" w:color="auto"/>
        <w:left w:val="none" w:sz="0" w:space="0" w:color="auto"/>
        <w:bottom w:val="none" w:sz="0" w:space="0" w:color="auto"/>
        <w:right w:val="none" w:sz="0" w:space="0" w:color="auto"/>
      </w:divBdr>
      <w:divsChild>
        <w:div w:id="1598638907">
          <w:marLeft w:val="0"/>
          <w:marRight w:val="0"/>
          <w:marTop w:val="0"/>
          <w:marBottom w:val="0"/>
          <w:divBdr>
            <w:top w:val="none" w:sz="0" w:space="0" w:color="auto"/>
            <w:left w:val="none" w:sz="0" w:space="0" w:color="auto"/>
            <w:bottom w:val="none" w:sz="0" w:space="0" w:color="auto"/>
            <w:right w:val="none" w:sz="0" w:space="0" w:color="auto"/>
          </w:divBdr>
          <w:divsChild>
            <w:div w:id="1480458626">
              <w:marLeft w:val="0"/>
              <w:marRight w:val="0"/>
              <w:marTop w:val="0"/>
              <w:marBottom w:val="0"/>
              <w:divBdr>
                <w:top w:val="none" w:sz="0" w:space="0" w:color="auto"/>
                <w:left w:val="none" w:sz="0" w:space="0" w:color="auto"/>
                <w:bottom w:val="none" w:sz="0" w:space="0" w:color="auto"/>
                <w:right w:val="none" w:sz="0" w:space="0" w:color="auto"/>
              </w:divBdr>
              <w:divsChild>
                <w:div w:id="1625039063">
                  <w:marLeft w:val="0"/>
                  <w:marRight w:val="0"/>
                  <w:marTop w:val="0"/>
                  <w:marBottom w:val="0"/>
                  <w:divBdr>
                    <w:top w:val="none" w:sz="0" w:space="0" w:color="auto"/>
                    <w:left w:val="none" w:sz="0" w:space="0" w:color="auto"/>
                    <w:bottom w:val="none" w:sz="0" w:space="0" w:color="auto"/>
                    <w:right w:val="none" w:sz="0" w:space="0" w:color="auto"/>
                  </w:divBdr>
                  <w:divsChild>
                    <w:div w:id="1658460317">
                      <w:marLeft w:val="0"/>
                      <w:marRight w:val="0"/>
                      <w:marTop w:val="0"/>
                      <w:marBottom w:val="0"/>
                      <w:divBdr>
                        <w:top w:val="none" w:sz="0" w:space="0" w:color="auto"/>
                        <w:left w:val="none" w:sz="0" w:space="0" w:color="auto"/>
                        <w:bottom w:val="none" w:sz="0" w:space="0" w:color="auto"/>
                        <w:right w:val="none" w:sz="0" w:space="0" w:color="auto"/>
                      </w:divBdr>
                      <w:divsChild>
                        <w:div w:id="1314022826">
                          <w:marLeft w:val="0"/>
                          <w:marRight w:val="0"/>
                          <w:marTop w:val="0"/>
                          <w:marBottom w:val="0"/>
                          <w:divBdr>
                            <w:top w:val="none" w:sz="0" w:space="0" w:color="auto"/>
                            <w:left w:val="none" w:sz="0" w:space="0" w:color="auto"/>
                            <w:bottom w:val="none" w:sz="0" w:space="0" w:color="auto"/>
                            <w:right w:val="none" w:sz="0" w:space="0" w:color="auto"/>
                          </w:divBdr>
                          <w:divsChild>
                            <w:div w:id="4102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678950">
      <w:bodyDiv w:val="1"/>
      <w:marLeft w:val="0"/>
      <w:marRight w:val="0"/>
      <w:marTop w:val="0"/>
      <w:marBottom w:val="0"/>
      <w:divBdr>
        <w:top w:val="none" w:sz="0" w:space="0" w:color="auto"/>
        <w:left w:val="none" w:sz="0" w:space="0" w:color="auto"/>
        <w:bottom w:val="none" w:sz="0" w:space="0" w:color="auto"/>
        <w:right w:val="none" w:sz="0" w:space="0" w:color="auto"/>
      </w:divBdr>
    </w:div>
    <w:div w:id="1093891363">
      <w:bodyDiv w:val="1"/>
      <w:marLeft w:val="0"/>
      <w:marRight w:val="0"/>
      <w:marTop w:val="0"/>
      <w:marBottom w:val="0"/>
      <w:divBdr>
        <w:top w:val="none" w:sz="0" w:space="0" w:color="auto"/>
        <w:left w:val="none" w:sz="0" w:space="0" w:color="auto"/>
        <w:bottom w:val="none" w:sz="0" w:space="0" w:color="auto"/>
        <w:right w:val="none" w:sz="0" w:space="0" w:color="auto"/>
      </w:divBdr>
    </w:div>
    <w:div w:id="1150293446">
      <w:bodyDiv w:val="1"/>
      <w:marLeft w:val="0"/>
      <w:marRight w:val="0"/>
      <w:marTop w:val="0"/>
      <w:marBottom w:val="0"/>
      <w:divBdr>
        <w:top w:val="none" w:sz="0" w:space="0" w:color="auto"/>
        <w:left w:val="none" w:sz="0" w:space="0" w:color="auto"/>
        <w:bottom w:val="none" w:sz="0" w:space="0" w:color="auto"/>
        <w:right w:val="none" w:sz="0" w:space="0" w:color="auto"/>
      </w:divBdr>
    </w:div>
    <w:div w:id="172294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 TargetMode="External"/><Relationship Id="rId3" Type="http://schemas.openxmlformats.org/officeDocument/2006/relationships/settings" Target="settings.xml"/><Relationship Id="rId7" Type="http://schemas.openxmlformats.org/officeDocument/2006/relationships/hyperlink" Target="https://www.statista.com/markets/413/topic/482/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ibabagroup.com/en/ir/reports/annual2023" TargetMode="External"/><Relationship Id="rId11" Type="http://schemas.openxmlformats.org/officeDocument/2006/relationships/theme" Target="theme/theme1.xml"/><Relationship Id="rId5" Type="http://schemas.openxmlformats.org/officeDocument/2006/relationships/hyperlink" Target="https://www.mckinsey.com/~/media/mckinsey/featured%20insights/china/china%20digital%20consumer%20trends%20in%202019/china-digital-consumer-trends-in-2019.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20653574_A_Literature_Review_and_Classification_of_Electronic_Commerce_Re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2024-06-19T23:05:00Z</dcterms:created>
  <dcterms:modified xsi:type="dcterms:W3CDTF">2024-06-19T23:21:00Z</dcterms:modified>
</cp:coreProperties>
</file>