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Xa30365f0eb1503239cb3c5c992762752c526c12"/>
    <w:p>
      <w:pPr>
        <w:pStyle w:val="Heading1"/>
      </w:pPr>
      <w:r>
        <w:t xml:space="preserve">INFORME FINAL DE ADECUACIÓN AL ESQUEMA NACIONAL DE SEGURIDAD</w:t>
      </w:r>
    </w:p>
    <w:bookmarkStart w:id="20" w:name="Xf39f9fea168a21a878785936b980a095acf7b8c"/>
    <w:p>
      <w:pPr>
        <w:pStyle w:val="Heading2"/>
      </w:pPr>
      <w:r>
        <w:t xml:space="preserve">{{ cliente.razon_social }}</w:t>
      </w:r>
    </w:p>
    <w:p>
      <w:pPr>
        <w:pStyle w:val="FirstParagraph"/>
      </w:pPr>
      <w:r>
        <w:rPr>
          <w:bCs/>
          <w:b/>
        </w:rPr>
        <w:t xml:space="preserve">Documento E-040 · Versión {{ informe.version }} · {{ informe.fecha_emision }}</w:t>
      </w:r>
    </w:p>
    <w:p>
      <w:r>
        <w:pict>
          <v:rect style="width:0;height:1.5pt" o:hralign="center" o:hrstd="t" o:hr="t"/>
        </w:pict>
      </w:r>
    </w:p>
    <w:bookmarkEnd w:id="20"/>
    <w:bookmarkStart w:id="21" w:name="X5dd895b2072e59d4361bd2729ab69ff88775738"/>
    <w:p>
      <w:pPr>
        <w:pStyle w:val="Heading2"/>
      </w:pPr>
      <w:r>
        <w:t xml:space="preserve">1. RESUMEN EJECUTIVO</w:t>
      </w:r>
    </w:p>
    <w:p>
      <w:pPr>
        <w:pStyle w:val="FirstParagraph"/>
      </w:pPr>
      <w:r>
        <w:t xml:space="preserve">El presente informe documenta el resultado del proyecto de adecuación de</w:t>
      </w:r>
      <w:r>
        <w:t xml:space="preserve"> </w:t>
      </w:r>
      <w:r>
        <w:rPr>
          <w:bCs/>
          <w:b/>
        </w:rPr>
        <w:t xml:space="preserve">{{ cliente.razon_social }}</w:t>
      </w:r>
      <w:r>
        <w:t xml:space="preserve"> </w:t>
      </w:r>
      <w:r>
        <w:t xml:space="preserve">al Esquema Nacional de Seguridad regulado por el Real Decreto 311/2022, de 3 de mayo, llevado a cabo entre el {{ proyecto.fecha_inicio }} y el {{ proyecto.fecha_fin }}, con el objetivo de obtener la certificación de conformidad en categoría</w:t>
      </w:r>
      <w:r>
        <w:t xml:space="preserve"> </w:t>
      </w:r>
      <w:r>
        <w:rPr>
          <w:bCs/>
          <w:b/>
        </w:rPr>
        <w:t xml:space="preserve">{{ proyecto.categoria_ens }}</w:t>
      </w:r>
      <w:r>
        <w:t xml:space="preserve">.</w:t>
      </w:r>
    </w:p>
    <w:p>
      <w:pPr>
        <w:pStyle w:val="BodyText"/>
      </w:pPr>
      <w:r>
        <w:t xml:space="preserve">A la fecha de emisión del presente informe, el sistema comprendido en el alcance reúne las condiciones necesarias para someterse a la auditoría externa de certificación por una entidad acreditada por ENAC, con un nivel de cumplimiento global del</w:t>
      </w:r>
      <w:r>
        <w:t xml:space="preserve"> </w:t>
      </w:r>
      <w:r>
        <w:rPr>
          <w:bCs/>
          <w:b/>
        </w:rPr>
        <w:t xml:space="preserve">{{ informe.cumplimiento_global }}%</w:t>
      </w:r>
      <w:r>
        <w:t xml:space="preserve"> </w:t>
      </w:r>
      <w:r>
        <w:t xml:space="preserve">sobre las medidas exigibles del Anexo II del ENS para la categoría declarada.</w:t>
      </w:r>
    </w:p>
    <w:p>
      <w:pPr>
        <w:pStyle w:val="BodyText"/>
      </w:pPr>
      <w:r>
        <w:rPr>
          <w:bCs/>
          <w:b/>
        </w:rPr>
        <w:t xml:space="preserve">Conclusión:</w:t>
      </w:r>
      <w:r>
        <w:t xml:space="preserve"> </w:t>
      </w:r>
      <w:r>
        <w:t xml:space="preserve">Se recomienda al Comité de Seguridad de {{ cliente.razon_social }} elevar al órgano superior la propuesta de iniciar formalmente el procedimiento de certificación externa con la entidad seleccionada.</w:t>
      </w:r>
    </w:p>
    <w:p>
      <w:r>
        <w:pict>
          <v:rect style="width:0;height:1.5pt" o:hralign="center" o:hrstd="t" o:hr="t"/>
        </w:pict>
      </w:r>
    </w:p>
    <w:bookmarkEnd w:id="21"/>
    <w:bookmarkStart w:id="27" w:name="Xbc53c7343812a9a263a7292991c8a76677dbaee"/>
    <w:p>
      <w:pPr>
        <w:pStyle w:val="Heading2"/>
      </w:pPr>
      <w:r>
        <w:t xml:space="preserve">2. ALCANCE DEL SISTEMA CERTIFICADO</w:t>
      </w:r>
    </w:p>
    <w:bookmarkStart w:id="22" w:name="Xae9bc0c32f98a0a4a1db0de8e493617152b27a5"/>
    <w:p>
      <w:pPr>
        <w:pStyle w:val="Heading3"/>
      </w:pPr>
      <w:r>
        <w:t xml:space="preserve">2.1 Definición del alcance</w:t>
      </w:r>
    </w:p>
    <w:p>
      <w:pPr>
        <w:pStyle w:val="FirstParagraph"/>
      </w:pPr>
      <w:r>
        <w:t xml:space="preserve">El sistema de información objeto de la adecuación al ENS y de la futura certificación es:</w:t>
      </w:r>
    </w:p>
    <w:p>
      <w:pPr>
        <w:pStyle w:val="BlockText"/>
      </w:pPr>
      <w:r>
        <w:rPr>
          <w:bCs/>
          <w:b/>
        </w:rPr>
        <w:t xml:space="preserve">{{ proyecto.alcance.descripcion_completa }}</w:t>
      </w:r>
    </w:p>
    <w:bookmarkEnd w:id="22"/>
    <w:bookmarkStart w:id="23" w:name="Xcda201dedec433b54cc57811d151cb4ce7c0f08"/>
    <w:p>
      <w:pPr>
        <w:pStyle w:val="Heading3"/>
      </w:pPr>
      <w:r>
        <w:t xml:space="preserve">2.2 Servicios incluidos</w:t>
      </w:r>
    </w:p>
    <w:p>
      <w:pPr>
        <w:pStyle w:val="FirstParagraph"/>
      </w:pPr>
      <w:r>
        <w:t xml:space="preserve">{% if proyecto.alcance.servicios %}</w:t>
      </w:r>
      <w:r>
        <w:t xml:space="preserve"> </w:t>
      </w:r>
      <w:r>
        <w:t xml:space="preserve">{% for servicio in proyecto.alcance.servicios %}</w:t>
      </w:r>
    </w:p>
    <w:p>
      <w:pPr>
        <w:numPr>
          <w:ilvl w:val="0"/>
          <w:numId w:val="1001"/>
        </w:numPr>
        <w:pStyle w:val="Compact"/>
      </w:pPr>
      <w:r>
        <w:t xml:space="preserve">{{ servicio }}</w:t>
      </w:r>
      <w:r>
        <w:t xml:space="preserve"> </w:t>
      </w:r>
      <w:r>
        <w:t xml:space="preserve">{% endfor %}</w:t>
      </w:r>
      <w:r>
        <w:t xml:space="preserve"> </w:t>
      </w:r>
      <w:r>
        <w:t xml:space="preserve">{% else %}</w:t>
      </w:r>
      <w:r>
        <w:t xml:space="preserve"> </w:t>
      </w:r>
      <w:r>
        <w:rPr>
          <w:iCs/>
          <w:i/>
        </w:rPr>
        <w:t xml:space="preserve">La relación nominal de los servicios incluidos en el alcance se define en el documento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E-155 (Documento de Alcance del SGSI)</w:t>
      </w:r>
      <w:r>
        <w:rPr>
          <w:iCs/>
          <w:i/>
        </w:rPr>
        <w:t xml:space="preserve">.</w:t>
      </w:r>
      <w:r>
        <w:t xml:space="preserve"> </w:t>
      </w:r>
      <w:r>
        <w:t xml:space="preserve">{% endif %}</w:t>
      </w:r>
    </w:p>
    <w:bookmarkEnd w:id="23"/>
    <w:bookmarkStart w:id="24" w:name="X85bb2c51f9b53168c82db8afe18dc69432e4630"/>
    <w:p>
      <w:pPr>
        <w:pStyle w:val="Heading3"/>
      </w:pPr>
      <w:r>
        <w:t xml:space="preserve">2.3 Sistemas e infraestructura</w:t>
      </w:r>
    </w:p>
    <w:p>
      <w:pPr>
        <w:pStyle w:val="FirstParagraph"/>
      </w:pPr>
      <w:r>
        <w:t xml:space="preserve">{% if proyecto.alcance.sistemas %}</w:t>
      </w:r>
      <w:r>
        <w:t xml:space="preserve"> </w:t>
      </w:r>
      <w:r>
        <w:t xml:space="preserve">{% for sistema in proyecto.alcance.sistemas %}</w:t>
      </w:r>
    </w:p>
    <w:p>
      <w:pPr>
        <w:numPr>
          <w:ilvl w:val="0"/>
          <w:numId w:val="1002"/>
        </w:numPr>
        <w:pStyle w:val="Compact"/>
      </w:pPr>
      <w:r>
        <w:t xml:space="preserve">{{ sistema }}</w:t>
      </w:r>
      <w:r>
        <w:t xml:space="preserve"> </w:t>
      </w:r>
      <w:r>
        <w:t xml:space="preserve">{% endfor %}</w:t>
      </w:r>
      <w:r>
        <w:t xml:space="preserve"> </w:t>
      </w:r>
      <w:r>
        <w:t xml:space="preserve">{% else %}</w:t>
      </w:r>
      <w:r>
        <w:t xml:space="preserve"> </w:t>
      </w:r>
      <w:r>
        <w:rPr>
          <w:iCs/>
          <w:i/>
        </w:rPr>
        <w:t xml:space="preserve">El inventario de sistemas e infraestructura del alcance se detalla en el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Anexo V (Inventario de Activos)</w:t>
      </w:r>
      <w:r>
        <w:rPr>
          <w:iCs/>
          <w:i/>
        </w:rPr>
        <w:t xml:space="preserve"> </w:t>
      </w:r>
      <w:r>
        <w:rPr>
          <w:iCs/>
          <w:i/>
        </w:rPr>
        <w:t xml:space="preserve">y en el documento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E-155</w:t>
      </w:r>
      <w:r>
        <w:rPr>
          <w:iCs/>
          <w:i/>
        </w:rPr>
        <w:t xml:space="preserve">.</w:t>
      </w:r>
      <w:r>
        <w:t xml:space="preserve"> </w:t>
      </w:r>
      <w:r>
        <w:t xml:space="preserve">{% endif %}</w:t>
      </w:r>
    </w:p>
    <w:bookmarkEnd w:id="24"/>
    <w:bookmarkStart w:id="25" w:name="Xb104938de75b1e9f8b08649639514f4b2716275"/>
    <w:p>
      <w:pPr>
        <w:pStyle w:val="Heading3"/>
      </w:pPr>
      <w:r>
        <w:t xml:space="preserve">2.4 Sedes incluidas</w:t>
      </w:r>
    </w:p>
    <w:p>
      <w:pPr>
        <w:pStyle w:val="FirstParagraph"/>
      </w:pPr>
      <w:r>
        <w:t xml:space="preserve">{% if proyecto.alcance.sedes %}</w:t>
      </w:r>
      <w:r>
        <w:t xml:space="preserve"> </w:t>
      </w:r>
      <w:r>
        <w:t xml:space="preserve">{% for sede in proyecto.alcance.sedes %}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{{ sede.nombre }}</w:t>
      </w:r>
      <w:r>
        <w:t xml:space="preserve"> </w:t>
      </w:r>
      <w:r>
        <w:t xml:space="preserve">— {{ sede.direccion }} ({{ sede.tipo }})</w:t>
      </w:r>
      <w:r>
        <w:t xml:space="preserve"> </w:t>
      </w:r>
      <w:r>
        <w:t xml:space="preserve">{% endfor %}</w:t>
      </w:r>
      <w:r>
        <w:t xml:space="preserve"> </w:t>
      </w:r>
      <w:r>
        <w:t xml:space="preserve">{% else %}</w:t>
      </w:r>
      <w:r>
        <w:t xml:space="preserve"> </w:t>
      </w:r>
      <w:r>
        <w:rPr>
          <w:iCs/>
          <w:i/>
        </w:rPr>
        <w:t xml:space="preserve">Las sedes y ubicaciones (sedes físicas y regiones de servicios en la nube) incluidas en el alcance se relacionan en el documento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E-155</w:t>
      </w:r>
      <w:r>
        <w:rPr>
          <w:iCs/>
          <w:i/>
        </w:rPr>
        <w:t xml:space="preserve">.</w:t>
      </w:r>
      <w:r>
        <w:t xml:space="preserve"> </w:t>
      </w:r>
      <w:r>
        <w:t xml:space="preserve">{% endif %}</w:t>
      </w:r>
    </w:p>
    <w:bookmarkEnd w:id="25"/>
    <w:bookmarkStart w:id="26" w:name="X987d5fa47371eac360e290e672042c4e4229c23"/>
    <w:p>
      <w:pPr>
        <w:pStyle w:val="Heading3"/>
      </w:pPr>
      <w:r>
        <w:t xml:space="preserve">2.5 Exclusiones expresas</w:t>
      </w:r>
    </w:p>
    <w:p>
      <w:pPr>
        <w:pStyle w:val="FirstParagraph"/>
      </w:pPr>
      <w:r>
        <w:t xml:space="preserve">{% if proyecto.alcance.exclusiones %}</w:t>
      </w:r>
      <w:r>
        <w:t xml:space="preserve"> </w:t>
      </w:r>
      <w:r>
        <w:t xml:space="preserve">{% for exclusion in proyecto.alcance.exclusiones %}</w:t>
      </w:r>
    </w:p>
    <w:p>
      <w:pPr>
        <w:numPr>
          <w:ilvl w:val="0"/>
          <w:numId w:val="1004"/>
        </w:numPr>
        <w:pStyle w:val="Compact"/>
      </w:pPr>
      <w:r>
        <w:t xml:space="preserve">{{ exclusion }}</w:t>
      </w:r>
      <w:r>
        <w:t xml:space="preserve"> </w:t>
      </w:r>
      <w:r>
        <w:t xml:space="preserve">{% endfor %}</w:t>
      </w:r>
      <w:r>
        <w:t xml:space="preserve"> </w:t>
      </w:r>
      <w:r>
        <w:t xml:space="preserve">{% else %}</w:t>
      </w:r>
      <w:r>
        <w:t xml:space="preserve"> </w:t>
      </w:r>
      <w:r>
        <w:rPr>
          <w:iCs/>
          <w:i/>
        </w:rPr>
        <w:t xml:space="preserve">No se han definido exclusiones expresas al alcance del sistema. Cualquier exclusión deberá documentarse y justificarse en el documento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E-155</w:t>
      </w:r>
      <w:r>
        <w:rPr>
          <w:iCs/>
          <w:i/>
        </w:rPr>
        <w:t xml:space="preserve">.</w:t>
      </w:r>
      <w:r>
        <w:t xml:space="preserve"> </w:t>
      </w:r>
      <w:r>
        <w:t xml:space="preserve">{% endif %}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3b526310832f67e7022aa9455c9f0d62d2159a1"/>
    <w:p>
      <w:pPr>
        <w:pStyle w:val="Heading2"/>
      </w:pPr>
      <w:r>
        <w:t xml:space="preserve">3. METODOLOGÍA DEL PROYECTO</w:t>
      </w:r>
    </w:p>
    <w:p>
      <w:pPr>
        <w:pStyle w:val="FirstParagraph"/>
      </w:pPr>
      <w:r>
        <w:t xml:space="preserve">El proyecto se ha ejecutado siguiendo una metodología alineada con las guías CCN-STIC 805 (Política de Seguridad), 806 (Plan de Adecuación) y 808 (Verificación del cumplimiento del ENS) y con el ciclo PDCA de la norma UNE-EN ISO/IEC 27001:2022.</w:t>
      </w:r>
    </w:p>
    <w:p>
      <w:pPr>
        <w:pStyle w:val="BodyText"/>
      </w:pPr>
      <w:r>
        <w:t xml:space="preserve">Las fases ejecutadas han sido:</w:t>
      </w:r>
    </w:p>
    <w:p>
      <w:pPr>
        <w:pStyle w:val="BodyText"/>
      </w:pPr>
      <w:r>
        <w:t xml:space="preserve">{% if informe.fases %}</w:t>
      </w:r>
      <w:r>
        <w:t xml:space="preserve"> </w:t>
      </w:r>
      <w:r>
        <w:t xml:space="preserve">{% for fase in informe.fases %}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Fase {{ loop.index }}. {{ fase.nombre }}</w:t>
      </w:r>
      <w:r>
        <w:t xml:space="preserve"> </w:t>
      </w:r>
      <w:r>
        <w:t xml:space="preserve">— {{ fase.descripcion }} · duración real: {{ fase.duracion_real }} sem. · estado: {{ fase.estado }}</w:t>
      </w:r>
      <w:r>
        <w:t xml:space="preserve"> </w:t>
      </w:r>
      <w:r>
        <w:t xml:space="preserve">{% endfor %}</w:t>
      </w:r>
      <w:r>
        <w:t xml:space="preserve"> </w:t>
      </w:r>
      <w:r>
        <w:t xml:space="preserve">{% else %}</w:t>
      </w:r>
      <w:r>
        <w:t xml:space="preserve"> </w:t>
      </w:r>
      <w:r>
        <w:rPr>
          <w:iCs/>
          <w:i/>
        </w:rPr>
        <w:t xml:space="preserve">El cronograma y las fases ejecutadas del proyecto se detallan en el Plan de Adecuación (E-150) y en el Plan de Trabajo del proyecto.</w:t>
      </w:r>
      <w:r>
        <w:t xml:space="preserve"> </w:t>
      </w:r>
      <w:r>
        <w:t xml:space="preserve">{% endif %}</w:t>
      </w:r>
    </w:p>
    <w:p>
      <w:r>
        <w:pict>
          <v:rect style="width:0;height:1.5pt" o:hralign="center" o:hrstd="t" o:hr="t"/>
        </w:pict>
      </w:r>
    </w:p>
    <w:bookmarkEnd w:id="28"/>
    <w:bookmarkStart w:id="31" w:name="X0f3c2d962369215b1a6eb7ef51a2dd1c36b4375"/>
    <w:p>
      <w:pPr>
        <w:pStyle w:val="Heading2"/>
      </w:pPr>
      <w:r>
        <w:t xml:space="preserve">4. CATEGORIZACIÓN DEL SISTEMA</w:t>
      </w:r>
    </w:p>
    <w:bookmarkStart w:id="29" w:name="Xfa4e8d96b25d99303fa00be636f6f437561795e"/>
    <w:p>
      <w:pPr>
        <w:pStyle w:val="Heading3"/>
      </w:pPr>
      <w:r>
        <w:t xml:space="preserve">4.1 Análisis de impacto sobre las dimensiones de seguridad</w:t>
      </w:r>
    </w:p>
    <w:p>
      <w:pPr>
        <w:pStyle w:val="FirstParagraph"/>
      </w:pPr>
      <w:r>
        <w:t xml:space="preserve">Conforme a los criterios del Anexo I del Real Decreto 311/2022 y de la guía CCN-STIC 803, se ha realizado el análisis de impacto sobre las cinco dimensiones de seguridad (Confidencialidad, Integridad, Trazabilidad, Autenticidad y Disponibilidad), con el siguiente resultado: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 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Confidencialidad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informe.dimensiones.confidencialidad.nivel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informe.dimensiones.confidencialidad.justificacion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informe.dimensiones.integridad.nivel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informe.dimensiones.integridad.justificacion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Trazabilidad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informe.dimensiones.trazabilidad.nivel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informe.dimensiones.trazabilidad.justificacion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Autenticidad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informe.dimensiones.autenticidad.nivel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informe.dimensiones.autenticidad.justificacion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Disponibilidad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informe.dimensiones.disponibilidad.nivel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informe.dimensiones.disponibilidad.justificacion }}</w:t>
            </w:r>
          </w:p>
        </w:tc>
      </w:tr>
    </w:tbl>
    <w:bookmarkEnd w:id="29"/>
    <w:bookmarkStart w:id="30" w:name="X8b00d84bb200586abc8411dc9157e8698bf4a00"/>
    <w:p>
      <w:pPr>
        <w:pStyle w:val="Heading3"/>
      </w:pPr>
      <w:r>
        <w:t xml:space="preserve">4.2 Categoría del sistema</w:t>
      </w:r>
    </w:p>
    <w:p>
      <w:pPr>
        <w:pStyle w:val="FirstParagraph"/>
      </w:pPr>
      <w:r>
        <w:t xml:space="preserve">Por aplicación del criterio de</w:t>
      </w:r>
      <w:r>
        <w:t xml:space="preserve"> </w:t>
      </w:r>
      <w:r>
        <w:rPr>
          <w:bCs/>
          <w:b/>
        </w:rPr>
        <w:t xml:space="preserve">categoría máxima de las dimensiones</w:t>
      </w:r>
      <w:r>
        <w:t xml:space="preserve">, la categoría del sistema completo es</w:t>
      </w:r>
      <w:r>
        <w:t xml:space="preserve"> </w:t>
      </w:r>
      <w:r>
        <w:rPr>
          <w:bCs/>
          <w:b/>
        </w:rPr>
        <w:t xml:space="preserve">{{ proyecto.categoria_ens }}</w:t>
      </w:r>
      <w:r>
        <w:t xml:space="preserve">.</w:t>
      </w:r>
    </w:p>
    <w:p>
      <w:pPr>
        <w:pStyle w:val="BodyText"/>
      </w:pPr>
      <w:r>
        <w:t xml:space="preserve">Esta categoría ha sido formalmente aprobada por el Comité de Seguridad de {{ cliente.razon_social }} con fecha {{ informe.fecha_aprobacion_categoria }}.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X607835714aa013e65b9bce6fb11a4609b31ec54"/>
    <w:p>
      <w:pPr>
        <w:pStyle w:val="Heading2"/>
      </w:pPr>
      <w:r>
        <w:t xml:space="preserve">5. ANÁLISIS DE RIESGOS</w:t>
      </w:r>
    </w:p>
    <w:bookmarkStart w:id="32" w:name="X92bf9a0196664dda4f5bcea6e29740b42ca9107"/>
    <w:p>
      <w:pPr>
        <w:pStyle w:val="Heading3"/>
      </w:pPr>
      <w:r>
        <w:t xml:space="preserve">5.1 Metodología</w:t>
      </w:r>
    </w:p>
    <w:p>
      <w:pPr>
        <w:pStyle w:val="FirstParagraph"/>
      </w:pPr>
      <w:r>
        <w:t xml:space="preserve">El análisis de riesgos se ha realizado conforme a la metodología</w:t>
      </w:r>
      <w:r>
        <w:t xml:space="preserve"> </w:t>
      </w:r>
      <w:r>
        <w:rPr>
          <w:bCs/>
          <w:b/>
        </w:rPr>
        <w:t xml:space="preserve">MAGERIT versión 3</w:t>
      </w:r>
      <w:r>
        <w:t xml:space="preserve"> </w:t>
      </w:r>
      <w:r>
        <w:t xml:space="preserve">del Consejo Superior de Administración Electrónica, siguiendo el procedimiento E-AR-001 (Procedimiento de Análisis y Gestión de Riesgos) implantado en el SGSI.</w:t>
      </w:r>
    </w:p>
    <w:bookmarkEnd w:id="32"/>
    <w:bookmarkStart w:id="33" w:name="Xb10a668ae9ceaefbd0cbd5e5363e03d4e8f25b3"/>
    <w:p>
      <w:pPr>
        <w:pStyle w:val="Heading3"/>
      </w:pPr>
      <w:r>
        <w:t xml:space="preserve">5.2 Inventario de activos</w:t>
      </w:r>
    </w:p>
    <w:p>
      <w:pPr>
        <w:pStyle w:val="FirstParagraph"/>
      </w:pPr>
      <w:r>
        <w:t xml:space="preserve">{% if informe.activos.total %}</w:t>
      </w:r>
      <w:r>
        <w:t xml:space="preserve"> </w:t>
      </w:r>
      <w:r>
        <w:t xml:space="preserve">Se han identificado e inventariado un total de</w:t>
      </w:r>
      <w:r>
        <w:t xml:space="preserve"> </w:t>
      </w:r>
      <w:r>
        <w:rPr>
          <w:bCs/>
          <w:b/>
        </w:rPr>
        <w:t xml:space="preserve">{{ informe.activos.total }} activos</w:t>
      </w:r>
      <w:r>
        <w:t xml:space="preserve"> </w:t>
      </w:r>
      <w:r>
        <w:t xml:space="preserve">distribuidos según la taxonomía MAGERIT v3: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 de activo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informe.activos.servicios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informe.activos.informacion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informe.activos.software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informe.activos.hardware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Comunicaciones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informe.activos.comunicaciones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Soportes de información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informe.activos.soportes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Equipamiento auxiliar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informe.activos.auxiliar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informe.activos.instalaciones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informe.activos.personal }}</w:t>
            </w:r>
          </w:p>
        </w:tc>
      </w:tr>
    </w:tbl>
    <w:p>
      <w:pPr>
        <w:pStyle w:val="BodyText"/>
      </w:pPr>
      <w:r>
        <w:t xml:space="preserve">{% else %}</w:t>
      </w:r>
      <w:r>
        <w:t xml:space="preserve"> </w:t>
      </w:r>
      <w:r>
        <w:rPr>
          <w:iCs/>
          <w:i/>
        </w:rPr>
        <w:t xml:space="preserve">El inventario detallado de activos del sistema, clasificado según la taxonomía MAGERIT v3, se incorpora como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Anexo V (Inventario de Activos)</w:t>
      </w:r>
      <w:r>
        <w:rPr>
          <w:iCs/>
          <w:i/>
        </w:rPr>
        <w:t xml:space="preserve"> </w:t>
      </w:r>
      <w:r>
        <w:rPr>
          <w:iCs/>
          <w:i/>
        </w:rPr>
        <w:t xml:space="preserve">del presente informe.</w:t>
      </w:r>
      <w:r>
        <w:t xml:space="preserve"> </w:t>
      </w:r>
      <w:r>
        <w:t xml:space="preserve">{% endif %}</w:t>
      </w:r>
    </w:p>
    <w:bookmarkEnd w:id="33"/>
    <w:bookmarkStart w:id="34" w:name="Xda891f1da80f4bd3a9812dbd630d6d73a171bc2"/>
    <w:p>
      <w:pPr>
        <w:pStyle w:val="Heading3"/>
      </w:pPr>
      <w:r>
        <w:t xml:space="preserve">5.3 Resumen del análisis de riesgos</w:t>
      </w:r>
    </w:p>
    <w:p>
      <w:pPr>
        <w:pStyle w:val="FirstParagraph"/>
      </w:pPr>
      <w:r>
        <w:t xml:space="preserve">{% if informe.riesgos.pares_analizados %}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Amenazas identificadas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informe.riesgos.amenazas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Pares activo-amenaza analizados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informe.riesgos.pares_analizados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Riesgos intrínsecos identificados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informe.riesgos.intrinsecos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Riesgos residuales tras salvaguardas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informe.riesgos.residuales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Riesgos residuales por encima del umbral de aceptación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informe.riesgos.por_encima_umbral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Riesgos residuales aceptados formalmente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informe.riesgos.aceptados }}</w:t>
            </w:r>
          </w:p>
        </w:tc>
      </w:tr>
    </w:tbl>
    <w:p>
      <w:pPr>
        <w:pStyle w:val="BodyText"/>
      </w:pPr>
      <w:r>
        <w:t xml:space="preserve">{% else %}</w:t>
      </w:r>
      <w:r>
        <w:t xml:space="preserve"> </w:t>
      </w:r>
      <w:r>
        <w:rPr>
          <w:iCs/>
          <w:i/>
        </w:rPr>
        <w:t xml:space="preserve">El detalle cuantitativo del análisis de riesgos (amenazas, riesgos intrínsecos y residuales) se incorpora como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Anexo I (Análisis de Riesgos completo)</w:t>
      </w:r>
      <w:r>
        <w:rPr>
          <w:iCs/>
          <w:i/>
        </w:rPr>
        <w:t xml:space="preserve"> </w:t>
      </w:r>
      <w:r>
        <w:rPr>
          <w:iCs/>
          <w:i/>
        </w:rPr>
        <w:t xml:space="preserve">del presente informe.</w:t>
      </w:r>
      <w:r>
        <w:t xml:space="preserve"> </w:t>
      </w:r>
      <w:r>
        <w:t xml:space="preserve">{% endif %}</w:t>
      </w:r>
    </w:p>
    <w:bookmarkEnd w:id="34"/>
    <w:bookmarkStart w:id="35" w:name="Xa4610237fae78e683af66d83a661743ae46b344"/>
    <w:p>
      <w:pPr>
        <w:pStyle w:val="Heading3"/>
      </w:pPr>
      <w:r>
        <w:t xml:space="preserve">5.4 Plan de Tratamiento de Riesgos</w:t>
      </w:r>
    </w:p>
    <w:p>
      <w:pPr>
        <w:pStyle w:val="FirstParagraph"/>
      </w:pPr>
      <w:r>
        <w:t xml:space="preserve">{% if informe.riesgos.acciones_plan %}</w:t>
      </w:r>
      <w:r>
        <w:t xml:space="preserve"> </w:t>
      </w:r>
      <w:r>
        <w:t xml:space="preserve">El Plan de Tratamiento de Riesgos derivado del análisis incluye</w:t>
      </w:r>
      <w:r>
        <w:t xml:space="preserve"> </w:t>
      </w:r>
      <w:r>
        <w:rPr>
          <w:bCs/>
          <w:b/>
        </w:rPr>
        <w:t xml:space="preserve">{{ informe.riesgos.acciones_plan }} acciones</w:t>
      </w:r>
      <w:r>
        <w:t xml:space="preserve">, distribuidas según la opción de tratamiento: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Mitigar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informe.riesgos.mitigar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informe.riesgos.transferir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informe.riesgos.evitar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Aceptar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informe.riesgos.aceptar }}</w:t>
            </w:r>
          </w:p>
        </w:tc>
      </w:tr>
    </w:tbl>
    <w:p>
      <w:pPr>
        <w:pStyle w:val="BodyText"/>
      </w:pPr>
      <w:r>
        <w:t xml:space="preserve">A la fecha del presente informe, el</w:t>
      </w:r>
      <w:r>
        <w:t xml:space="preserve"> </w:t>
      </w:r>
      <w:r>
        <w:rPr>
          <w:bCs/>
          <w:b/>
        </w:rPr>
        <w:t xml:space="preserve">{{ informe.riesgos.porcentaje_completado }}%</w:t>
      </w:r>
      <w:r>
        <w:t xml:space="preserve"> </w:t>
      </w:r>
      <w:r>
        <w:t xml:space="preserve">de las acciones del Plan han sido completadas.</w:t>
      </w:r>
      <w:r>
        <w:t xml:space="preserve"> </w:t>
      </w:r>
      <w:r>
        <w:t xml:space="preserve">{% else %}</w:t>
      </w:r>
      <w:r>
        <w:t xml:space="preserve"> </w:t>
      </w:r>
      <w:r>
        <w:rPr>
          <w:iCs/>
          <w:i/>
        </w:rPr>
        <w:t xml:space="preserve">El Plan de Tratamiento de Riesgos, con las acciones de tratamiento (mitigar, transferir, evitar o aceptar) y su grado de avance, se incorpora como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Anexo IV</w:t>
      </w:r>
      <w:r>
        <w:rPr>
          <w:iCs/>
          <w:i/>
        </w:rPr>
        <w:t xml:space="preserve"> </w:t>
      </w:r>
      <w:r>
        <w:rPr>
          <w:iCs/>
          <w:i/>
        </w:rPr>
        <w:t xml:space="preserve">del presente informe.</w:t>
      </w:r>
      <w:r>
        <w:t xml:space="preserve"> </w:t>
      </w:r>
      <w:r>
        <w:t xml:space="preserve">{% endif %}</w:t>
      </w:r>
    </w:p>
    <w:p>
      <w:pPr>
        <w:pStyle w:val="BodyText"/>
      </w:pPr>
      <w:r>
        <w:t xml:space="preserve">El Análisis de Riesgos completo se incorpora como</w:t>
      </w:r>
      <w:r>
        <w:t xml:space="preserve"> </w:t>
      </w:r>
      <w:r>
        <w:rPr>
          <w:bCs/>
          <w:b/>
        </w:rPr>
        <w:t xml:space="preserve">Anexo I</w:t>
      </w:r>
      <w:r>
        <w:t xml:space="preserve"> </w:t>
      </w:r>
      <w:r>
        <w:t xml:space="preserve">del presente informe.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X27466215b83163840893104fa772640b8e59e5c"/>
    <w:p>
      <w:pPr>
        <w:pStyle w:val="Heading2"/>
      </w:pPr>
      <w:r>
        <w:t xml:space="preserve">6. DECLARACIÓN DE APLICABILIDAD (DOA)</w:t>
      </w:r>
    </w:p>
    <w:p>
      <w:pPr>
        <w:pStyle w:val="FirstParagraph"/>
      </w:pPr>
      <w:r>
        <w:t xml:space="preserve">Se ha elaborado la</w:t>
      </w:r>
      <w:r>
        <w:t xml:space="preserve"> </w:t>
      </w:r>
      <w:r>
        <w:rPr>
          <w:bCs/>
          <w:b/>
        </w:rPr>
        <w:t xml:space="preserve">Declaración de Aplicabilidad</w:t>
      </w:r>
      <w:r>
        <w:t xml:space="preserve"> </w:t>
      </w:r>
      <w:r>
        <w:t xml:space="preserve">del sistema, que documenta para cada una de las medidas del Anexo II del Real Decreto 311/2022:</w:t>
      </w:r>
    </w:p>
    <w:p>
      <w:pPr>
        <w:pStyle w:val="BodyText"/>
      </w:pPr>
      <w:r>
        <w:t xml:space="preserve">a) Si la medida es aplicable al sistema atendiendo a su categoría.</w:t>
      </w:r>
      <w:r>
        <w:t xml:space="preserve"> </w:t>
      </w:r>
      <w:r>
        <w:t xml:space="preserve">b) Si la medida está implantada y, en caso negativo, la justificación.</w:t>
      </w:r>
      <w:r>
        <w:t xml:space="preserve"> </w:t>
      </w:r>
      <w:r>
        <w:t xml:space="preserve">c) La eficacia estimada de la implantación.</w:t>
      </w:r>
      <w:r>
        <w:t xml:space="preserve"> </w:t>
      </w:r>
      <w:r>
        <w:t xml:space="preserve">d) Las evidencias asociadas.</w:t>
      </w:r>
    </w:p>
    <w:p>
      <w:pPr>
        <w:pStyle w:val="BodyText"/>
      </w:pPr>
      <w:r>
        <w:t xml:space="preserve">La Declaración de Aplicabilidad completa se incorpora como</w:t>
      </w:r>
      <w:r>
        <w:t xml:space="preserve"> </w:t>
      </w:r>
      <w:r>
        <w:rPr>
          <w:bCs/>
          <w:b/>
        </w:rPr>
        <w:t xml:space="preserve">Anexo II</w:t>
      </w:r>
      <w:r>
        <w:t xml:space="preserve"> </w:t>
      </w:r>
      <w:r>
        <w:t xml:space="preserve">del presente informe.</w:t>
      </w:r>
    </w:p>
    <w:bookmarkStart w:id="37" w:name="Xc7feaf4af23db4f39c7a7da74ab8152a9256824"/>
    <w:p>
      <w:pPr>
        <w:pStyle w:val="Heading3"/>
      </w:pPr>
      <w:r>
        <w:t xml:space="preserve">6.1 Resumen de aplicabilidad por familia de medidas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Familia 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Medidas aplicables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Implantadas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Cumplimiento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Marco organizativo (org)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informe.cumplimiento.org.aplicables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informe.cumplimiento.org.implantadas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informe.cumplimiento.org.porcentaje }}%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Marco operacional / Planificación (op.pl)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informe.cumplimiento.op_pl.aplicables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informe.cumplimiento.op_pl.implantadas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informe.cumplimiento.op_pl.porcentaje }}%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Marco operacional / Control de acceso (op.acc)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informe.cumplimiento.op_acc.aplicables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informe.cumplimiento.op_acc.implantadas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informe.cumplimiento.op_acc.porcentaje }}%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Marco operacional / Explotación (op.exp)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informe.cumplimiento.op_exp.aplicables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informe.cumplimiento.op_exp.implantadas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informe.cumplimiento.op_exp.porcentaje }}%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Marco operacional / Servicios externos (op.ext)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informe.cumplimiento.op_ext.aplicables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informe.cumplimiento.op_ext.implantadas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informe.cumplimiento.op_ext.porcentaje }}%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Marco operacional / Servicios en la nube (op.nub)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informe.cumplimiento.op_nub.aplicables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informe.cumplimiento.op_nub.implantadas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informe.cumplimiento.op_nub.porcentaje }}%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Marco operacional / Continuidad (op.cont)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informe.cumplimiento.op_cont.aplicables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informe.cumplimiento.op_cont.implantadas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informe.cumplimiento.op_cont.porcentaje }}%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Marco operacional / Monitorización (op.mon)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informe.cumplimiento.op_mon.aplicables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informe.cumplimiento.op_mon.implantadas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informe.cumplimiento.op_mon.porcentaje }}%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Medidas de protección / Instalaciones (mp.if)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informe.cumplimiento.mp_if.aplicables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informe.cumplimiento.mp_if.implantadas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informe.cumplimiento.mp_if.porcentaje }}%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Medidas de protección / Personal (mp.per)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informe.cumplimiento.mp_per.aplicables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informe.cumplimiento.mp_per.implantadas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informe.cumplimiento.mp_per.porcentaje }}%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Medidas de protección / Equipos (mp.eq)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informe.cumplimiento.mp_eq.aplicables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informe.cumplimiento.mp_eq.implantadas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informe.cumplimiento.mp_eq.porcentaje }}%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Medidas de protección / Comunicaciones (mp.com)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informe.cumplimiento.mp_com.aplicables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informe.cumplimiento.mp_com.implantadas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informe.cumplimiento.mp_com.porcentaje }}%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Medidas de protección / Sistemas información (mp.si)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informe.cumplimiento.mp_si.aplicables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informe.cumplimiento.mp_si.implantadas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informe.cumplimiento.mp_si.porcentaje }}%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Medidas de protección / Software (mp.sw)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informe.cumplimiento.mp_sw.aplicables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informe.cumplimiento.mp_sw.implantadas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informe.cumplimiento.mp_sw.porcentaje }}%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Medidas de protección / Información (mp.info)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informe.cumplimiento.mp_info.aplicables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informe.cumplimiento.mp_info.implantadas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informe.cumplimiento.mp_info.porcentaje }}%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Medidas de protección / Servicios (mp.s)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informe.cumplimiento.mp_s.aplicables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informe.cumplimiento.mp_s.implantadas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informe.cumplimiento.mp_s.porcentaje }}%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informe.cumplimiento.total.aplicables }}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informe.cumplimiento.total.implantadas }}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informe.cumplimiento.total.porcentaje }}%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1" w:name="X324c5116ffca9f4c2895134274a2943b0283447"/>
    <w:p>
      <w:pPr>
        <w:pStyle w:val="Heading2"/>
      </w:pPr>
      <w:r>
        <w:t xml:space="preserve">7. CUERPO NORMATIVO DEL SGSI IMPLANTADO</w:t>
      </w:r>
    </w:p>
    <w:p>
      <w:pPr>
        <w:pStyle w:val="FirstParagraph"/>
      </w:pPr>
      <w:r>
        <w:t xml:space="preserve">Como resultado del proyecto, {{ cliente.razon_social }} dispone del siguiente cuerpo normativo del SGSI, formalmente aprobado por el órgano de gobierno superior:</w:t>
      </w:r>
    </w:p>
    <w:bookmarkStart w:id="39" w:name="X936a93e8ea6ef9d304a6be9ad3f304e93e163f9"/>
    <w:p>
      <w:pPr>
        <w:pStyle w:val="Heading3"/>
      </w:pPr>
      <w:r>
        <w:t xml:space="preserve">7.1 Políticas</w:t>
      </w:r>
    </w:p>
    <w:p>
      <w:pPr>
        <w:pStyle w:val="FirstParagraph"/>
      </w:pPr>
      <w:r>
        <w:t xml:space="preserve">{% if informe.cuerpo_normativo.politicas %}</w:t>
      </w:r>
      <w:r>
        <w:t xml:space="preserve"> </w:t>
      </w:r>
      <w:r>
        <w:t xml:space="preserve">{% for doc in informe.cuerpo_normativo.politicas %}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{{ doc.codigo }}</w:t>
      </w:r>
      <w:r>
        <w:t xml:space="preserve"> </w:t>
      </w:r>
      <w:r>
        <w:t xml:space="preserve">— {{ doc.nombre }} (versión {{ doc.version }} · aprobada {{ doc.fecha }})</w:t>
      </w:r>
      <w:r>
        <w:t xml:space="preserve"> </w:t>
      </w:r>
      <w:r>
        <w:t xml:space="preserve">{% endfor %}</w:t>
      </w:r>
      <w:r>
        <w:t xml:space="preserve"> </w:t>
      </w:r>
      <w:r>
        <w:t xml:space="preserve">{% else %}</w:t>
      </w:r>
      <w:r>
        <w:t xml:space="preserve"> </w:t>
      </w:r>
      <w:r>
        <w:rPr>
          <w:iCs/>
          <w:i/>
        </w:rPr>
        <w:t xml:space="preserve">Las políticas del SGSI se incorporan, en su versión aprobada y firmada, como parte del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Anexo VI — Cuerpo normativo completo del SGSI</w:t>
      </w:r>
      <w:r>
        <w:rPr>
          <w:iCs/>
          <w:i/>
        </w:rPr>
        <w:t xml:space="preserve">.</w:t>
      </w:r>
      <w:r>
        <w:t xml:space="preserve"> </w:t>
      </w:r>
      <w:r>
        <w:t xml:space="preserve">{% endif %}</w:t>
      </w:r>
    </w:p>
    <w:bookmarkEnd w:id="39"/>
    <w:bookmarkStart w:id="40" w:name="X90d74ec109a3e0de782e7ae3cd134d228989278"/>
    <w:p>
      <w:pPr>
        <w:pStyle w:val="Heading3"/>
      </w:pPr>
      <w:r>
        <w:t xml:space="preserve">7.2 Procedimientos operativos</w:t>
      </w:r>
    </w:p>
    <w:p>
      <w:pPr>
        <w:pStyle w:val="FirstParagraph"/>
      </w:pPr>
      <w:r>
        <w:t xml:space="preserve">{% if informe.cuerpo_normativo.procedimientos %}</w:t>
      </w:r>
      <w:r>
        <w:t xml:space="preserve"> </w:t>
      </w:r>
      <w:r>
        <w:t xml:space="preserve">{% for doc in informe.cuerpo_normativo.procedimientos %}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{{ doc.codigo }}</w:t>
      </w:r>
      <w:r>
        <w:t xml:space="preserve"> </w:t>
      </w:r>
      <w:r>
        <w:t xml:space="preserve">— {{ doc.nombre }} (versión {{ doc.version }})</w:t>
      </w:r>
      <w:r>
        <w:t xml:space="preserve"> </w:t>
      </w:r>
      <w:r>
        <w:t xml:space="preserve">{% endfor %}</w:t>
      </w:r>
      <w:r>
        <w:t xml:space="preserve"> </w:t>
      </w:r>
      <w:r>
        <w:t xml:space="preserve">{% else %}</w:t>
      </w:r>
      <w:r>
        <w:t xml:space="preserve"> </w:t>
      </w:r>
      <w:r>
        <w:rPr>
          <w:iCs/>
          <w:i/>
        </w:rPr>
        <w:t xml:space="preserve">Los procedimientos operativos del SGSI se incorporan, en su versión aprobada y firmada, como parte del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Anexo VI — Cuerpo normativo completo del SGSI</w:t>
      </w:r>
      <w:r>
        <w:rPr>
          <w:iCs/>
          <w:i/>
        </w:rPr>
        <w:t xml:space="preserve">.</w:t>
      </w:r>
      <w:r>
        <w:t xml:space="preserve"> </w:t>
      </w:r>
      <w:r>
        <w:t xml:space="preserve">{% endif %}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Xc5f2a10974249862fc2777bd212f56447b3ed91"/>
    <w:p>
      <w:pPr>
        <w:pStyle w:val="Heading2"/>
      </w:pPr>
      <w:r>
        <w:t xml:space="preserve">8. EVIDENCIAS RECOPILADAS</w:t>
      </w:r>
    </w:p>
    <w:p>
      <w:pPr>
        <w:pStyle w:val="FirstParagraph"/>
      </w:pPr>
      <w:r>
        <w:t xml:space="preserve">Durante el proyecto se han recopilado y archivado las siguientes evidencias del cumplimiento de las medidas implantadas:</w:t>
      </w:r>
    </w:p>
    <w:p>
      <w:pPr>
        <w:pStyle w:val="BodyText"/>
      </w:pPr>
      <w:r>
        <w:t xml:space="preserve">{% if informe.evidencias.total %}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 de evidencia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Actas de aprobación de políticas y procedimientos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informe.evidencias.actas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Registros de formación y concienciación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informe.evidencias.formacion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Informes de análisis de riesgos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informe.evidencias.riesgos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Capturas de configuración de sistemas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informe.evidencias.configuraciones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Registros de pruebas de restauración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informe.evidencias.restauracion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Informes de auditoría interna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informe.evidencias.auditoria_interna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Registros de gestión de incidentes simulados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informe.evidencias.incidentes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Cuestionarios de evaluación de proveedores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informe.evidencias.proveedores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Informes de pentesting / vulnerabilidades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informe.evidencias.vulnerabilidades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informe.evidencias.total }}</w:t>
            </w:r>
          </w:p>
        </w:tc>
      </w:tr>
    </w:tbl>
    <w:p>
      <w:pPr>
        <w:pStyle w:val="BodyText"/>
      </w:pPr>
      <w:r>
        <w:t xml:space="preserve">{% else %}</w:t>
      </w:r>
      <w:r>
        <w:t xml:space="preserve"> </w:t>
      </w:r>
      <w:r>
        <w:rPr>
          <w:iCs/>
          <w:i/>
        </w:rPr>
        <w:t xml:space="preserve">El registro completo de las evidencias recopiladas durante el proyecto, con su tipología y trazabilidad, se incorpora como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Anexo VII (Registro de evidencias)</w:t>
      </w:r>
      <w:r>
        <w:rPr>
          <w:iCs/>
          <w:i/>
        </w:rPr>
        <w:t xml:space="preserve"> </w:t>
      </w:r>
      <w:r>
        <w:rPr>
          <w:iCs/>
          <w:i/>
        </w:rPr>
        <w:t xml:space="preserve">del presente informe.</w:t>
      </w:r>
      <w:r>
        <w:t xml:space="preserve"> </w:t>
      </w:r>
      <w:r>
        <w:t xml:space="preserve">{% endif %}</w:t>
      </w:r>
    </w:p>
    <w:p>
      <w:pPr>
        <w:pStyle w:val="BodyText"/>
      </w:pPr>
      <w:r>
        <w:t xml:space="preserve">Todas las evidencias se conservan en el repositorio documental del SGSI, conforme al procedimiento E-203 y a los plazos de retención establecidos.</w:t>
      </w:r>
    </w:p>
    <w:p>
      <w:r>
        <w:pict>
          <v:rect style="width:0;height:1.5pt" o:hralign="center" o:hrstd="t" o:hr="t"/>
        </w:pict>
      </w:r>
    </w:p>
    <w:bookmarkEnd w:id="42"/>
    <w:bookmarkStart w:id="45" w:name="X1930121457b66b9c4711c36bfb03e4fb5fd184e"/>
    <w:p>
      <w:pPr>
        <w:pStyle w:val="Heading2"/>
      </w:pPr>
      <w:r>
        <w:t xml:space="preserve">9. GAPS RESIDUALES Y EXCEPCIONES</w:t>
      </w:r>
    </w:p>
    <w:bookmarkStart w:id="43" w:name="X1318c17a95aa99e8f7e74451123effd57e65eed"/>
    <w:p>
      <w:pPr>
        <w:pStyle w:val="Heading3"/>
      </w:pPr>
      <w:r>
        <w:t xml:space="preserve">9.1 Gaps residuales identificados</w:t>
      </w:r>
    </w:p>
    <w:p>
      <w:pPr>
        <w:pStyle w:val="FirstParagraph"/>
      </w:pPr>
      <w:r>
        <w:t xml:space="preserve">A la fecha del presente informe, los siguientes gaps residuales han sido identificados y aceptados formalmente por el Comité de Seguridad:</w:t>
      </w:r>
    </w:p>
    <w:p>
      <w:pPr>
        <w:pStyle w:val="BodyText"/>
      </w:pPr>
      <w:r>
        <w:t xml:space="preserve">{% if informe.gaps %}</w:t>
      </w:r>
      <w:r>
        <w:t xml:space="preserve"> </w:t>
      </w:r>
      <w:r>
        <w:t xml:space="preserve">{% for gap in informe.gaps %}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{{ gap.medida_ens }}</w:t>
      </w:r>
      <w:r>
        <w:t xml:space="preserve"> </w:t>
      </w:r>
      <w:r>
        <w:t xml:space="preserve">— {{ gap.descripcion }} · riesgo asociado: {{ gap.riesgo }} · acción comprometida: {{ gap.accion }} · plazo: {{ gap.plazo }}</w:t>
      </w:r>
      <w:r>
        <w:t xml:space="preserve"> </w:t>
      </w:r>
      <w:r>
        <w:t xml:space="preserve">{% endfor %}</w:t>
      </w:r>
      <w:r>
        <w:t xml:space="preserve"> </w:t>
      </w:r>
      <w:r>
        <w:t xml:space="preserve">{% else %}</w:t>
      </w:r>
      <w:r>
        <w:t xml:space="preserve"> </w:t>
      </w:r>
      <w:r>
        <w:rPr>
          <w:iCs/>
          <w:i/>
        </w:rPr>
        <w:t xml:space="preserve">No se han identificado gaps residuales relevantes a la fecha del presente informe.</w:t>
      </w:r>
      <w:r>
        <w:t xml:space="preserve"> </w:t>
      </w:r>
      <w:r>
        <w:t xml:space="preserve">{% endif %}</w:t>
      </w:r>
    </w:p>
    <w:bookmarkEnd w:id="43"/>
    <w:bookmarkStart w:id="44" w:name="Xf20fa696f53f7a407128e352f562859b5367797"/>
    <w:p>
      <w:pPr>
        <w:pStyle w:val="Heading3"/>
      </w:pPr>
      <w:r>
        <w:t xml:space="preserve">9.2 Excepciones autorizadas</w:t>
      </w:r>
    </w:p>
    <w:p>
      <w:pPr>
        <w:pStyle w:val="FirstParagraph"/>
      </w:pPr>
      <w:r>
        <w:t xml:space="preserve">{% if informe.excepciones %}</w:t>
      </w:r>
      <w:r>
        <w:t xml:space="preserve"> </w:t>
      </w:r>
      <w:r>
        <w:t xml:space="preserve">Las siguientes excepciones han sido formalmente autorizadas por el Responsable de la Seguridad y, cuando ha procedido, por el Comité de Seguridad:</w:t>
      </w:r>
    </w:p>
    <w:p>
      <w:pPr>
        <w:pStyle w:val="BodyText"/>
      </w:pPr>
      <w:r>
        <w:t xml:space="preserve">{% for exc in informe.excepciones %}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{{ exc.norma }}</w:t>
      </w:r>
      <w:r>
        <w:t xml:space="preserve"> </w:t>
      </w:r>
      <w:r>
        <w:t xml:space="preserve">— {{ exc.justificacion }} · vigencia: {{ exc.vigencia }} · mitigación compensatoria: {{ exc.mitigacion }}</w:t>
      </w:r>
      <w:r>
        <w:t xml:space="preserve"> </w:t>
      </w:r>
      <w:r>
        <w:t xml:space="preserve">{% endfor %}</w:t>
      </w:r>
      <w:r>
        <w:t xml:space="preserve"> </w:t>
      </w:r>
      <w:r>
        <w:t xml:space="preserve">{% else %}</w:t>
      </w:r>
      <w:r>
        <w:t xml:space="preserve"> </w:t>
      </w:r>
      <w:r>
        <w:rPr>
          <w:iCs/>
          <w:i/>
        </w:rPr>
        <w:t xml:space="preserve">No se han autorizado excepciones a la fecha del presente informe.</w:t>
      </w:r>
      <w:r>
        <w:t xml:space="preserve"> </w:t>
      </w:r>
      <w:r>
        <w:t xml:space="preserve">{% endif %}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X9ae2a050f5c9373dc7d370b9a71da8e37661d48"/>
    <w:p>
      <w:pPr>
        <w:pStyle w:val="Heading2"/>
      </w:pPr>
      <w:r>
        <w:t xml:space="preserve">10. AUDITORÍA INTERNA REALIZADA</w:t>
      </w:r>
    </w:p>
    <w:p>
      <w:pPr>
        <w:pStyle w:val="FirstParagraph"/>
      </w:pPr>
      <w:r>
        <w:t xml:space="preserve">Conforme al procedimiento E-234 (Procedimiento de Auditoría Interna del SGSI) y al artículo 31 del Real Decreto 311/2022, se ha realizado la auditoría interna del SGSI con anterioridad a la auditoría externa de certificación.</w:t>
      </w:r>
    </w:p>
    <w:bookmarkStart w:id="46" w:name="X2bcfc1686fb8b698a25128aa40ffe0e7467983a"/>
    <w:p>
      <w:pPr>
        <w:pStyle w:val="Heading3"/>
      </w:pPr>
      <w:r>
        <w:t xml:space="preserve">10.1 Datos de la auditoría interna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de realización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informe.auditoria_interna.fecha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 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informe.auditoria_interna.auditor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Independencia respecto al equipo del SGSI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informe.auditoria_interna.independencia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Alcance auditado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Totalidad del SGSI</w:t>
            </w:r>
          </w:p>
        </w:tc>
      </w:tr>
    </w:tbl>
    <w:bookmarkEnd w:id="46"/>
    <w:bookmarkStart w:id="47" w:name="X3954113a17342ca0cf6d9fe60e5d77b0fbbf905"/>
    <w:p>
      <w:pPr>
        <w:pStyle w:val="Heading3"/>
      </w:pPr>
      <w:r>
        <w:t xml:space="preserve">10.2 Resultado de la auditoría interna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 de hallazgo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conformidades mayores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informe.auditoria_interna.nc_mayores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informe.auditoria_interna.nc_mayores_estado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conformidades menores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informe.auditoria_interna.nc_menores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informe.auditoria_interna.nc_menores_estado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informe.auditoria_interna.observaciones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Oportunidades de mejora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informe.auditoria_interna.oportunidades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El</w:t>
      </w:r>
      <w:r>
        <w:t xml:space="preserve"> </w:t>
      </w:r>
      <w:r>
        <w:rPr>
          <w:bCs/>
          <w:b/>
        </w:rPr>
        <w:t xml:space="preserve">Informe de Auditoría Interna completo</w:t>
      </w:r>
      <w:r>
        <w:t xml:space="preserve"> </w:t>
      </w:r>
      <w:r>
        <w:t xml:space="preserve">se incorpora como</w:t>
      </w:r>
      <w:r>
        <w:t xml:space="preserve"> </w:t>
      </w:r>
      <w:r>
        <w:rPr>
          <w:bCs/>
          <w:b/>
        </w:rPr>
        <w:t xml:space="preserve">Anexo III</w:t>
      </w:r>
      <w:r>
        <w:t xml:space="preserve"> </w:t>
      </w:r>
      <w:r>
        <w:t xml:space="preserve">del presente documento.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Xefe738a1022c4216905236654bd211ef173a8ea"/>
    <w:p>
      <w:pPr>
        <w:pStyle w:val="Heading2"/>
      </w:pPr>
      <w:r>
        <w:t xml:space="preserve">11. CONCLUSIÓN Y RECOMENDACIÓN</w:t>
      </w:r>
    </w:p>
    <w:bookmarkStart w:id="49" w:name="Xba7cad64abe99ee4dbdb925dd9d86a9195944bf"/>
    <w:p>
      <w:pPr>
        <w:pStyle w:val="Heading3"/>
      </w:pPr>
      <w:r>
        <w:t xml:space="preserve">11.1 Estado de preparación para la auditoría externa</w:t>
      </w:r>
    </w:p>
    <w:p>
      <w:pPr>
        <w:pStyle w:val="FirstParagraph"/>
      </w:pPr>
      <w:r>
        <w:t xml:space="preserve">Tras la finalización del proyecto y la realización de la auditoría interna, se considera que</w:t>
      </w:r>
      <w:r>
        <w:t xml:space="preserve"> </w:t>
      </w:r>
      <w:r>
        <w:rPr>
          <w:bCs/>
          <w:b/>
        </w:rPr>
        <w:t xml:space="preserve">{{ cliente.razon_social }} reúne las condiciones necesarias</w:t>
      </w:r>
      <w:r>
        <w:t xml:space="preserve"> </w:t>
      </w:r>
      <w:r>
        <w:t xml:space="preserve">para someterse a la auditoría externa de certificación del Esquema Nacional de Seguridad en categoría</w:t>
      </w:r>
      <w:r>
        <w:t xml:space="preserve"> </w:t>
      </w:r>
      <w:r>
        <w:rPr>
          <w:bCs/>
          <w:b/>
        </w:rPr>
        <w:t xml:space="preserve">{{ proyecto.categoria_ens }}</w:t>
      </w:r>
      <w:r>
        <w:t xml:space="preserve"> </w:t>
      </w:r>
      <w:r>
        <w:t xml:space="preserve">por una entidad acreditada por ENAC.</w:t>
      </w:r>
    </w:p>
    <w:p>
      <w:pPr>
        <w:pStyle w:val="BodyText"/>
      </w:pPr>
      <w:r>
        <w:t xml:space="preserve">El nivel de cumplimiento global del</w:t>
      </w:r>
      <w:r>
        <w:t xml:space="preserve"> </w:t>
      </w:r>
      <w:r>
        <w:rPr>
          <w:bCs/>
          <w:b/>
        </w:rPr>
        <w:t xml:space="preserve">{{ informe.cumplimiento_global }}%</w:t>
      </w:r>
      <w:r>
        <w:t xml:space="preserve"> </w:t>
      </w:r>
      <w:r>
        <w:t xml:space="preserve">sobre las medidas exigibles, junto con la ausencia de no conformidades mayores no resueltas, permite afirmar que la probabilidad de obtener un dictamen favorable en la auditoría externa es</w:t>
      </w:r>
      <w:r>
        <w:t xml:space="preserve"> </w:t>
      </w:r>
      <w:r>
        <w:rPr>
          <w:bCs/>
          <w:b/>
        </w:rPr>
        <w:t xml:space="preserve">alta</w:t>
      </w:r>
      <w:r>
        <w:t xml:space="preserve">.</w:t>
      </w:r>
    </w:p>
    <w:bookmarkEnd w:id="49"/>
    <w:bookmarkStart w:id="50" w:name="X67a4f21ddbf125a7f59022976c9ba7fb2b9ee0c"/>
    <w:p>
      <w:pPr>
        <w:pStyle w:val="Heading3"/>
      </w:pPr>
      <w:r>
        <w:t xml:space="preserve">11.2 Recomendaciones para la auditoría externa</w:t>
      </w:r>
    </w:p>
    <w:p>
      <w:pPr>
        <w:pStyle w:val="FirstParagraph"/>
      </w:pPr>
      <w:r>
        <w:t xml:space="preserve">a)</w:t>
      </w:r>
      <w:r>
        <w:t xml:space="preserve"> </w:t>
      </w:r>
      <w:r>
        <w:rPr>
          <w:bCs/>
          <w:b/>
        </w:rPr>
        <w:t xml:space="preserve">Iniciar formalmente el contacto con la entidad certificadora seleccionada</w:t>
      </w:r>
      <w:r>
        <w:t xml:space="preserve"> </w:t>
      </w:r>
      <w:r>
        <w:t xml:space="preserve">({{ proyecto.entidad_certificadora }}) para la programación de la auditoría externa. Conviene contactar con antelación, dado que las entidades acreditadas por ENAC suelen tener listas de espera; el plazo habitual desde la solicitud hasta la realización de la auditoría es de</w:t>
      </w:r>
      <w:r>
        <w:t xml:space="preserve"> </w:t>
      </w:r>
      <w:r>
        <w:rPr>
          <w:bCs/>
          <w:b/>
        </w:rPr>
        <w:t xml:space="preserve">8-16 semanas</w:t>
      </w:r>
      <w:r>
        <w:t xml:space="preserve">.</w:t>
      </w:r>
    </w:p>
    <w:p>
      <w:pPr>
        <w:pStyle w:val="BodyText"/>
      </w:pPr>
      <w:r>
        <w:t xml:space="preserve">b)</w:t>
      </w:r>
      <w:r>
        <w:t xml:space="preserve"> </w:t>
      </w:r>
      <w:r>
        <w:rPr>
          <w:bCs/>
          <w:b/>
        </w:rPr>
        <w:t xml:space="preserve">Mantener la operativa del SGSI estable</w:t>
      </w:r>
      <w:r>
        <w:t xml:space="preserve"> </w:t>
      </w:r>
      <w:r>
        <w:t xml:space="preserve">durante el periodo previo a la auditoría, evitando cambios significativos en las políticas, procedimientos o configuraciones que pudieran requerir nueva validación.</w:t>
      </w:r>
    </w:p>
    <w:p>
      <w:pPr>
        <w:pStyle w:val="BodyText"/>
      </w:pPr>
      <w:r>
        <w:t xml:space="preserve">c)</w:t>
      </w:r>
      <w:r>
        <w:t xml:space="preserve"> </w:t>
      </w:r>
      <w:r>
        <w:rPr>
          <w:bCs/>
          <w:b/>
        </w:rPr>
        <w:t xml:space="preserve">Asegurar la disponibilidad del personal clave</w:t>
      </w:r>
      <w:r>
        <w:t xml:space="preserve"> </w:t>
      </w:r>
      <w:r>
        <w:t xml:space="preserve">durante los días de auditoría, en particular del Responsable de la Seguridad, del Responsable del Sistema y de los responsables de las áreas que serán entrevistadas.</w:t>
      </w:r>
    </w:p>
    <w:p>
      <w:pPr>
        <w:pStyle w:val="BodyText"/>
      </w:pPr>
      <w:r>
        <w:t xml:space="preserve">d)</w:t>
      </w:r>
      <w:r>
        <w:t xml:space="preserve"> </w:t>
      </w:r>
      <w:r>
        <w:rPr>
          <w:bCs/>
          <w:b/>
        </w:rPr>
        <w:t xml:space="preserve">Mantener actualizado el repositorio documental</w:t>
      </w:r>
      <w:r>
        <w:t xml:space="preserve"> </w:t>
      </w:r>
      <w:r>
        <w:t xml:space="preserve">del SGSI con las últimas versiones de todos los documentos, evidencias y registros.</w:t>
      </w:r>
    </w:p>
    <w:p>
      <w:pPr>
        <w:pStyle w:val="BodyText"/>
      </w:pPr>
      <w:r>
        <w:t xml:space="preserve">e)</w:t>
      </w:r>
      <w:r>
        <w:t xml:space="preserve"> </w:t>
      </w:r>
      <w:r>
        <w:rPr>
          <w:bCs/>
          <w:b/>
        </w:rPr>
        <w:t xml:space="preserve">Continuar con las actividades operativas habituales</w:t>
      </w:r>
      <w:r>
        <w:t xml:space="preserve"> </w:t>
      </w:r>
      <w:r>
        <w:t xml:space="preserve">del SGSI (gestión de incidentes, revisión de accesos, monitorización) para no interrumpir la generación de evidencias.</w:t>
      </w:r>
    </w:p>
    <w:bookmarkEnd w:id="50"/>
    <w:bookmarkStart w:id="51" w:name="X443be9fd616b1a6520488927a4247b3b43aef1e"/>
    <w:p>
      <w:pPr>
        <w:pStyle w:val="Heading3"/>
      </w:pPr>
      <w:r>
        <w:t xml:space="preserve">11.3 Compromiso del consultor</w:t>
      </w:r>
    </w:p>
    <w:p>
      <w:pPr>
        <w:pStyle w:val="FirstParagraph"/>
      </w:pPr>
      <w:r>
        <w:t xml:space="preserve">El consultor se compromete a acompañar a {{ cliente.razon_social }} durante la auditoría externa, conforme a lo establecido en el contrato de consultoría suscrito entre las partes y, posteriormente, mediante la suscripción de un contrato de mantenimiento post-certificación si así lo decide la dirección.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X9edbf262dfb17cefd9018ba604ef9b142bba7bc"/>
    <w:p>
      <w:pPr>
        <w:pStyle w:val="Heading2"/>
      </w:pPr>
      <w:r>
        <w:t xml:space="preserve">12. ANEXOS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Anexo I:</w:t>
      </w:r>
      <w:r>
        <w:t xml:space="preserve"> </w:t>
      </w:r>
      <w:r>
        <w:t xml:space="preserve">Análisis de Riesgos completo (referencia del documento)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Anexo II:</w:t>
      </w:r>
      <w:r>
        <w:t xml:space="preserve"> </w:t>
      </w:r>
      <w:r>
        <w:t xml:space="preserve">Declaración de Aplicabilidad (referencia del documento)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Anexo III:</w:t>
      </w:r>
      <w:r>
        <w:t xml:space="preserve"> </w:t>
      </w:r>
      <w:r>
        <w:t xml:space="preserve">Informe de Auditoría Interna del SGSI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Anexo IV:</w:t>
      </w:r>
      <w:r>
        <w:t xml:space="preserve"> </w:t>
      </w:r>
      <w:r>
        <w:t xml:space="preserve">Plan de Tratamiento de Riesgos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Anexo V:</w:t>
      </w:r>
      <w:r>
        <w:t xml:space="preserve"> </w:t>
      </w:r>
      <w:r>
        <w:t xml:space="preserve">Inventario de Activos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Anexo VI:</w:t>
      </w:r>
      <w:r>
        <w:t xml:space="preserve"> </w:t>
      </w:r>
      <w:r>
        <w:t xml:space="preserve">Cuerpo normativo completo del SGSI (21 documentos)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Anexo VII:</w:t>
      </w:r>
      <w:r>
        <w:t xml:space="preserve"> </w:t>
      </w:r>
      <w:r>
        <w:t xml:space="preserve">Registro de evidencias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Las aprobaciones y firmas de los intervinientes (elaboración, revisión y aprobación) se consignan en el bloque de firmas que figura al final del presente documento.</w:t>
      </w:r>
    </w:p>
    <w:p>
      <w:pPr>
        <w:pStyle w:val="BodyText"/>
      </w:pPr>
      <w:r>
        <w:rPr>
          <w:bCs/>
          <w:b/>
        </w:rPr>
        <w:t xml:space="preserve">Documento E-040 · {{ cliente.razon_social }} · Versión {{ informe.version }} · {{ informe.fecha_emision }}</w:t>
      </w:r>
    </w:p>
    <w:bookmarkEnd w:id="53"/>
    <w:bookmarkEnd w:id="54"/>
    <w:p/>
    <w:p>
      <w:r>
        <w:rPr>
          <w:b/>
          <w:color w:val="0B1F3A"/>
          <w:sz w:val="24"/>
        </w:rPr>
        <w:t>APROBACIONES Y FIRMAS</w:t>
      </w:r>
    </w:p>
    <w:p>
      <w:r>
        <w:rPr>
          <w:b w:val="0"/>
          <w:color w:val="0B1F3A"/>
          <w:sz w:val="20"/>
        </w:rPr>
        <w:t>El presente documento se aprueba mediante las firmas de los intervinientes que se relacionan a continuación. Cuando la firma se realiza digitalmente a través del portal del proyecto, el hash SHA-256 y el código QR de verificación se consignan bajo el nombre del firmante.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ELABORADO POR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REVISADO POR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APROBADO POR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firmas.elaborado.nombre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firmas.revisado.nombre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firmas.aprobado.nombre }}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firmas.elaborado.cargo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firmas.revisado.cargo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firmas.aprobado.cargo }}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firmas.elaborado.fecha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firmas.revisado.fecha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firmas.aprobado.fecha }}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firmas.elaborado.firma_marca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firmas.revisado.firma_marca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firmas.aprobado.firma_marca }}</w:t>
            </w:r>
          </w:p>
        </w:tc>
      </w:tr>
    </w:tbl>
    <w:p>
      <w:r>
        <w:rPr>
          <w:sz w:val="2"/>
        </w:rPr>
        <w:t>&lt;!--FX_SIG_V2--&gt;</w:t>
      </w:r>
    </w:p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E-040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E-040 · Informe Final de Adecuación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2026-06-11T19:24:13Z</dcterms:created>
  <dcterms:modified xsi:type="dcterms:W3CDTF">2026-06-11T19:24:13Z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robado_por">
    <vt:lpwstr>{{ cliente.organo_aprobador_politicas }}</vt:lpwstr>
  </property>
  <property fmtid="{D5CDD505-2E9C-101B-9397-08002B2CF9AE}" pid="3" name="clasificacion">
    <vt:lpwstr>CONFIDENCIAL — Cliente</vt:lpwstr>
  </property>
  <property fmtid="{D5CDD505-2E9C-101B-9397-08002B2CF9AE}" pid="4" name="codigo_documento">
    <vt:lpwstr>E-040</vt:lpwstr>
  </property>
  <property fmtid="{D5CDD505-2E9C-101B-9397-08002B2CF9AE}" pid="5" name="elaborado_por">
    <vt:lpwstr>{{ firmas.elaborado.nombre }} · {{ firmas.elaborado.cargo }}</vt:lpwstr>
  </property>
  <property fmtid="{D5CDD505-2E9C-101B-9397-08002B2CF9AE}" pid="6" name="fecha">
    <vt:lpwstr>{{ informe.fecha_emision }}</vt:lpwstr>
  </property>
  <property fmtid="{D5CDD505-2E9C-101B-9397-08002B2CF9AE}" pid="7" name="revisado_por">
    <vt:lpwstr>{{ responsables.responsable_seguridad.nombre }}</vt:lpwstr>
  </property>
  <property fmtid="{D5CDD505-2E9C-101B-9397-08002B2CF9AE}" pid="8" name="titulo">
    <vt:lpwstr>Informe Final de Adecuación al Esquema Nacional de Seguridad</vt:lpwstr>
  </property>
  <property fmtid="{D5CDD505-2E9C-101B-9397-08002B2CF9AE}" pid="9" name="version">
    <vt:lpwstr>{{ informe.version }}</vt:lpwstr>
  </property>
</Properties>
</file>