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8de53f5890be04186cfddc2a7765de953254d9"/>
    <w:p>
      <w:pPr>
        <w:pStyle w:val="Heading1"/>
      </w:pPr>
      <w:r>
        <w:t xml:space="preserve">POLÍTICA DE REGISTRO DE ACTIVIDAD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}}-127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marco-normativo"/>
    <w:p>
      <w:pPr>
        <w:pStyle w:val="Heading2"/>
      </w:pPr>
      <w:r>
        <w:t xml:space="preserve">MARCO NORMATIVO</w:t>
      </w:r>
    </w:p>
    <w:p>
      <w:pPr>
        <w:pStyle w:val="FirstParagraph"/>
      </w:pPr>
      <w:r>
        <w:t xml:space="preserve">Esta política se desarrolla en cumplimiento del</w:t>
      </w:r>
      <w:r>
        <w:t xml:space="preserve"> </w:t>
      </w:r>
      <w:r>
        <w:rPr>
          <w:bCs/>
          <w:b/>
        </w:rPr>
        <w:t xml:space="preserve">Real Decreto 311/2022</w:t>
      </w:r>
      <w:r>
        <w:t xml:space="preserve">, de 3 de mayo, por el que se regula el Esquema Nacional de Seguridad (ENS), y en particular de la medida del Anexo II: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op.exp.8 — Registro de la actividad de los usuarios.</w:t>
      </w:r>
      <w:r>
        <w:t xml:space="preserve"> </w:t>
      </w:r>
      <w:r>
        <w:t xml:space="preserve">Exige registrar la actividad relevante para la seguridad, conservar dichos registros durante un periodo suficiente (mínimo</w:t>
      </w:r>
      <w:r>
        <w:t xml:space="preserve"> </w:t>
      </w:r>
      <w:r>
        <w:rPr>
          <w:bCs/>
          <w:b/>
        </w:rPr>
        <w:t xml:space="preserve">12 meses</w:t>
      </w:r>
      <w:r>
        <w:t xml:space="preserve"> </w:t>
      </w:r>
      <w:r>
        <w:t xml:space="preserve">en categoría MEDIA y ALTA) y garantizar que las marcas de tiempo sean fiables mediante</w:t>
      </w:r>
      <w:r>
        <w:t xml:space="preserve"> </w:t>
      </w:r>
      <w:r>
        <w:rPr>
          <w:bCs/>
          <w:b/>
        </w:rPr>
        <w:t xml:space="preserve">sincronización horaria</w:t>
      </w:r>
      <w:r>
        <w:t xml:space="preserve"> </w:t>
      </w:r>
      <w:r>
        <w:t xml:space="preserve">de los sistemas.</w:t>
      </w:r>
    </w:p>
    <w:p>
      <w:pPr>
        <w:pStyle w:val="FirstParagraph"/>
      </w:pPr>
      <w:r>
        <w:t xml:space="preserve">Se alinea con las guías</w:t>
      </w:r>
      <w:r>
        <w:t xml:space="preserve"> </w:t>
      </w:r>
      <w:r>
        <w:rPr>
          <w:bCs/>
          <w:b/>
        </w:rPr>
        <w:t xml:space="preserve">CCN-STIC 808</w:t>
      </w:r>
      <w:r>
        <w:t xml:space="preserve"> </w:t>
      </w:r>
      <w:r>
        <w:t xml:space="preserve">(verificación del cumplimiento del ENS) y</w:t>
      </w:r>
      <w:r>
        <w:t xml:space="preserve"> </w:t>
      </w:r>
      <w:r>
        <w:rPr>
          <w:bCs/>
          <w:b/>
        </w:rPr>
        <w:t xml:space="preserve">CCN-STIC 809</w:t>
      </w:r>
      <w:r>
        <w:t xml:space="preserve"> </w:t>
      </w:r>
      <w:r>
        <w:t xml:space="preserve">(declaración y certificación), y complementa la Política de Gestión de Incidentes ({{ proyecto.codigo_documento_base }}-108) y el Procedimiento de Revisión de Registros (E-223).</w:t>
      </w:r>
    </w:p>
    <w:p>
      <w:r>
        <w:pict>
          <v:rect style="width:0;height:1.5pt" o:hralign="center" o:hrstd="t" o:hr="t"/>
        </w:pict>
      </w:r>
    </w:p>
    <w:bookmarkEnd w:id="20"/>
    <w:bookmarkStart w:id="21" w:name="X9895ad7d6233bb46f1f1ab0c9c1393c5bec2388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los requisitos de {{ cliente.razon_social }} para el registro de la actividad de los sistemas y usuarios, su conservación durante al menos 12 meses, la protección de la integridad de los registros y la sincronización horaria que garantiza la validez probatoria de las marcas de tiempo.</w:t>
      </w:r>
    </w:p>
    <w:bookmarkEnd w:id="21"/>
    <w:bookmarkStart w:id="22" w:name="Xb07e5b971afafdb09b34e24bf43e68568f61825"/>
    <w:p>
      <w:pPr>
        <w:pStyle w:val="Heading2"/>
      </w:pPr>
      <w:r>
        <w:t xml:space="preserve">2. ÁMBITO</w:t>
      </w:r>
    </w:p>
    <w:p>
      <w:pPr>
        <w:pStyle w:val="FirstParagraph"/>
      </w:pPr>
      <w:r>
        <w:t xml:space="preserve">Aplica a todos los sistemas de información incluidos en el alcance del ENS de {{ cliente.razon_social }}, incluidos los servicios cloud contratados. Para cada sistema se identificará el origen de los registros y el responsable de su custodia.</w:t>
      </w:r>
    </w:p>
    <w:bookmarkEnd w:id="22"/>
    <w:bookmarkStart w:id="23" w:name="X881b9492202adde184819a2a75a1d6245ea4cef"/>
    <w:p>
      <w:pPr>
        <w:pStyle w:val="Heading2"/>
      </w:pPr>
      <w:r>
        <w:t xml:space="preserve">3. EVENTOS REGISTRADOS</w:t>
      </w:r>
    </w:p>
    <w:p>
      <w:pPr>
        <w:pStyle w:val="FirstParagraph"/>
      </w:pPr>
      <w:r>
        <w:t xml:space="preserve">Como mínimo se registrarán: accesos correctos y fallidos (autenticación), uso de privilegios y acciones administrativas, creación/modificación/borrado de cuentas y permisos, cambios de configuración relevantes para la seguridad, arranque y parada de los servicios de registro, y errores y eventos del sistema con impacto en seguridad. Cada registro incluirá, cuando proceda: fecha y hora (sincronizada), identidad del actor, evento, origen y resultado.</w:t>
      </w:r>
    </w:p>
    <w:bookmarkEnd w:id="23"/>
    <w:bookmarkStart w:id="24" w:name="X93dca245894f823a57a38669c9d8ff59765835f"/>
    <w:p>
      <w:pPr>
        <w:pStyle w:val="Heading2"/>
      </w:pPr>
      <w:r>
        <w:t xml:space="preserve">4. RETENCIÓN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 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Retención mínima de los registros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 ≥ 12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12 meses (obligatorio)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12 meses (obligatorio), ampliable según valoración del riesgo</w:t>
            </w:r>
          </w:p>
        </w:tc>
      </w:tr>
    </w:tbl>
    <w:p>
      <w:pPr>
        <w:pStyle w:val="BodyText"/>
      </w:pPr>
      <w:r>
        <w:t xml:space="preserve">Los registros se conservarán protegidos durante todo el periodo de retención y no se eliminarán antes de su vencimiento. Cuando el cliente disponga de cloud conectado, la configuración de retención (p.ej. retención de CloudTrail/Azure Monitor/Workspace Audit) se aportará como evidencia de la medida op.exp.8.</w:t>
      </w:r>
    </w:p>
    <w:bookmarkEnd w:id="24"/>
    <w:bookmarkStart w:id="25" w:name="X3b7b4bd959fb8f544a458ec73f195075e5d975e"/>
    <w:p>
      <w:pPr>
        <w:pStyle w:val="Heading2"/>
      </w:pPr>
      <w:r>
        <w:t xml:space="preserve">5. PROTECCIÓN E INTEGRIDAD DE LOS REGISTROS</w:t>
      </w:r>
    </w:p>
    <w:p>
      <w:pPr>
        <w:pStyle w:val="FirstParagraph"/>
      </w:pPr>
      <w:r>
        <w:t xml:space="preserve">El acceso a los registros estará restringido al personal autorizado (Responsable de Seguridad y administradores designados). Se aplicarán controles para impedir su alteración o borrado no autorizado (almacenamiento de solo-anexado, control de acceso, copia en ubicación independiente). La eliminación al vencimiento de la retención se realizará de forma controlada y registrada.</w:t>
      </w:r>
    </w:p>
    <w:bookmarkEnd w:id="25"/>
    <w:bookmarkStart w:id="26" w:name="Xcc1f8c2b95208bf2184fa8f0e6c8772c096fe9b"/>
    <w:p>
      <w:pPr>
        <w:pStyle w:val="Heading2"/>
      </w:pPr>
      <w:r>
        <w:t xml:space="preserve">6. SINCRONIZACIÓN HORARIA (NTP)</w:t>
      </w:r>
    </w:p>
    <w:p>
      <w:pPr>
        <w:pStyle w:val="FirstParagraph"/>
      </w:pPr>
      <w:r>
        <w:t xml:space="preserve">Todos los sistemas en alcance sincronizarán su reloj contra una</w:t>
      </w:r>
      <w:r>
        <w:t xml:space="preserve"> </w:t>
      </w:r>
      <w:r>
        <w:rPr>
          <w:bCs/>
          <w:b/>
        </w:rPr>
        <w:t xml:space="preserve">fuente de tiempo fiable</w:t>
      </w:r>
      <w:r>
        <w:t xml:space="preserve"> </w:t>
      </w:r>
      <w:r>
        <w:t xml:space="preserve">(servidor NTP interno o fuente oficial). La sincronización es condición para que las marcas de tiempo de los registros tengan valor probatorio ante una auditoría. Se documentará la fuente NTP utilizada y se aportará evidencia del estado de sincronización como parte de op.exp.8.</w:t>
      </w:r>
    </w:p>
    <w:bookmarkEnd w:id="26"/>
    <w:bookmarkStart w:id="27" w:name="X074dbdffdc4a91790c9d46dcf8ad887c8a4c4d6"/>
    <w:p>
      <w:pPr>
        <w:pStyle w:val="Heading2"/>
      </w:pPr>
      <w:r>
        <w:t xml:space="preserve">7. REVISIÓN Y MONITORIZACIÓN</w:t>
      </w:r>
    </w:p>
    <w:p>
      <w:pPr>
        <w:pStyle w:val="FirstParagraph"/>
      </w:pPr>
      <w:r>
        <w:t xml:space="preserve">Los registros se revisarán periódicamente conforme al</w:t>
      </w:r>
      <w:r>
        <w:t xml:space="preserve"> </w:t>
      </w:r>
      <w:r>
        <w:rPr>
          <w:bCs/>
          <w:b/>
        </w:rPr>
        <w:t xml:space="preserve">Procedimiento de Revisión de Registros (E-223)</w:t>
      </w:r>
      <w:r>
        <w:t xml:space="preserve">. Las anomalías detectadas se tratarán como incidentes según {{ proyecto.codigo_documento_base }}-108.</w:t>
      </w:r>
    </w:p>
    <w:bookmarkEnd w:id="27"/>
    <w:bookmarkStart w:id="28" w:name="X7c4ef474e8260279855fbd8462be3d24ab87197"/>
    <w:p>
      <w:pPr>
        <w:pStyle w:val="Heading2"/>
      </w:pPr>
      <w:r>
        <w:t xml:space="preserve">8. ROLES Y RESPONSABILIDADES</w:t>
      </w:r>
    </w:p>
    <w:p>
      <w:pPr>
        <w:pStyle w:val="FirstParagraph"/>
      </w:pPr>
      <w:r>
        <w:t xml:space="preserve">El Responsable de Seguridad supervisa el cumplimiento de esta política; los administradores de sistemas garantizan la activación del registro, la retención configurada y la sincronización horaria; la Dirección dota de los recursos necesarios.</w:t>
      </w:r>
    </w:p>
    <w:bookmarkEnd w:id="28"/>
    <w:bookmarkStart w:id="29" w:name="X60b9f3605beca7e8a00697fa39b6c07d72c9953"/>
    <w:p>
      <w:pPr>
        <w:pStyle w:val="Heading2"/>
      </w:pPr>
      <w:r>
        <w:t xml:space="preserve">9. APROBACIÓN Y VIGENCIA</w:t>
      </w:r>
    </w:p>
    <w:p>
      <w:pPr>
        <w:pStyle w:val="FirstParagraph"/>
      </w:pPr>
      <w:r>
        <w:t xml:space="preserve">Aprobada por {{ cliente.organo_aprobador_politicas }} el {{ proyecto.fecha_aprobacion_inicial }}. Revisión anual o ante cambios significativos en los sistemas en alcance.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}}-127 — Versión {{ proyecto.version_actual }} — Clasificación: INTERNA</w:t>
      </w:r>
    </w:p>
    <w:bookmarkEnd w:id="29"/>
    <w:bookmarkEnd w:id="30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E-127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E-127 · POLÍTICA DE REGISTRO DE ACTIVIDAD: RETENCIÓN Y SINCRONIZACIÓN HORARIA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2026-06-13T21:52:44Z</dcterms:created>
  <dcterms:modified xsi:type="dcterms:W3CDTF">2026-06-13T21:52:44Z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}}-127</vt:lpwstr>
  </property>
  <property fmtid="{D5CDD505-2E9C-101B-9397-08002B2CF9AE}" pid="5" name="fecha_aprobacion">
    <vt:lpwstr>{{ proyecto.fecha_aprobacion_inicial }}</vt:lpwstr>
  </property>
  <property fmtid="{D5CDD505-2E9C-101B-9397-08002B2CF9AE}" pid="6" name="titulo">
    <vt:lpwstr>Política de Registro de Actividad: Retención y Sincronización Horaria</vt:lpwstr>
  </property>
  <property fmtid="{D5CDD505-2E9C-101B-9397-08002B2CF9AE}" pid="7" name="version">
    <vt:lpwstr>{{ proyecto.version_actual }}</vt:lpwstr>
  </property>
</Properties>
</file>