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ce760ae477ff1f4b0d12fa6d4a89f1421bf363"/>
    <w:p>
      <w:pPr>
        <w:pStyle w:val="Heading1"/>
      </w:pPr>
      <w:r>
        <w:t xml:space="preserve">COMUNICACIÓN DE CAMBIO MATERIAL EN EL SISTEMA · {{ cliente.razon_social | upper }}</w:t>
      </w:r>
    </w:p>
    <w:p>
      <w:pPr>
        <w:pStyle w:val="FirstParagraph"/>
      </w:pPr>
      <w:r>
        <w:rPr>
          <w:bCs/>
          <w:b/>
        </w:rPr>
        <w:t xml:space="preserve">Documento E-042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cm = cambio_material if cambio_material else {} %}</w:t>
      </w:r>
      <w:r>
        <w:t xml:space="preserve"> </w:t>
      </w:r>
      <w:r>
        <w:t xml:space="preserve">{% set fecha = cm.fecha_deteccion if cm and cm.fecha_deteccion else '[fecha]' %}</w:t>
      </w:r>
      <w:r>
        <w:t xml:space="preserve"> </w:t>
      </w:r>
      <w:r>
        <w:t xml:space="preserve">{% set descripcion = cm.descripcion if cm and cm.descripcion else '[descripción del cambio]' %}</w:t>
      </w:r>
      <w:r>
        <w:t xml:space="preserve"> </w:t>
      </w:r>
      <w:r>
        <w:t xml:space="preserve">{% set motivacion = cm.motivacion if cm and cm.motivacion else '[motivación]' %}</w:t>
      </w:r>
      <w:r>
        <w:t xml:space="preserve"> </w:t>
      </w:r>
      <w:r>
        <w:t xml:space="preserve">{% set riesgo = cm.riesgo_residual_estimado if cm and cm.riesgo_residual_estimado else 'POR DETERMINAR' %}</w:t>
      </w:r>
      <w:r>
        <w:t xml:space="preserve"> </w:t>
      </w:r>
      <w:r>
        <w:t xml:space="preserve">{% set recat = cm.requiere_recategorizacion if cm and cm.requiere_recategorizacion is defined else False %}</w:t>
      </w:r>
      <w:r>
        <w:t xml:space="preserve"> </w:t>
      </w:r>
      <w:r>
        <w:t xml:space="preserve">{% set tiene_medidas = cm.impacto_medidas_afectadas and cm.impacto_medidas_afectadas | length &gt; 0 %}</w:t>
      </w:r>
    </w:p>
    <w:bookmarkStart w:id="20" w:name="X66d6885c8ee824b9332e0b8c468235076e28d99"/>
    <w:p>
      <w:pPr>
        <w:pStyle w:val="Heading2"/>
      </w:pPr>
      <w:r>
        <w:t xml:space="preserve">1. DATOS IDENTIFICATIVOS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  <w:r>
              <w:t xml:space="preserve"> </w:t>
            </w:r>
            <w:r>
              <w:t xml:space="preserve">· NIF 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certificado bajo categoría</w:t>
            </w:r>
            <w:r>
              <w:t xml:space="preserve"> </w:t>
            </w:r>
            <w:r>
              <w:rPr>
                <w:bCs/>
                <w:b/>
              </w:rPr>
              <w:t xml:space="preserve">{{ proyecto.categoria_ens if proyecto.categoria_ens else 'MEDIA'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detección del cambio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 de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Notificación de cambio material · Art. 30 RD 311/2022</w:t>
            </w:r>
          </w:p>
        </w:tc>
      </w:tr>
    </w:tbl>
    <w:bookmarkEnd w:id="20"/>
    <w:bookmarkStart w:id="21" w:name="Xa739880dada6bdfcf257036eb96d5ba2da616cf"/>
    <w:p>
      <w:pPr>
        <w:pStyle w:val="Heading2"/>
      </w:pPr>
      <w:r>
        <w:t xml:space="preserve">2. MARCO NORMATIVO</w:t>
      </w:r>
    </w:p>
    <w:p>
      <w:pPr>
        <w:pStyle w:val="FirstParagraph"/>
      </w:pPr>
      <w:r>
        <w:t xml:space="preserve">Conforme al</w:t>
      </w:r>
      <w:r>
        <w:t xml:space="preserve"> </w:t>
      </w:r>
      <w:r>
        <w:rPr>
          <w:bCs/>
          <w:b/>
        </w:rPr>
        <w:t xml:space="preserve">artículo 30</w:t>
      </w:r>
      <w:r>
        <w:t xml:space="preserve"> </w:t>
      </w:r>
      <w:r>
        <w:t xml:space="preserve">del RD 311/2022 y a la Guía CCN-STIC 809, la Entidad está obligada a comunicar al CCN los</w:t>
      </w:r>
      <w:r>
        <w:t xml:space="preserve"> </w:t>
      </w:r>
      <w:r>
        <w:rPr>
          <w:bCs/>
          <w:b/>
        </w:rPr>
        <w:t xml:space="preserve">cambios materiales</w:t>
      </w:r>
      <w:r>
        <w:t xml:space="preserve"> </w:t>
      </w:r>
      <w:r>
        <w:t xml:space="preserve">que afecten al sistema certificado y que puedan alterar las condiciones bajo las cuales se otorgó la conformidad ENS.</w:t>
      </w:r>
    </w:p>
    <w:bookmarkEnd w:id="21"/>
    <w:bookmarkStart w:id="22" w:name="X8a4b2b43d077138ff94b2089ca201e71cd2b1b5"/>
    <w:p>
      <w:pPr>
        <w:pStyle w:val="Heading2"/>
      </w:pPr>
      <w:r>
        <w:t xml:space="preserve">3. DESCRIPCIÓN DEL CAMBIO</w:t>
      </w:r>
    </w:p>
    <w:p>
      <w:pPr>
        <w:pStyle w:val="FirstParagraph"/>
      </w:pPr>
      <w:r>
        <w:rPr>
          <w:bCs/>
          <w:b/>
        </w:rPr>
        <w:t xml:space="preserve">Naturaleza del cambio:</w:t>
      </w:r>
      <w:r>
        <w:t xml:space="preserve"> </w:t>
      </w:r>
      <w:r>
        <w:t xml:space="preserve">{{ descripcion }}</w:t>
      </w:r>
    </w:p>
    <w:p>
      <w:pPr>
        <w:pStyle w:val="BodyText"/>
      </w:pPr>
      <w:r>
        <w:rPr>
          <w:bCs/>
          <w:b/>
        </w:rPr>
        <w:t xml:space="preserve">Motivación:</w:t>
      </w:r>
      <w:r>
        <w:t xml:space="preserve"> </w:t>
      </w:r>
      <w:r>
        <w:t xml:space="preserve">{{ motivacion }}</w:t>
      </w:r>
    </w:p>
    <w:p>
      <w:pPr>
        <w:pStyle w:val="BodyText"/>
      </w:pPr>
      <w:r>
        <w:rPr>
          <w:bCs/>
          <w:b/>
        </w:rPr>
        <w:t xml:space="preserve">Fecha prevista de implantación efectiva:</w:t>
      </w:r>
      <w:r>
        <w:t xml:space="preserve"> </w:t>
      </w:r>
      <w:r>
        <w:t xml:space="preserve">{{ cm.fecha_implantacion_prevista if cm and cm.fecha_implantacion_prevista else 'Inmediata' }}</w:t>
      </w:r>
    </w:p>
    <w:bookmarkEnd w:id="22"/>
    <w:bookmarkStart w:id="26" w:name="X5ce45dbaa5325c2eb834bf2146ec4be02e419c8"/>
    <w:p>
      <w:pPr>
        <w:pStyle w:val="Heading2"/>
      </w:pPr>
      <w:r>
        <w:t xml:space="preserve">4. EVALUACIÓN DE IMPACTO</w:t>
      </w:r>
    </w:p>
    <w:bookmarkStart w:id="23" w:name="X0b1d447dbd313802c36a168686a2bb6ed4f5645"/>
    <w:p>
      <w:pPr>
        <w:pStyle w:val="Heading3"/>
      </w:pPr>
      <w:r>
        <w:t xml:space="preserve">4.1 Medidas del Anexo II afectadas</w:t>
      </w:r>
    </w:p>
    <w:p>
      <w:pPr>
        <w:pStyle w:val="FirstParagraph"/>
      </w:pPr>
      <w:r>
        <w:t xml:space="preserve">{% if tiene_medidas %}</w:t>
      </w:r>
      <w:r>
        <w:t xml:space="preserve"> </w:t>
      </w:r>
      <w:r>
        <w:t xml:space="preserve">| Código de medida | Tipo de afectación |</w:t>
      </w:r>
      <w:r>
        <w:t xml:space="preserve"> </w:t>
      </w:r>
      <w:r>
        <w:t xml:space="preserve">|------------------|---------------------|</w:t>
      </w:r>
      <w:r>
        <w:t xml:space="preserve"> </w:t>
      </w:r>
      <w:r>
        <w:t xml:space="preserve">{% for m in cm.impacto_medidas_afectadas %}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{{ m }}</w:t>
      </w:r>
      <w:r>
        <w:t xml:space="preserve"> </w:t>
      </w:r>
      <w:r>
        <w:t xml:space="preserve">| Revisión / actualización requerida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identifican medidas afectadas significativamente por el cambio. La verificación operativa se mantiene conforme al estado actual.</w:t>
      </w:r>
      <w:r>
        <w:t xml:space="preserve"> </w:t>
      </w:r>
      <w:r>
        <w:t xml:space="preserve">{% endif %}</w:t>
      </w:r>
    </w:p>
    <w:bookmarkEnd w:id="23"/>
    <w:bookmarkStart w:id="24" w:name="Xa4a9e2d7a59610a98d8c2adff331383b51b2c75"/>
    <w:p>
      <w:pPr>
        <w:pStyle w:val="Heading3"/>
      </w:pPr>
      <w:r>
        <w:t xml:space="preserve">4.2 Riesgo residual estimado</w:t>
      </w:r>
    </w:p>
    <w:p>
      <w:pPr>
        <w:pStyle w:val="BlockText"/>
      </w:pPr>
      <w:r>
        <w:rPr>
          <w:bCs/>
          <w:b/>
        </w:rPr>
        <w:t xml:space="preserve">Riesgo residual estimado tras el cambio: {{ riesgo }}</w:t>
      </w:r>
    </w:p>
    <w:bookmarkEnd w:id="24"/>
    <w:bookmarkStart w:id="25" w:name="X83729db16818de403e408c51d5b29ac09a2931f"/>
    <w:p>
      <w:pPr>
        <w:pStyle w:val="Heading3"/>
      </w:pPr>
      <w:r>
        <w:t xml:space="preserve">4.3 Evaluación de la necesidad de recategorización</w:t>
      </w:r>
    </w:p>
    <w:p>
      <w:pPr>
        <w:pStyle w:val="FirstParagraph"/>
      </w:pPr>
      <w:r>
        <w:t xml:space="preserve">{% if recat %}</w:t>
      </w:r>
      <w:r>
        <w:t xml:space="preserve"> </w:t>
      </w:r>
      <w:r>
        <w:t xml:space="preserve">El cambio implica una</w:t>
      </w:r>
      <w:r>
        <w:t xml:space="preserve"> </w:t>
      </w:r>
      <w:r>
        <w:rPr>
          <w:bCs/>
          <w:b/>
        </w:rPr>
        <w:t xml:space="preserve">alteración significativa</w:t>
      </w:r>
      <w:r>
        <w:t xml:space="preserve"> </w:t>
      </w:r>
      <w:r>
        <w:t xml:space="preserve">de las dimensiones del sistema. Se procede a</w:t>
      </w:r>
      <w:r>
        <w:t xml:space="preserve"> </w:t>
      </w:r>
      <w:r>
        <w:rPr>
          <w:bCs/>
          <w:b/>
        </w:rPr>
        <w:t xml:space="preserve">recategorización</w:t>
      </w:r>
      <w:r>
        <w:t xml:space="preserve"> </w:t>
      </w:r>
      <w:r>
        <w:t xml:space="preserve">mediante la convocatoria del Comité de Seguridad y la emisión de nueva acta E-012.</w:t>
      </w:r>
      <w:r>
        <w:t xml:space="preserve"> </w:t>
      </w:r>
      <w:r>
        <w:t xml:space="preserve">{% else %}</w:t>
      </w:r>
      <w:r>
        <w:t xml:space="preserve"> </w:t>
      </w:r>
      <w:r>
        <w:t xml:space="preserve">El cambio</w:t>
      </w:r>
      <w:r>
        <w:t xml:space="preserve"> </w:t>
      </w:r>
      <w:r>
        <w:rPr>
          <w:bCs/>
          <w:b/>
        </w:rPr>
        <w:t xml:space="preserve">no altera significativamente</w:t>
      </w:r>
      <w:r>
        <w:t xml:space="preserve"> </w:t>
      </w:r>
      <w:r>
        <w:t xml:space="preserve">las dimensiones del sistema. Se mantiene la categoría</w:t>
      </w:r>
      <w:r>
        <w:t xml:space="preserve"> </w:t>
      </w:r>
      <w:r>
        <w:rPr>
          <w:bCs/>
          <w:b/>
        </w:rPr>
        <w:t xml:space="preserve">{{ proyecto.categoria_ens if proyecto.categoria_ens else 'MEDIA' }}</w:t>
      </w:r>
      <w:r>
        <w:t xml:space="preserve"> </w:t>
      </w:r>
      <w:r>
        <w:t xml:space="preserve">sin necesidad de recategorización formal.</w:t>
      </w:r>
      <w:r>
        <w:t xml:space="preserve"> </w:t>
      </w:r>
      <w:r>
        <w:t xml:space="preserve">{% endif %}</w:t>
      </w:r>
    </w:p>
    <w:bookmarkEnd w:id="25"/>
    <w:bookmarkEnd w:id="26"/>
    <w:bookmarkStart w:id="27" w:name="Xcaebd7fc184b8066c4d80dd1f15aadd60ed80da"/>
    <w:p>
      <w:pPr>
        <w:pStyle w:val="Heading2"/>
      </w:pPr>
      <w:r>
        <w:t xml:space="preserve">5. ACTUACIONES PREVISTAS</w:t>
      </w:r>
    </w:p>
    <w:p>
      <w:pPr>
        <w:pStyle w:val="FirstParagraph"/>
      </w:pPr>
      <w:r>
        <w:t xml:space="preserve">a)</w:t>
      </w:r>
      <w:r>
        <w:t xml:space="preserve"> </w:t>
      </w:r>
      <w:r>
        <w:rPr>
          <w:bCs/>
          <w:b/>
        </w:rPr>
        <w:t xml:space="preserve">Actualización de la Declaración de Aplicabilidad (E-040)</w:t>
      </w:r>
      <w:r>
        <w:t xml:space="preserve"> </w:t>
      </w:r>
      <w:r>
        <w:t xml:space="preserve">para reflejar las medidas afectadas.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Actualización del Plan de Adecuación (E-050)</w:t>
      </w:r>
      <w:r>
        <w:t xml:space="preserve"> </w:t>
      </w:r>
      <w:r>
        <w:t xml:space="preserve">si procede.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Actualización del Análisis de Riesgos (E-400)</w:t>
      </w:r>
      <w:r>
        <w:t xml:space="preserve"> </w:t>
      </w:r>
      <w:r>
        <w:t xml:space="preserve">para incorporar el cambio en el modelo de amenazas.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Notificación a las partes interesadas</w:t>
      </w:r>
      <w:r>
        <w:t xml:space="preserve"> </w:t>
      </w:r>
      <w:r>
        <w:t xml:space="preserve">afectadas, incluyendo en su caso clientes con contratos vigentes que exijan ENS.</w:t>
      </w:r>
    </w:p>
    <w:p>
      <w:pPr>
        <w:pStyle w:val="BodyText"/>
      </w:pPr>
      <w:r>
        <w:t xml:space="preserve">e) {{ "Reapertura del expediente de</w:t>
      </w:r>
      <w:r>
        <w:t xml:space="preserve"> </w:t>
      </w:r>
      <w:r>
        <w:rPr>
          <w:bCs/>
          <w:b/>
        </w:rPr>
        <w:t xml:space="preserve">certificación</w:t>
      </w:r>
      <w:r>
        <w:t xml:space="preserve"> </w:t>
      </w:r>
      <w:r>
        <w:t xml:space="preserve">para emisión de nuevo certificado por la entidad acreditada." if proyecto.categoria_ens != 'BÁSICA' else "Actualización de la Declaración de Conformidad (E-041) y republicación en sede electrónica." }}</w:t>
      </w:r>
    </w:p>
    <w:bookmarkEnd w:id="27"/>
    <w:bookmarkStart w:id="28" w:name="X189b1e2d614af908a2729b92a3892a01eac7546"/>
    <w:p>
      <w:pPr>
        <w:pStyle w:val="Heading2"/>
      </w:pPr>
      <w:r>
        <w:t xml:space="preserve">6. APROBACIÓN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if responsables.responsable_seguridad else '[RS]'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responsables.responsable_sistema.nombre if responsables.responsable_sistema else '[RSI]'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Presidente del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comite_seguridad.presidente.nombre if comite_seguridad and comite_seguridad.presidente else '[Presidente]'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fecha }}</w:t>
            </w:r>
          </w:p>
        </w:tc>
      </w:tr>
    </w:tbl>
    <w:bookmarkEnd w:id="28"/>
    <w:bookmarkStart w:id="29" w:name="X3ec84d16dcdebfc060eee5ff9e9e7bdc88cc48d"/>
    <w:p>
      <w:pPr>
        <w:pStyle w:val="Heading2"/>
      </w:pPr>
      <w:r>
        <w:t xml:space="preserve">7. REMISIÓN AL CCN-CERT</w:t>
      </w:r>
    </w:p>
    <w:p>
      <w:pPr>
        <w:pStyle w:val="FirstParagraph"/>
      </w:pPr>
      <w:r>
        <w:t xml:space="preserve">La presente comunicación se remite al CCN-CERT a los efectos del artículo 30 del RD 311/2022, junto con la documentación complementaria detallada en sección 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E-042 — Versión {{ proyecto.version_actual if proyecto.version_actual else '1.0' }} — Clasificación: INTERNA · COMUNICACIÓN CCN</w:t>
      </w:r>
    </w:p>
    <w:p>
      <w:pPr>
        <w:pStyle w:val="BodyText"/>
      </w:pPr>
      <w:r>
        <w:rPr>
          <w:iCs/>
          <w:i/>
        </w:rPr>
        <w:t xml:space="preserve">Documento generado por FULKRO · {{ fecha }}</w:t>
      </w:r>
    </w:p>
    <w:bookmarkEnd w:id="29"/>
    <w:bookmarkEnd w:id="30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E-042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E-042 · Documento E-042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2026-06-11T19:49:13Z</dcterms:created>
  <dcterms:modified xsi:type="dcterms:W3CDTF">2026-06-11T19:49:13Z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 · COMUNICACIÓN CCN</vt:lpwstr>
  </property>
  <property fmtid="{D5CDD505-2E9C-101B-9397-08002B2CF9AE}" pid="3" name="codigo_documento">
    <vt:lpwstr>E-042</vt:lpwstr>
  </property>
  <property fmtid="{D5CDD505-2E9C-101B-9397-08002B2CF9AE}" pid="4" name="norma_aplicable">
    <vt:lpwstr>RD 311/2022 Art. 30 + CCN-STIC 809</vt:lpwstr>
  </property>
  <property fmtid="{D5CDD505-2E9C-101B-9397-08002B2CF9AE}" pid="5" name="titulo">
    <vt:lpwstr>Comunicación de Cambio Material en el Sistema</vt:lpwstr>
  </property>
  <property fmtid="{D5CDD505-2E9C-101B-9397-08002B2CF9AE}" pid="6" name="version">
    <vt:lpwstr>{{ proyecto.version_actual if proyecto.version_actual else '1.0' }}</vt:lpwstr>
  </property>
</Properties>
</file>