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752360b274329ceee85c08a5051ab6cfaa0690"/>
    <w:p>
      <w:pPr>
        <w:pStyle w:val="Heading1"/>
      </w:pPr>
      <w:r>
        <w:t xml:space="preserve">ACTA DE NOMBRAMIENTO DE ROLES DEL SISTEMA · {{ cliente.razon_social | upper }}</w:t>
      </w:r>
    </w:p>
    <w:p>
      <w:pPr>
        <w:pStyle w:val="FirstParagraph"/>
      </w:pPr>
      <w:r>
        <w:rPr>
          <w:bCs/>
          <w:b/>
        </w:rPr>
        <w:t xml:space="preserve">Documento E-002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fecha = proyecto.fecha_aprobacion_inicial if proyecto.fecha_aprobacion_inicial else '[fecha]' %}</w:t>
      </w:r>
      <w:r>
        <w:t xml:space="preserve"> </w:t>
      </w:r>
      <w:r>
        <w:t xml:space="preserve">{% set cat = proyecto.categoria_ens if proyecto.categoria_ens else 'MEDIA' %}</w:t>
      </w:r>
      <w:r>
        <w:t xml:space="preserve"> </w:t>
      </w:r>
      <w:r>
        <w:t xml:space="preserve">{% set rs_nombre = responsables.responsable_seguridad.nombre if responsables.responsable_seguridad else '[A DESIGNAR]' %}</w:t>
      </w:r>
      <w:r>
        <w:t xml:space="preserve"> </w:t>
      </w:r>
      <w:r>
        <w:t xml:space="preserve">{% set rs_cargo = responsables.responsable_seguridad.cargo if responsables.responsable_seguridad else 'CISO' %}</w:t>
      </w:r>
      <w:r>
        <w:t xml:space="preserve"> </w:t>
      </w:r>
      <w:r>
        <w:t xml:space="preserve">{% set rs_dni = responsables.responsable_seguridad.dni if responsables.responsable_seguridad else '[DNI]' %}</w:t>
      </w:r>
      <w:r>
        <w:t xml:space="preserve"> </w:t>
      </w:r>
      <w:r>
        <w:t xml:space="preserve">{% set rsi_nombre = responsables.responsable_sistema.nombre if responsables.responsable_sistema else '[A DESIGNAR]' %}</w:t>
      </w:r>
      <w:r>
        <w:t xml:space="preserve"> </w:t>
      </w:r>
      <w:r>
        <w:t xml:space="preserve">{% set rsi_cargo = responsables.responsable_sistema.cargo if responsables.responsable_sistema else 'Director TI' %}</w:t>
      </w:r>
      <w:r>
        <w:t xml:space="preserve"> </w:t>
      </w:r>
      <w:r>
        <w:t xml:space="preserve">{% set rsi_dni = responsables.responsable_sistema.dni if responsables.responsable_sistema else '[DNI]' %}</w:t>
      </w:r>
      <w:r>
        <w:t xml:space="preserve"> </w:t>
      </w:r>
      <w:r>
        <w:t xml:space="preserve">{% set rserv_nombre = responsables.responsable_servicio.nombre if responsables.responsable_servicio else '[A DESIGNAR]' %}</w:t>
      </w:r>
      <w:r>
        <w:t xml:space="preserve"> </w:t>
      </w:r>
      <w:r>
        <w:t xml:space="preserve">{% set rserv_cargo = responsables.responsable_servicio.cargo if responsables.responsable_servicio else 'Responsable de Servicio' %}</w:t>
      </w:r>
      <w:r>
        <w:t xml:space="preserve"> </w:t>
      </w:r>
      <w:r>
        <w:t xml:space="preserve">{% set rserv_dni = responsables.responsable_servicio.dni if responsables.responsable_servicio else '[DNI]' %}</w:t>
      </w:r>
      <w:r>
        <w:t xml:space="preserve"> </w:t>
      </w:r>
      <w:r>
        <w:t xml:space="preserve">{# F0-2 (Ejecutable 8 Pasada 16): roles añadidos RI (art 11.a · siempre), ASS</w:t>
      </w:r>
      <w:r>
        <w:t xml:space="preserve"> </w:t>
      </w:r>
      <w:r>
        <w:t xml:space="preserve">(art 11.e · MEDIA+), POC ante CCN-CERT (MEDIA+). Fuente: RD 311/2022 art. 11</w:t>
      </w:r>
    </w:p>
    <w:p>
      <w:pPr>
        <w:numPr>
          <w:ilvl w:val="0"/>
          <w:numId w:val="1001"/>
        </w:numPr>
        <w:pStyle w:val="Compact"/>
      </w:pPr>
      <w:r>
        <w:t xml:space="preserve">CCN-STIC 801. #}</w:t>
      </w:r>
      <w:r>
        <w:t xml:space="preserve"> </w:t>
      </w:r>
      <w:r>
        <w:t xml:space="preserve">{% set ri_nombre = responsables.responsable_informacion.nombre if responsables.responsable_informacion else '[A DESIGNAR]' %}</w:t>
      </w:r>
      <w:r>
        <w:t xml:space="preserve"> </w:t>
      </w:r>
      <w:r>
        <w:t xml:space="preserve">{% set ri_cargo = responsables.responsable_informacion.cargo if responsables.responsable_informacion else 'Responsable de la Información' %}</w:t>
      </w:r>
      <w:r>
        <w:t xml:space="preserve"> </w:t>
      </w:r>
      <w:r>
        <w:t xml:space="preserve">{% set ri_dni = responsables.responsable_informacion.dni if responsables.responsable_informacion else '[DNI]' %}</w:t>
      </w:r>
      <w:r>
        <w:t xml:space="preserve"> </w:t>
      </w:r>
      <w:r>
        <w:t xml:space="preserve">{% set ass_nombre = responsables.administrador_seguridad.nombre if responsables.administrador_seguridad else '[A DESIGNAR]' %}</w:t>
      </w:r>
      <w:r>
        <w:t xml:space="preserve"> </w:t>
      </w:r>
      <w:r>
        <w:t xml:space="preserve">{% set ass_cargo = responsables.administrador_seguridad.cargo if responsables.administrador_seguridad else 'Administrador de Seguridad del Sistema' %}</w:t>
      </w:r>
      <w:r>
        <w:t xml:space="preserve"> </w:t>
      </w:r>
      <w:r>
        <w:t xml:space="preserve">{% set ass_dni = responsables.administrador_seguridad.dni if responsables.administrador_seguridad else '[DNI]' %}</w:t>
      </w:r>
      <w:r>
        <w:t xml:space="preserve"> </w:t>
      </w:r>
      <w:r>
        <w:t xml:space="preserve">{% set poc_nombre = responsables.punto_contacto_ccn.nombre if responsables.punto_contacto_ccn else '[A DESIGNAR]' %}</w:t>
      </w:r>
      <w:r>
        <w:t xml:space="preserve"> </w:t>
      </w:r>
      <w:r>
        <w:t xml:space="preserve">{% set poc_cargo = responsables.punto_contacto_ccn.cargo if responsables.punto_contacto_ccn else 'Punto de Contacto ante CCN-CERT' %}</w:t>
      </w:r>
      <w:r>
        <w:t xml:space="preserve"> </w:t>
      </w:r>
      <w:r>
        <w:t xml:space="preserve">{% set poc_dni = responsables.punto_contacto_ccn.dni if responsables.punto_contacto_ccn else '[DNI]' %}</w:t>
      </w:r>
      <w:r>
        <w:t xml:space="preserve"> </w:t>
      </w:r>
      <w:r>
        <w:t xml:space="preserve">{% set requiere_rsa = cat == 'ALTA' %}</w:t>
      </w:r>
      <w:r>
        <w:t xml:space="preserve"> </w:t>
      </w:r>
      <w:r>
        <w:t xml:space="preserve">{% set requiere_ass = cat in ['MEDIA', 'ALTA'] %}</w:t>
      </w:r>
      <w:r>
        <w:t xml:space="preserve"> </w:t>
      </w:r>
      <w:r>
        <w:t xml:space="preserve">{% set requiere_poc = cat in ['MEDIA', 'ALTA'] %}</w:t>
      </w:r>
    </w:p>
    <w:bookmarkStart w:id="20" w:name="X7fb1e6689cf011a0bb3a0b3c21a62d6ec40182e"/>
    <w:p>
      <w:pPr>
        <w:pStyle w:val="Heading2"/>
      </w:pPr>
      <w:r>
        <w:t xml:space="preserve">1. DATOS DEL ACTA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social de</w:t>
            </w:r>
            <w:r>
              <w:t xml:space="preserve"> </w:t>
            </w: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Órgano de 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nombramiento formal · permanente en expediente SGSI</w:t>
            </w:r>
          </w:p>
        </w:tc>
      </w:tr>
    </w:tbl>
    <w:bookmarkEnd w:id="20"/>
    <w:bookmarkStart w:id="21" w:name="X0d60d27d12cafb7173de735d30391ef712bd866"/>
    <w:p>
      <w:pPr>
        <w:pStyle w:val="Heading2"/>
      </w:pPr>
      <w:r>
        <w:t xml:space="preserve">2. ANTECEDENTES</w:t>
      </w:r>
    </w:p>
    <w:p>
      <w:pPr>
        <w:pStyle w:val="FirstParagraph"/>
      </w:pPr>
      <w:r>
        <w:t xml:space="preserve">En cumplimiento del Real Decreto 311/2022, de 3 de mayo, por el que se regula el Esquema Nacional de Seguridad (ENS), y conforme a las medidas org.1 (Política de seguridad) y org.2 (Normativa de seguridad) del Anexo II, así como a las directrices de la</w:t>
      </w:r>
      <w:r>
        <w:t xml:space="preserve"> </w:t>
      </w:r>
      <w:r>
        <w:rPr>
          <w:bCs/>
          <w:b/>
        </w:rPr>
        <w:t xml:space="preserve">Guía CCN-STIC 801 sobre Responsabilidades y Funciones</w:t>
      </w:r>
      <w:r>
        <w:t xml:space="preserve">, la Entidad procede al nombramiento formal de los roles necesarios para la gobernanza del sistema de información sujeto al ENS, con</w:t>
      </w:r>
      <w:r>
        <w:t xml:space="preserve"> </w:t>
      </w:r>
      <w:r>
        <w:rPr>
          <w:bCs/>
          <w:b/>
        </w:rPr>
        <w:t xml:space="preserve">categoría {{ cat }}</w:t>
      </w:r>
      <w:r>
        <w:t xml:space="preserve">.</w:t>
      </w:r>
    </w:p>
    <w:bookmarkEnd w:id="21"/>
    <w:bookmarkStart w:id="30" w:name="X322b62cf9e8301f507f2867237fd322b50f1cec"/>
    <w:p>
      <w:pPr>
        <w:pStyle w:val="Heading2"/>
      </w:pPr>
      <w:r>
        <w:t xml:space="preserve">3. ACUERDOS</w:t>
      </w:r>
    </w:p>
    <w:bookmarkStart w:id="22" w:name="X1df8f5f77a252113175aed914b286eed957931e"/>
    <w:p>
      <w:pPr>
        <w:pStyle w:val="Heading3"/>
      </w:pPr>
      <w:r>
        <w:t xml:space="preserve">Acuerdo 1 · Nombramiento del Responsable de la Información (RI)</w:t>
      </w:r>
    </w:p>
    <w:p>
      <w:pPr>
        <w:pStyle w:val="FirstParagraph"/>
      </w:pPr>
      <w:r>
        <w:t xml:space="preserve">Conforme al artículo 11.a) del RD 311/2022, se nombra</w:t>
      </w:r>
      <w:r>
        <w:t xml:space="preserve"> </w:t>
      </w:r>
      <w:r>
        <w:rPr>
          <w:bCs/>
          <w:b/>
        </w:rPr>
        <w:t xml:space="preserve">Responsable de la Información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ri_nombre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ri_cargo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ri_dni }}</w:t>
            </w:r>
          </w:p>
        </w:tc>
      </w:tr>
    </w:tbl>
    <w:p>
      <w:pPr>
        <w:pStyle w:val="BodyText"/>
      </w:pPr>
      <w:r>
        <w:t xml:space="preserve">Funciones:</w:t>
      </w:r>
    </w:p>
    <w:p>
      <w:pPr>
        <w:numPr>
          <w:ilvl w:val="0"/>
          <w:numId w:val="1002"/>
        </w:numPr>
        <w:pStyle w:val="Compact"/>
      </w:pPr>
      <w:r>
        <w:t xml:space="preserve">Establecer los requisitos de la información tratada en materia de seguridad.</w:t>
      </w:r>
    </w:p>
    <w:p>
      <w:pPr>
        <w:numPr>
          <w:ilvl w:val="0"/>
          <w:numId w:val="1002"/>
        </w:numPr>
        <w:pStyle w:val="Compact"/>
      </w:pPr>
      <w:r>
        <w:t xml:space="preserve">Determinar los niveles de seguridad de la información en las dimensiones afectadas (confidencialidad, integridad, trazabilidad, autenticidad, disponibilidad).</w:t>
      </w:r>
    </w:p>
    <w:p>
      <w:pPr>
        <w:numPr>
          <w:ilvl w:val="0"/>
          <w:numId w:val="1002"/>
        </w:numPr>
        <w:pStyle w:val="Compact"/>
      </w:pPr>
      <w:r>
        <w:t xml:space="preserve">Aprobar los niveles de seguridad de la información junto con el Responsable del Servicio.</w:t>
      </w:r>
    </w:p>
    <w:bookmarkEnd w:id="22"/>
    <w:bookmarkStart w:id="23" w:name="Xe82262f27f13ea8c363630d4d4d567111438c64"/>
    <w:p>
      <w:pPr>
        <w:pStyle w:val="Heading3"/>
      </w:pPr>
      <w:r>
        <w:t xml:space="preserve">Acuerdo 2 · Nombramiento del Responsable de la Seguridad (RS)</w:t>
      </w:r>
    </w:p>
    <w:p>
      <w:pPr>
        <w:pStyle w:val="FirstParagraph"/>
      </w:pPr>
      <w:r>
        <w:t xml:space="preserve">Se nombra</w:t>
      </w:r>
      <w:r>
        <w:t xml:space="preserve"> </w:t>
      </w:r>
      <w:r>
        <w:rPr>
          <w:bCs/>
          <w:b/>
        </w:rPr>
        <w:t xml:space="preserve">Responsable de la Seguridad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rs_nombre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rs_dni }}</w:t>
            </w:r>
          </w:p>
        </w:tc>
      </w:tr>
    </w:tbl>
    <w:p>
      <w:pPr>
        <w:pStyle w:val="BodyText"/>
      </w:pPr>
      <w:r>
        <w:t xml:space="preserve">Funciones, conforme al Anexo II RD 311/2022 y a la Política E-100:</w:t>
      </w:r>
    </w:p>
    <w:p>
      <w:pPr>
        <w:numPr>
          <w:ilvl w:val="0"/>
          <w:numId w:val="1003"/>
        </w:numPr>
        <w:pStyle w:val="Compact"/>
      </w:pPr>
      <w:r>
        <w:t xml:space="preserve">Mantener la seguridad de la información manejada y de los servicios prestados.</w:t>
      </w:r>
    </w:p>
    <w:p>
      <w:pPr>
        <w:numPr>
          <w:ilvl w:val="0"/>
          <w:numId w:val="1003"/>
        </w:numPr>
        <w:pStyle w:val="Compact"/>
      </w:pPr>
      <w:r>
        <w:t xml:space="preserve">Promover la formación y concienciación en seguridad.</w:t>
      </w:r>
    </w:p>
    <w:p>
      <w:pPr>
        <w:numPr>
          <w:ilvl w:val="0"/>
          <w:numId w:val="1003"/>
        </w:numPr>
        <w:pStyle w:val="Compact"/>
      </w:pPr>
      <w:r>
        <w:t xml:space="preserve">Coordinar la respuesta a incidentes y la gestión de cambios con impacto en seguridad.</w:t>
      </w:r>
    </w:p>
    <w:p>
      <w:pPr>
        <w:numPr>
          <w:ilvl w:val="0"/>
          <w:numId w:val="1003"/>
        </w:numPr>
        <w:pStyle w:val="Compact"/>
      </w:pPr>
      <w:r>
        <w:t xml:space="preserve">Elaborar los informes periódicos al Comité de Seguridad.</w:t>
      </w:r>
    </w:p>
    <w:p>
      <w:pPr>
        <w:numPr>
          <w:ilvl w:val="0"/>
          <w:numId w:val="1003"/>
        </w:numPr>
        <w:pStyle w:val="Compact"/>
      </w:pPr>
      <w:r>
        <w:t xml:space="preserve">Velar por el cumplimiento del Anexo II del ENS y por las medidas implantadas.</w:t>
      </w:r>
    </w:p>
    <w:bookmarkEnd w:id="23"/>
    <w:bookmarkStart w:id="24" w:name="Xa491bdb81497c403130cc1dff4b688ee99f9712"/>
    <w:p>
      <w:pPr>
        <w:pStyle w:val="Heading3"/>
      </w:pPr>
      <w:r>
        <w:t xml:space="preserve">Acuerdo 3 · Nombramiento del Responsable del Sistema de Información (RSI)</w:t>
      </w:r>
    </w:p>
    <w:p>
      <w:pPr>
        <w:pStyle w:val="FirstParagraph"/>
      </w:pPr>
      <w:r>
        <w:t xml:space="preserve">Se nombra</w:t>
      </w:r>
      <w:r>
        <w:t xml:space="preserve"> </w:t>
      </w:r>
      <w:r>
        <w:rPr>
          <w:bCs/>
          <w:b/>
        </w:rPr>
        <w:t xml:space="preserve">Responsable del Sistema de Información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rsi_nombre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rsi_cargo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rsi_dni }}</w:t>
            </w:r>
          </w:p>
        </w:tc>
      </w:tr>
    </w:tbl>
    <w:p>
      <w:pPr>
        <w:pStyle w:val="BodyText"/>
      </w:pPr>
      <w:r>
        <w:t xml:space="preserve">Funciones:</w:t>
      </w:r>
    </w:p>
    <w:p>
      <w:pPr>
        <w:numPr>
          <w:ilvl w:val="0"/>
          <w:numId w:val="1004"/>
        </w:numPr>
        <w:pStyle w:val="Compact"/>
      </w:pPr>
      <w:r>
        <w:t xml:space="preserve">Desarrollar, operar y mantener el sistema durante todo su ciclo de vida.</w:t>
      </w:r>
    </w:p>
    <w:p>
      <w:pPr>
        <w:numPr>
          <w:ilvl w:val="0"/>
          <w:numId w:val="1004"/>
        </w:numPr>
        <w:pStyle w:val="Compact"/>
      </w:pPr>
      <w:r>
        <w:t xml:space="preserve">Definir las especificaciones técnicas necesarias para satisfacer los requisitos de seguridad.</w:t>
      </w:r>
    </w:p>
    <w:p>
      <w:pPr>
        <w:numPr>
          <w:ilvl w:val="0"/>
          <w:numId w:val="1004"/>
        </w:numPr>
        <w:pStyle w:val="Compact"/>
      </w:pPr>
      <w:r>
        <w:t xml:space="preserve">Resolver las incidencias técnicas con impacto en seguridad bajo la supervisión del Responsable de Seguridad.</w:t>
      </w:r>
    </w:p>
    <w:p>
      <w:pPr>
        <w:numPr>
          <w:ilvl w:val="0"/>
          <w:numId w:val="1004"/>
        </w:numPr>
        <w:pStyle w:val="Compact"/>
      </w:pPr>
      <w:r>
        <w:t xml:space="preserve">Asegurar la disponibilidad, integridad y trazabilidad de la información en el sistema.</w:t>
      </w:r>
    </w:p>
    <w:bookmarkEnd w:id="24"/>
    <w:bookmarkStart w:id="25" w:name="Xa57c9e5da0593c5a1c69f33e3d022e743edfece"/>
    <w:p>
      <w:pPr>
        <w:pStyle w:val="Heading3"/>
      </w:pPr>
      <w:r>
        <w:t xml:space="preserve">Acuerdo 4 · Nombramiento del Responsable del Servicio (RServ)</w:t>
      </w:r>
    </w:p>
    <w:p>
      <w:pPr>
        <w:pStyle w:val="FirstParagraph"/>
      </w:pPr>
      <w:r>
        <w:t xml:space="preserve">Se nombra</w:t>
      </w:r>
      <w:r>
        <w:t xml:space="preserve"> </w:t>
      </w:r>
      <w:r>
        <w:rPr>
          <w:bCs/>
          <w:b/>
        </w:rPr>
        <w:t xml:space="preserve">Responsable del Servicio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rserv_nombre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rserv_cargo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rserv_dni }}</w:t>
            </w:r>
          </w:p>
        </w:tc>
      </w:tr>
    </w:tbl>
    <w:p>
      <w:pPr>
        <w:pStyle w:val="BodyText"/>
      </w:pPr>
      <w:r>
        <w:t xml:space="preserve">Funciones:</w:t>
      </w:r>
    </w:p>
    <w:p>
      <w:pPr>
        <w:numPr>
          <w:ilvl w:val="0"/>
          <w:numId w:val="1005"/>
        </w:numPr>
        <w:pStyle w:val="Compact"/>
      </w:pPr>
      <w:r>
        <w:t xml:space="preserve">Determinar los requisitos del servicio en materia de seguridad.</w:t>
      </w:r>
    </w:p>
    <w:p>
      <w:pPr>
        <w:numPr>
          <w:ilvl w:val="0"/>
          <w:numId w:val="1005"/>
        </w:numPr>
        <w:pStyle w:val="Compact"/>
      </w:pPr>
      <w:r>
        <w:t xml:space="preserve">Aceptar los riesgos residuales tras la implantación de las medidas.</w:t>
      </w:r>
    </w:p>
    <w:p>
      <w:pPr>
        <w:numPr>
          <w:ilvl w:val="0"/>
          <w:numId w:val="1005"/>
        </w:numPr>
        <w:pStyle w:val="Compact"/>
      </w:pPr>
      <w:r>
        <w:t xml:space="preserve">Suspender el uso de la información o de los servicios cuando exista riesgo grave.</w:t>
      </w:r>
    </w:p>
    <w:p>
      <w:pPr>
        <w:numPr>
          <w:ilvl w:val="0"/>
          <w:numId w:val="1005"/>
        </w:numPr>
        <w:pStyle w:val="Compact"/>
      </w:pPr>
      <w:r>
        <w:t xml:space="preserve">Garantizar la operativa adecuada del servicio en términos de seguridad.</w:t>
      </w:r>
    </w:p>
    <w:p>
      <w:pPr>
        <w:pStyle w:val="FirstParagraph"/>
      </w:pPr>
      <w:r>
        <w:t xml:space="preserve">{% if requiere_ass %}</w:t>
      </w:r>
    </w:p>
    <w:bookmarkEnd w:id="25"/>
    <w:bookmarkStart w:id="26" w:name="X514ff40801bc00f6e83fa1c11db3abf485bc73c"/>
    <w:p>
      <w:pPr>
        <w:pStyle w:val="Heading3"/>
      </w:pPr>
      <w:r>
        <w:t xml:space="preserve">Acuerdo 5 · Nombramiento del Administrador de Seguridad del Sistema (ASS)</w:t>
      </w:r>
    </w:p>
    <w:p>
      <w:pPr>
        <w:pStyle w:val="FirstParagraph"/>
      </w:pPr>
      <w:r>
        <w:t xml:space="preserve">Conforme al artículo 11.e) del RD 311/2022, dado que la categoría del sistema es</w:t>
      </w:r>
      <w:r>
        <w:t xml:space="preserve"> </w:t>
      </w:r>
      <w:r>
        <w:rPr>
          <w:bCs/>
          <w:b/>
        </w:rPr>
        <w:t xml:space="preserve">{{ cat }}</w:t>
      </w:r>
      <w:r>
        <w:t xml:space="preserve">, se nombra</w:t>
      </w:r>
      <w:r>
        <w:t xml:space="preserve"> </w:t>
      </w:r>
      <w:r>
        <w:rPr>
          <w:bCs/>
          <w:b/>
        </w:rPr>
        <w:t xml:space="preserve">Administrador de Seguridad del Sistema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ass_nombre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ass_cargo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ass_dni }}</w:t>
            </w:r>
          </w:p>
        </w:tc>
      </w:tr>
    </w:tbl>
    <w:p>
      <w:pPr>
        <w:pStyle w:val="BodyText"/>
      </w:pPr>
      <w:r>
        <w:t xml:space="preserve">Funciones:</w:t>
      </w:r>
    </w:p>
    <w:p>
      <w:pPr>
        <w:numPr>
          <w:ilvl w:val="0"/>
          <w:numId w:val="1006"/>
        </w:numPr>
        <w:pStyle w:val="Compact"/>
      </w:pPr>
      <w:r>
        <w:t xml:space="preserve">Implantar, gestionar y mantener las medidas de seguridad operativas del sistema en el día a día.</w:t>
      </w:r>
    </w:p>
    <w:p>
      <w:pPr>
        <w:numPr>
          <w:ilvl w:val="0"/>
          <w:numId w:val="1006"/>
        </w:numPr>
        <w:pStyle w:val="Compact"/>
      </w:pPr>
      <w:r>
        <w:t xml:space="preserve">Gestionar, configurar y actualizar el hardware y software de seguridad.</w:t>
      </w:r>
    </w:p>
    <w:p>
      <w:pPr>
        <w:numPr>
          <w:ilvl w:val="0"/>
          <w:numId w:val="1006"/>
        </w:numPr>
        <w:pStyle w:val="Compact"/>
      </w:pPr>
      <w:r>
        <w:t xml:space="preserve">Aplicar los procedimientos operativos de seguridad bajo la supervisión del Responsable de la Seguridad.</w:t>
      </w:r>
      <w:r>
        <w:t xml:space="preserve"> </w:t>
      </w:r>
      <w:r>
        <w:t xml:space="preserve">{% endif %}</w:t>
      </w:r>
    </w:p>
    <w:p>
      <w:pPr>
        <w:pStyle w:val="FirstParagraph"/>
      </w:pPr>
      <w:r>
        <w:t xml:space="preserve">{% if requiere_poc %}</w:t>
      </w:r>
    </w:p>
    <w:bookmarkEnd w:id="26"/>
    <w:bookmarkStart w:id="27" w:name="X60b60dc0aa58817b79fd6abe8040f0a0646f28b"/>
    <w:p>
      <w:pPr>
        <w:pStyle w:val="Heading3"/>
      </w:pPr>
      <w:r>
        <w:t xml:space="preserve">Acuerdo 6 · Designación del Punto de Contacto ante CCN-CERT (POC)</w:t>
      </w:r>
    </w:p>
    <w:p>
      <w:pPr>
        <w:pStyle w:val="FirstParagraph"/>
      </w:pPr>
      <w:r>
        <w:t xml:space="preserve">Dado que la categoría del sistema es</w:t>
      </w:r>
      <w:r>
        <w:t xml:space="preserve"> </w:t>
      </w:r>
      <w:r>
        <w:rPr>
          <w:bCs/>
          <w:b/>
        </w:rPr>
        <w:t xml:space="preserve">{{ cat }}</w:t>
      </w:r>
      <w:r>
        <w:t xml:space="preserve">, y conforme a las obligaciones de notificación de incidentes al CCN-CERT (RD 311/2022 + CCN-STIC 801), se designa</w:t>
      </w:r>
      <w:r>
        <w:t xml:space="preserve"> </w:t>
      </w:r>
      <w:r>
        <w:rPr>
          <w:bCs/>
          <w:b/>
        </w:rPr>
        <w:t xml:space="preserve">Punto de Contacto ante CCN-CERT</w:t>
      </w:r>
      <w:r>
        <w:t xml:space="preserve"> </w:t>
      </w:r>
      <w: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poc_nombre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poc_cargo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poc_dni }}</w:t>
            </w:r>
          </w:p>
        </w:tc>
      </w:tr>
    </w:tbl>
    <w:p>
      <w:pPr>
        <w:pStyle w:val="BodyText"/>
      </w:pPr>
      <w:r>
        <w:t xml:space="preserve">Funciones:</w:t>
      </w:r>
    </w:p>
    <w:p>
      <w:pPr>
        <w:numPr>
          <w:ilvl w:val="0"/>
          <w:numId w:val="1007"/>
        </w:numPr>
        <w:pStyle w:val="Compact"/>
      </w:pPr>
      <w:r>
        <w:t xml:space="preserve">Actuar como interlocutor único con el CCN-CERT para la notificación y seguimiento de incidentes de seguridad.</w:t>
      </w:r>
    </w:p>
    <w:p>
      <w:pPr>
        <w:numPr>
          <w:ilvl w:val="0"/>
          <w:numId w:val="1007"/>
        </w:numPr>
        <w:pStyle w:val="Compact"/>
      </w:pPr>
      <w:r>
        <w:t xml:space="preserve">Coordinar con el Responsable de la Seguridad la gestión de incidentes notificables.</w:t>
      </w:r>
      <w:r>
        <w:t xml:space="preserve"> </w:t>
      </w:r>
      <w:r>
        <w:t xml:space="preserve">{% endif %}</w:t>
      </w:r>
    </w:p>
    <w:p>
      <w:pPr>
        <w:pStyle w:val="FirstParagraph"/>
      </w:pPr>
      <w:r>
        <w:t xml:space="preserve">{% if requiere_rsa %}</w:t>
      </w:r>
    </w:p>
    <w:bookmarkEnd w:id="27"/>
    <w:bookmarkStart w:id="28" w:name="X7ac7d76d87f9c86aec93cffb0eaa2142a077043"/>
    <w:p>
      <w:pPr>
        <w:pStyle w:val="Heading3"/>
      </w:pPr>
      <w:r>
        <w:t xml:space="preserve">Acuerdo 7 · Separación funcional reforzada (categoría ALTA)</w:t>
      </w:r>
    </w:p>
    <w:p>
      <w:pPr>
        <w:pStyle w:val="FirstParagraph"/>
      </w:pPr>
      <w:r>
        <w:t xml:space="preserve">Dado que la categoría de seguridad del sistema es</w:t>
      </w:r>
      <w:r>
        <w:t xml:space="preserve"> </w:t>
      </w:r>
      <w:r>
        <w:rPr>
          <w:bCs/>
          <w:b/>
        </w:rPr>
        <w:t xml:space="preserve">ALTA</w:t>
      </w:r>
      <w:r>
        <w:t xml:space="preserve">, y conforme al artículo 11 del RD 311/2022 y a la guía</w:t>
      </w:r>
      <w:r>
        <w:t xml:space="preserve"> </w:t>
      </w:r>
      <w:r>
        <w:rPr>
          <w:bCs/>
          <w:b/>
        </w:rPr>
        <w:t xml:space="preserve">CCN-STIC 801</w:t>
      </w:r>
      <w:r>
        <w:t xml:space="preserve">, se establece la</w:t>
      </w:r>
      <w:r>
        <w:t xml:space="preserve"> </w:t>
      </w:r>
      <w:r>
        <w:rPr>
          <w:bCs/>
          <w:b/>
        </w:rPr>
        <w:t xml:space="preserve">separación funcional obligatoria</w:t>
      </w:r>
      <w:r>
        <w:t xml:space="preserve"> </w:t>
      </w:r>
      <w:r>
        <w:t xml:space="preserve">entre el Responsable de la Seguridad (RS · gestión, Acuerdo 2) y el Responsable del Sistema de Información (RSI · operación, Acuerdo 3): ambos roles</w:t>
      </w:r>
      <w:r>
        <w:t xml:space="preserve"> </w:t>
      </w:r>
      <w:r>
        <w:rPr>
          <w:bCs/>
          <w:b/>
        </w:rPr>
        <w:t xml:space="preserve">NO pueden recaer en la misma persona</w:t>
      </w:r>
      <w:r>
        <w:t xml:space="preserve">. Su acumulación constituye</w:t>
      </w:r>
      <w:r>
        <w:t xml:space="preserve"> </w:t>
      </w:r>
      <w:r>
        <w:rPr>
          <w:bCs/>
          <w:b/>
        </w:rPr>
        <w:t xml:space="preserve">no-conformidad mayor</w:t>
      </w:r>
      <w:r>
        <w:t xml:space="preserve"> </w:t>
      </w:r>
      <w:r>
        <w:t xml:space="preserve">en la auditoría ENAC.</w:t>
      </w:r>
    </w:p>
    <w:p>
      <w:pPr>
        <w:pStyle w:val="BodyText"/>
      </w:pPr>
      <w:r>
        <w:t xml:space="preserve">El Administrador de Seguridad del Sistema (Acuerdo 5) opera las medidas bajo la supervisión del RS, manteniendo dicha separación.</w:t>
      </w:r>
      <w:r>
        <w:t xml:space="preserve"> </w:t>
      </w:r>
      <w:r>
        <w:t xml:space="preserve">{% else %}</w:t>
      </w:r>
    </w:p>
    <w:bookmarkEnd w:id="28"/>
    <w:bookmarkStart w:id="29" w:name="sobre-la-separación-funcional-rs--rsi"/>
    <w:p>
      <w:pPr>
        <w:pStyle w:val="Heading3"/>
      </w:pPr>
      <w:r>
        <w:t xml:space="preserve">Sobre la separación funcional RS / RSI</w:t>
      </w:r>
    </w:p>
    <w:p>
      <w:pPr>
        <w:pStyle w:val="FirstParagraph"/>
      </w:pPr>
      <w:r>
        <w:t xml:space="preserve">Conforme al artículo 11 del RD 311/2022 y a CCN-STIC 801, la separación entre el Responsable de la Seguridad (gestión) y el Responsable del Sistema de Información (operación) es</w:t>
      </w:r>
      <w:r>
        <w:t xml:space="preserve"> </w:t>
      </w:r>
      <w:r>
        <w:rPr>
          <w:bCs/>
          <w:b/>
        </w:rPr>
        <w:t xml:space="preserve">obligatoria en categoría ALTA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recomendada en MEDIA</w:t>
      </w:r>
      <w:r>
        <w:t xml:space="preserve">. La categoría actual del sistema es</w:t>
      </w:r>
      <w:r>
        <w:t xml:space="preserve"> </w:t>
      </w:r>
      <w:r>
        <w:rPr>
          <w:bCs/>
          <w:b/>
        </w:rPr>
        <w:t xml:space="preserve">{{ cat }}</w:t>
      </w:r>
      <w:r>
        <w:t xml:space="preserve">{% if cat == 'BASICA' %}; en BÁSICA los roles pueden acumularse en pocas personas adoptando una medida compensatoria (revisión por tercero independiente){% endif %}.</w:t>
      </w:r>
      <w:r>
        <w:t xml:space="preserve"> </w:t>
      </w:r>
      <w:r>
        <w:t xml:space="preserve">{% endif %}</w:t>
      </w:r>
    </w:p>
    <w:bookmarkEnd w:id="29"/>
    <w:bookmarkEnd w:id="30"/>
    <w:bookmarkStart w:id="31" w:name="Xecf7dcd88a404fcc70f60e9ea9f7a32bf0f36b5"/>
    <w:p>
      <w:pPr>
        <w:pStyle w:val="Heading2"/>
      </w:pPr>
      <w:r>
        <w:t xml:space="preserve">4. ACEPTACIÓN EXPRESA DE LOS CARGOS</w:t>
      </w:r>
    </w:p>
    <w:p>
      <w:pPr>
        <w:pStyle w:val="FirstParagraph"/>
      </w:pPr>
      <w:r>
        <w:t xml:space="preserve">Los nombrados en los Acuerdos anteriores aceptan expresamente los cargos y las funciones asignadas, comprometiéndose a su ejercicio diligente conforme a las exigencias del ENS y a las políticas internas de la Entidad.</w:t>
      </w:r>
    </w:p>
    <w:bookmarkEnd w:id="31"/>
    <w:bookmarkStart w:id="32" w:name="Xa5dab239f0cd71b0878c42c3aacd0d03729819f"/>
    <w:p>
      <w:pPr>
        <w:pStyle w:val="Heading2"/>
      </w:pPr>
      <w:r>
        <w:t xml:space="preserve">5. VIGENCIA Y RENOVACIÓN</w:t>
      </w:r>
    </w:p>
    <w:p>
      <w:pPr>
        <w:pStyle w:val="FirstParagraph"/>
      </w:pPr>
      <w:r>
        <w:t xml:space="preserve">El presente nombramiento permanece vigente hasta:</w:t>
      </w:r>
    </w:p>
    <w:p>
      <w:pPr>
        <w:pStyle w:val="BodyText"/>
      </w:pPr>
      <w:r>
        <w:t xml:space="preserve">a) Cese en el cargo orgánico que sirve de base al nombramiento.</w:t>
      </w:r>
    </w:p>
    <w:p>
      <w:pPr>
        <w:pStyle w:val="BodyText"/>
      </w:pPr>
      <w:r>
        <w:t xml:space="preserve">b) Revocación expresa por el órgano de administración.</w:t>
      </w:r>
    </w:p>
    <w:p>
      <w:pPr>
        <w:pStyle w:val="BodyText"/>
      </w:pPr>
      <w:r>
        <w:t xml:space="preserve">c) Sustitución por nuevo nombramiento formal mediante acta de igual rango.</w:t>
      </w:r>
    </w:p>
    <w:p>
      <w:pPr>
        <w:pStyle w:val="BodyText"/>
      </w:pPr>
      <w:r>
        <w:t xml:space="preserve">La renovación se revisará coincidiendo con la revisión de la conformidad ENS (referencia E-043) o cuando se produzcan cambios materiales en la organización.</w:t>
      </w:r>
    </w:p>
    <w:bookmarkEnd w:id="32"/>
    <w:bookmarkStart w:id="33" w:name="Xeabb4abdf43a310b12976b009f567885e1755d5"/>
    <w:p>
      <w:pPr>
        <w:pStyle w:val="Heading2"/>
      </w:pPr>
      <w:r>
        <w:t xml:space="preserve">6.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el órgano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cliente.representante.nombre if cliente.representante else '[Representante legal]'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ri_nombre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RSI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rsi_nombre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RServ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rserv_nombre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if requiere_ass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ass_nombre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endif %}{% if requiere_poc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CCN-CERT · Acepta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poc_nombre }}</w:t>
            </w:r>
          </w:p>
        </w:tc>
      </w:tr>
    </w:tbl>
    <w:p>
      <w:pPr>
        <w:pStyle w:val="BodyText"/>
      </w:pP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E-002 — Versión {{ proyecto.version_actual if proyecto.version_actual else '1.0' }} — Clasificación: INTERNA</w:t>
      </w:r>
    </w:p>
    <w:bookmarkEnd w:id="33"/>
    <w:bookmarkEnd w:id="3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E-002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E-002 · ACTA DE NOMBRAMIENTO DE ROLES DEL SISTEMA (ENS)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2026-06-11T19:49:13Z</dcterms:created>
  <dcterms:modified xsi:type="dcterms:W3CDTF">2026-06-11T19:49:13Z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E-002</vt:lpwstr>
  </property>
  <property fmtid="{D5CDD505-2E9C-101B-9397-08002B2CF9AE}" pid="4" name="norma_aplicable">
    <vt:lpwstr>RD 311/2022 Anexo II · org.1 · org.2 + CCN-STIC 801 (Responsabilidades y funciones)</vt:lpwstr>
  </property>
  <property fmtid="{D5CDD505-2E9C-101B-9397-08002B2CF9AE}" pid="5" name="titulo">
    <vt:lpwstr>Acta de Nombramiento de Roles del Sistema (Esquema Nacional de Seguridad)</vt:lpwstr>
  </property>
  <property fmtid="{D5CDD505-2E9C-101B-9397-08002B2CF9AE}" pid="6" name="version">
    <vt:lpwstr>{{ proyecto.version_actual if proyecto.version_actual else '1.0' }}</vt:lpwstr>
  </property>
</Properties>
</file>